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71EDD">
      <w:pPr>
        <w:rPr>
          <w:rFonts w:eastAsia="仿宋_GB2312"/>
          <w:sz w:val="36"/>
          <w:szCs w:val="36"/>
        </w:rPr>
      </w:pPr>
    </w:p>
    <w:p w14:paraId="22A9CE32">
      <w:pPr>
        <w:rPr>
          <w:rFonts w:eastAsia="仿宋_GB2312"/>
          <w:sz w:val="36"/>
          <w:szCs w:val="36"/>
        </w:rPr>
      </w:pPr>
    </w:p>
    <w:p w14:paraId="0FD466DA">
      <w:pPr>
        <w:rPr>
          <w:rFonts w:eastAsia="仿宋_GB2312"/>
          <w:sz w:val="36"/>
          <w:szCs w:val="36"/>
        </w:rPr>
      </w:pPr>
    </w:p>
    <w:p w14:paraId="69A12159">
      <w:pPr>
        <w:rPr>
          <w:rFonts w:eastAsia="仿宋_GB2312"/>
          <w:sz w:val="36"/>
          <w:szCs w:val="36"/>
        </w:rPr>
      </w:pPr>
    </w:p>
    <w:p w14:paraId="2620AC43">
      <w:pPr>
        <w:adjustRightInd w:val="0"/>
        <w:snapToGrid w:val="0"/>
        <w:jc w:val="center"/>
        <w:outlineLvl w:val="0"/>
        <w:rPr>
          <w:rFonts w:eastAsia="方正小标宋_GBK"/>
          <w:bCs/>
          <w:sz w:val="72"/>
          <w:szCs w:val="72"/>
        </w:rPr>
      </w:pPr>
      <w:bookmarkStart w:id="0" w:name="_Toc67775549"/>
      <w:r>
        <w:rPr>
          <w:rFonts w:eastAsia="方正小标宋_GBK"/>
          <w:bCs/>
          <w:sz w:val="72"/>
          <w:szCs w:val="72"/>
        </w:rPr>
        <w:t>建设项目环境影响报告表</w:t>
      </w:r>
      <w:bookmarkEnd w:id="0"/>
    </w:p>
    <w:p w14:paraId="40289758">
      <w:pPr>
        <w:adjustRightInd w:val="0"/>
        <w:snapToGrid w:val="0"/>
        <w:spacing w:before="192" w:beforeLines="80"/>
        <w:jc w:val="center"/>
        <w:rPr>
          <w:rFonts w:eastAsia="楷体_GB2312"/>
          <w:bCs/>
          <w:sz w:val="48"/>
          <w:szCs w:val="48"/>
        </w:rPr>
      </w:pPr>
      <w:r>
        <w:rPr>
          <w:rFonts w:eastAsia="楷体_GB2312"/>
          <w:bCs/>
          <w:sz w:val="48"/>
          <w:szCs w:val="48"/>
        </w:rPr>
        <w:t>(污染影响类)</w:t>
      </w:r>
    </w:p>
    <w:p w14:paraId="6918A65C">
      <w:pPr>
        <w:ind w:firstLine="1040"/>
        <w:rPr>
          <w:rFonts w:eastAsia="仿宋"/>
          <w:sz w:val="44"/>
          <w:szCs w:val="44"/>
        </w:rPr>
      </w:pPr>
    </w:p>
    <w:p w14:paraId="0A7F648D">
      <w:pPr>
        <w:ind w:firstLine="1040"/>
        <w:rPr>
          <w:rFonts w:eastAsia="仿宋"/>
          <w:sz w:val="44"/>
          <w:szCs w:val="44"/>
        </w:rPr>
      </w:pPr>
    </w:p>
    <w:p w14:paraId="73B2FEDE">
      <w:pPr>
        <w:ind w:firstLine="1040"/>
        <w:rPr>
          <w:rFonts w:eastAsia="仿宋"/>
          <w:sz w:val="44"/>
          <w:szCs w:val="44"/>
        </w:rPr>
      </w:pPr>
    </w:p>
    <w:p w14:paraId="5F2E52EE">
      <w:pPr>
        <w:ind w:firstLine="1040"/>
        <w:rPr>
          <w:rFonts w:eastAsia="仿宋"/>
          <w:sz w:val="44"/>
          <w:szCs w:val="44"/>
        </w:rPr>
      </w:pPr>
    </w:p>
    <w:p w14:paraId="6C5F0C8F">
      <w:pPr>
        <w:ind w:firstLine="1040"/>
        <w:rPr>
          <w:rFonts w:eastAsia="仿宋"/>
          <w:sz w:val="44"/>
          <w:szCs w:val="44"/>
        </w:rPr>
      </w:pPr>
    </w:p>
    <w:p w14:paraId="72B1EA87">
      <w:pPr>
        <w:ind w:firstLine="1040"/>
        <w:rPr>
          <w:rFonts w:eastAsia="仿宋"/>
          <w:sz w:val="44"/>
          <w:szCs w:val="44"/>
        </w:rPr>
      </w:pPr>
    </w:p>
    <w:p w14:paraId="4F329ADC">
      <w:pPr>
        <w:adjustRightInd w:val="0"/>
        <w:snapToGrid w:val="0"/>
        <w:spacing w:line="288" w:lineRule="auto"/>
        <w:ind w:firstLine="540" w:firstLineChars="150"/>
        <w:jc w:val="center"/>
        <w:rPr>
          <w:rFonts w:eastAsia="仿宋_GB2312"/>
          <w:sz w:val="36"/>
          <w:szCs w:val="36"/>
          <w:u w:val="single"/>
        </w:rPr>
      </w:pPr>
      <w:r>
        <w:rPr>
          <w:rFonts w:eastAsia="仿宋_GB2312"/>
          <w:sz w:val="36"/>
          <w:szCs w:val="36"/>
        </w:rPr>
        <w:t>项目名称：</w:t>
      </w:r>
      <w:r>
        <w:rPr>
          <w:rFonts w:hint="eastAsia" w:eastAsia="仿宋_GB2312"/>
          <w:sz w:val="36"/>
          <w:szCs w:val="36"/>
          <w:u w:val="single"/>
        </w:rPr>
        <w:t>凤台县粹彬墙体材料有限公司煤矸石烧结砖技术改造项目</w:t>
      </w:r>
    </w:p>
    <w:p w14:paraId="58E34A01">
      <w:pPr>
        <w:adjustRightInd w:val="0"/>
        <w:snapToGrid w:val="0"/>
        <w:spacing w:line="288" w:lineRule="auto"/>
        <w:ind w:firstLine="540" w:firstLineChars="150"/>
        <w:rPr>
          <w:rFonts w:hint="eastAsia" w:eastAsia="仿宋_GB2312"/>
          <w:sz w:val="36"/>
          <w:szCs w:val="36"/>
          <w:u w:val="single"/>
        </w:rPr>
      </w:pPr>
      <w:r>
        <w:rPr>
          <w:rFonts w:eastAsia="仿宋_GB2312"/>
          <w:sz w:val="36"/>
          <w:szCs w:val="36"/>
        </w:rPr>
        <w:t>建设单位(盖章)：</w:t>
      </w:r>
      <w:r>
        <w:rPr>
          <w:rFonts w:hint="eastAsia" w:eastAsia="仿宋_GB2312"/>
          <w:sz w:val="36"/>
          <w:szCs w:val="36"/>
          <w:u w:val="single"/>
        </w:rPr>
        <w:t>凤台县粹彬墙体材料有限公司</w:t>
      </w:r>
    </w:p>
    <w:p w14:paraId="546353DD">
      <w:pPr>
        <w:adjustRightInd w:val="0"/>
        <w:snapToGrid w:val="0"/>
        <w:spacing w:line="288" w:lineRule="auto"/>
        <w:ind w:firstLine="540" w:firstLineChars="150"/>
        <w:rPr>
          <w:rFonts w:hint="eastAsia" w:eastAsia="仿宋_GB2312"/>
          <w:sz w:val="36"/>
          <w:szCs w:val="36"/>
          <w:u w:val="single"/>
        </w:rPr>
      </w:pPr>
      <w:r>
        <w:rPr>
          <w:rFonts w:eastAsia="仿宋_GB2312"/>
          <w:sz w:val="36"/>
          <w:szCs w:val="36"/>
        </w:rPr>
        <w:t>编制日期：</w:t>
      </w:r>
      <w:r>
        <w:rPr>
          <w:rFonts w:hint="eastAsia" w:eastAsia="仿宋_GB2312"/>
          <w:sz w:val="36"/>
          <w:szCs w:val="36"/>
          <w:u w:val="single"/>
        </w:rPr>
        <w:t xml:space="preserve">          </w:t>
      </w:r>
      <w:r>
        <w:rPr>
          <w:rFonts w:eastAsia="仿宋_GB2312"/>
          <w:sz w:val="36"/>
          <w:szCs w:val="36"/>
          <w:u w:val="single"/>
        </w:rPr>
        <w:t>202</w:t>
      </w:r>
      <w:r>
        <w:rPr>
          <w:rFonts w:hint="eastAsia" w:eastAsia="仿宋_GB2312"/>
          <w:sz w:val="36"/>
          <w:szCs w:val="36"/>
          <w:u w:val="single"/>
        </w:rPr>
        <w:t>6</w:t>
      </w:r>
      <w:r>
        <w:rPr>
          <w:rFonts w:eastAsia="仿宋_GB2312"/>
          <w:sz w:val="36"/>
          <w:szCs w:val="36"/>
          <w:u w:val="single"/>
        </w:rPr>
        <w:t>年</w:t>
      </w:r>
      <w:r>
        <w:rPr>
          <w:rFonts w:hint="eastAsia" w:eastAsia="仿宋_GB2312"/>
          <w:sz w:val="36"/>
          <w:szCs w:val="36"/>
          <w:u w:val="single"/>
          <w:lang w:val="en-US" w:eastAsia="zh-CN"/>
        </w:rPr>
        <w:t>8</w:t>
      </w:r>
      <w:r>
        <w:rPr>
          <w:rFonts w:eastAsia="仿宋_GB2312"/>
          <w:sz w:val="36"/>
          <w:szCs w:val="36"/>
          <w:u w:val="single"/>
        </w:rPr>
        <w:t>月</w:t>
      </w:r>
      <w:r>
        <w:rPr>
          <w:rFonts w:hint="eastAsia" w:eastAsia="仿宋_GB2312"/>
          <w:sz w:val="36"/>
          <w:szCs w:val="36"/>
          <w:u w:val="single"/>
        </w:rPr>
        <w:t xml:space="preserve">              </w:t>
      </w:r>
    </w:p>
    <w:p w14:paraId="1BD45D95">
      <w:pPr>
        <w:adjustRightInd w:val="0"/>
        <w:snapToGrid w:val="0"/>
        <w:spacing w:line="288" w:lineRule="auto"/>
        <w:ind w:firstLine="1040"/>
        <w:rPr>
          <w:rFonts w:eastAsia="仿宋_GB2312"/>
          <w:sz w:val="36"/>
          <w:szCs w:val="36"/>
          <w:u w:val="single"/>
        </w:rPr>
      </w:pPr>
      <w:bookmarkStart w:id="1" w:name="_Hlk57884087"/>
    </w:p>
    <w:p w14:paraId="07B6BE68">
      <w:pPr>
        <w:adjustRightInd w:val="0"/>
        <w:snapToGrid w:val="0"/>
        <w:spacing w:line="288" w:lineRule="auto"/>
        <w:ind w:firstLine="1040"/>
        <w:rPr>
          <w:rFonts w:eastAsia="仿宋_GB2312"/>
          <w:sz w:val="36"/>
          <w:szCs w:val="36"/>
        </w:rPr>
      </w:pPr>
    </w:p>
    <w:bookmarkEnd w:id="1"/>
    <w:p w14:paraId="1DFD76D1">
      <w:pPr>
        <w:adjustRightInd w:val="0"/>
        <w:snapToGrid w:val="0"/>
        <w:spacing w:line="288" w:lineRule="auto"/>
        <w:jc w:val="center"/>
        <w:rPr>
          <w:rFonts w:eastAsia="楷体_GB2312"/>
          <w:sz w:val="36"/>
          <w:szCs w:val="36"/>
        </w:rPr>
      </w:pPr>
    </w:p>
    <w:p w14:paraId="50275D15">
      <w:pPr>
        <w:adjustRightInd w:val="0"/>
        <w:snapToGrid w:val="0"/>
        <w:spacing w:line="288" w:lineRule="auto"/>
        <w:jc w:val="center"/>
        <w:rPr>
          <w:rFonts w:eastAsia="楷体_GB2312"/>
          <w:sz w:val="36"/>
          <w:szCs w:val="36"/>
        </w:rPr>
      </w:pPr>
    </w:p>
    <w:p w14:paraId="133404C2">
      <w:pPr>
        <w:adjustRightInd w:val="0"/>
        <w:snapToGrid w:val="0"/>
        <w:spacing w:line="288" w:lineRule="auto"/>
        <w:jc w:val="center"/>
        <w:rPr>
          <w:rFonts w:eastAsia="楷体_GB2312"/>
          <w:sz w:val="36"/>
          <w:szCs w:val="36"/>
        </w:rPr>
      </w:pPr>
    </w:p>
    <w:p w14:paraId="50DDC89A">
      <w:pPr>
        <w:adjustRightInd w:val="0"/>
        <w:snapToGrid w:val="0"/>
        <w:spacing w:line="288" w:lineRule="auto"/>
        <w:jc w:val="center"/>
        <w:rPr>
          <w:rFonts w:eastAsia="楷体_GB2312"/>
          <w:sz w:val="36"/>
          <w:szCs w:val="36"/>
        </w:rPr>
      </w:pPr>
    </w:p>
    <w:p w14:paraId="402FD000">
      <w:pPr>
        <w:adjustRightInd w:val="0"/>
        <w:snapToGrid w:val="0"/>
        <w:spacing w:line="288" w:lineRule="auto"/>
        <w:jc w:val="center"/>
        <w:rPr>
          <w:rFonts w:eastAsia="楷体_GB2312"/>
          <w:sz w:val="36"/>
          <w:szCs w:val="36"/>
        </w:rPr>
      </w:pPr>
      <w:r>
        <w:rPr>
          <w:rFonts w:eastAsia="楷体_GB2312"/>
          <w:sz w:val="36"/>
          <w:szCs w:val="36"/>
        </w:rPr>
        <w:t>中华人民共和国生态环境部制</w:t>
      </w:r>
    </w:p>
    <w:p w14:paraId="78533152">
      <w:pPr>
        <w:adjustRightInd w:val="0"/>
        <w:snapToGrid w:val="0"/>
        <w:spacing w:line="288" w:lineRule="auto"/>
        <w:ind w:firstLine="1040"/>
        <w:rPr>
          <w:rFonts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5B303317">
      <w:pPr>
        <w:pStyle w:val="34"/>
        <w:spacing w:before="0" w:beforeAutospacing="0" w:after="0" w:afterAutospacing="0" w:line="480" w:lineRule="atLeast"/>
        <w:jc w:val="center"/>
        <w:outlineLvl w:val="0"/>
        <w:rPr>
          <w:rFonts w:ascii="Times New Roman" w:hAnsi="Times New Roman" w:eastAsia="黑体"/>
          <w:snapToGrid w:val="0"/>
          <w:sz w:val="36"/>
          <w:szCs w:val="36"/>
        </w:rPr>
      </w:pPr>
      <w:bookmarkStart w:id="2" w:name="_Toc67775551"/>
      <w:r>
        <w:rPr>
          <w:rFonts w:ascii="Times New Roman" w:hAnsi="Times New Roman" w:eastAsia="黑体"/>
          <w:snapToGrid w:val="0"/>
          <w:sz w:val="36"/>
          <w:szCs w:val="36"/>
        </w:rPr>
        <w:t>一、建设项目基本情况</w:t>
      </w:r>
      <w:bookmarkEnd w:id="2"/>
    </w:p>
    <w:tbl>
      <w:tblPr>
        <w:tblStyle w:val="38"/>
        <w:tblW w:w="95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76"/>
        <w:gridCol w:w="2722"/>
        <w:gridCol w:w="2084"/>
        <w:gridCol w:w="199"/>
        <w:gridCol w:w="3380"/>
      </w:tblGrid>
      <w:tr w14:paraId="4562A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8" w:hRule="atLeast"/>
          <w:jc w:val="center"/>
        </w:trPr>
        <w:tc>
          <w:tcPr>
            <w:tcW w:w="1176" w:type="dxa"/>
            <w:noWrap w:val="0"/>
            <w:tcMar>
              <w:top w:w="16" w:type="dxa"/>
              <w:left w:w="16" w:type="dxa"/>
              <w:right w:w="16" w:type="dxa"/>
            </w:tcMar>
            <w:vAlign w:val="center"/>
          </w:tcPr>
          <w:p w14:paraId="376535EA">
            <w:pPr>
              <w:adjustRightInd w:val="0"/>
              <w:jc w:val="center"/>
              <w:rPr>
                <w:sz w:val="24"/>
              </w:rPr>
            </w:pPr>
            <w:r>
              <w:rPr>
                <w:sz w:val="24"/>
              </w:rPr>
              <w:t>建设项目名称</w:t>
            </w:r>
          </w:p>
        </w:tc>
        <w:tc>
          <w:tcPr>
            <w:tcW w:w="8385" w:type="dxa"/>
            <w:gridSpan w:val="4"/>
            <w:noWrap w:val="0"/>
            <w:vAlign w:val="center"/>
          </w:tcPr>
          <w:p w14:paraId="769C0FB0">
            <w:pPr>
              <w:adjustRightInd w:val="0"/>
              <w:jc w:val="center"/>
              <w:rPr>
                <w:rFonts w:hint="eastAsia"/>
                <w:sz w:val="24"/>
              </w:rPr>
            </w:pPr>
            <w:r>
              <w:rPr>
                <w:rFonts w:hint="eastAsia"/>
                <w:sz w:val="24"/>
              </w:rPr>
              <w:t>凤台县粹彬墙体材料有限公司煤矸石烧结砖技术改造项目</w:t>
            </w:r>
          </w:p>
        </w:tc>
      </w:tr>
      <w:tr w14:paraId="0837A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176" w:type="dxa"/>
            <w:noWrap w:val="0"/>
            <w:tcMar>
              <w:top w:w="16" w:type="dxa"/>
              <w:left w:w="16" w:type="dxa"/>
              <w:right w:w="16" w:type="dxa"/>
            </w:tcMar>
            <w:vAlign w:val="center"/>
          </w:tcPr>
          <w:p w14:paraId="07FA0AC8">
            <w:pPr>
              <w:adjustRightInd w:val="0"/>
              <w:jc w:val="center"/>
              <w:rPr>
                <w:sz w:val="24"/>
              </w:rPr>
            </w:pPr>
            <w:r>
              <w:rPr>
                <w:sz w:val="24"/>
              </w:rPr>
              <w:t>项目代码</w:t>
            </w:r>
          </w:p>
        </w:tc>
        <w:tc>
          <w:tcPr>
            <w:tcW w:w="8385" w:type="dxa"/>
            <w:gridSpan w:val="4"/>
            <w:noWrap w:val="0"/>
            <w:vAlign w:val="center"/>
          </w:tcPr>
          <w:p w14:paraId="0590888E">
            <w:pPr>
              <w:jc w:val="center"/>
              <w:rPr>
                <w:rFonts w:hint="eastAsia"/>
                <w:sz w:val="24"/>
              </w:rPr>
            </w:pPr>
            <w:r>
              <w:rPr>
                <w:rFonts w:hint="eastAsia"/>
                <w:color w:val="000000"/>
                <w:sz w:val="24"/>
              </w:rPr>
              <w:t>2606-340421-07-02-135128</w:t>
            </w:r>
          </w:p>
        </w:tc>
      </w:tr>
      <w:tr w14:paraId="45FF5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76" w:type="dxa"/>
            <w:noWrap w:val="0"/>
            <w:tcMar>
              <w:top w:w="16" w:type="dxa"/>
              <w:left w:w="16" w:type="dxa"/>
              <w:right w:w="16" w:type="dxa"/>
            </w:tcMar>
            <w:vAlign w:val="center"/>
          </w:tcPr>
          <w:p w14:paraId="1F7DD160">
            <w:pPr>
              <w:adjustRightInd w:val="0"/>
              <w:jc w:val="center"/>
              <w:rPr>
                <w:sz w:val="24"/>
              </w:rPr>
            </w:pPr>
            <w:r>
              <w:rPr>
                <w:sz w:val="24"/>
              </w:rPr>
              <w:t>建设单位联系人</w:t>
            </w:r>
          </w:p>
        </w:tc>
        <w:tc>
          <w:tcPr>
            <w:tcW w:w="2722" w:type="dxa"/>
            <w:noWrap w:val="0"/>
            <w:vAlign w:val="center"/>
          </w:tcPr>
          <w:p w14:paraId="51A296EA">
            <w:pPr>
              <w:adjustRightInd w:val="0"/>
              <w:jc w:val="center"/>
              <w:rPr>
                <w:sz w:val="24"/>
              </w:rPr>
            </w:pPr>
            <w:bookmarkStart w:id="26" w:name="_GoBack"/>
            <w:bookmarkEnd w:id="26"/>
          </w:p>
        </w:tc>
        <w:tc>
          <w:tcPr>
            <w:tcW w:w="2283" w:type="dxa"/>
            <w:gridSpan w:val="2"/>
            <w:noWrap w:val="0"/>
            <w:vAlign w:val="center"/>
          </w:tcPr>
          <w:p w14:paraId="1B10AB94">
            <w:pPr>
              <w:adjustRightInd w:val="0"/>
              <w:jc w:val="center"/>
              <w:rPr>
                <w:sz w:val="24"/>
              </w:rPr>
            </w:pPr>
            <w:r>
              <w:rPr>
                <w:sz w:val="24"/>
              </w:rPr>
              <w:t>联系方式</w:t>
            </w:r>
          </w:p>
        </w:tc>
        <w:tc>
          <w:tcPr>
            <w:tcW w:w="3380" w:type="dxa"/>
            <w:noWrap w:val="0"/>
            <w:vAlign w:val="center"/>
          </w:tcPr>
          <w:p w14:paraId="164668CF">
            <w:pPr>
              <w:adjustRightInd w:val="0"/>
              <w:jc w:val="center"/>
              <w:rPr>
                <w:sz w:val="24"/>
              </w:rPr>
            </w:pPr>
          </w:p>
        </w:tc>
      </w:tr>
      <w:tr w14:paraId="41B303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8" w:hRule="atLeast"/>
          <w:jc w:val="center"/>
        </w:trPr>
        <w:tc>
          <w:tcPr>
            <w:tcW w:w="1176" w:type="dxa"/>
            <w:noWrap w:val="0"/>
            <w:tcMar>
              <w:top w:w="16" w:type="dxa"/>
              <w:left w:w="16" w:type="dxa"/>
              <w:right w:w="16" w:type="dxa"/>
            </w:tcMar>
            <w:vAlign w:val="center"/>
          </w:tcPr>
          <w:p w14:paraId="21450EF8">
            <w:pPr>
              <w:adjustRightInd w:val="0"/>
              <w:jc w:val="center"/>
              <w:rPr>
                <w:sz w:val="24"/>
              </w:rPr>
            </w:pPr>
            <w:r>
              <w:rPr>
                <w:sz w:val="24"/>
              </w:rPr>
              <w:t>建设地点</w:t>
            </w:r>
          </w:p>
        </w:tc>
        <w:tc>
          <w:tcPr>
            <w:tcW w:w="8385" w:type="dxa"/>
            <w:gridSpan w:val="4"/>
            <w:noWrap w:val="0"/>
            <w:vAlign w:val="center"/>
          </w:tcPr>
          <w:p w14:paraId="30CEA036">
            <w:pPr>
              <w:adjustRightInd w:val="0"/>
              <w:jc w:val="center"/>
              <w:rPr>
                <w:color w:val="FF0000"/>
                <w:sz w:val="24"/>
              </w:rPr>
            </w:pPr>
            <w:r>
              <w:rPr>
                <w:sz w:val="24"/>
                <w:u w:val="single"/>
              </w:rPr>
              <w:t>安徽</w:t>
            </w:r>
            <w:r>
              <w:rPr>
                <w:sz w:val="24"/>
              </w:rPr>
              <w:t>省</w:t>
            </w:r>
            <w:r>
              <w:rPr>
                <w:rFonts w:hint="eastAsia"/>
                <w:sz w:val="24"/>
                <w:u w:val="single"/>
              </w:rPr>
              <w:t>淮南</w:t>
            </w:r>
            <w:r>
              <w:rPr>
                <w:sz w:val="24"/>
              </w:rPr>
              <w:t>市</w:t>
            </w:r>
            <w:r>
              <w:rPr>
                <w:rFonts w:hint="eastAsia"/>
                <w:sz w:val="24"/>
                <w:u w:val="single"/>
              </w:rPr>
              <w:t>凤台</w:t>
            </w:r>
            <w:r>
              <w:rPr>
                <w:sz w:val="24"/>
              </w:rPr>
              <w:t>县</w:t>
            </w:r>
            <w:r>
              <w:rPr>
                <w:rFonts w:hint="eastAsia"/>
                <w:sz w:val="24"/>
                <w:u w:val="single"/>
              </w:rPr>
              <w:t>古店乡北芹村</w:t>
            </w:r>
          </w:p>
        </w:tc>
      </w:tr>
      <w:tr w14:paraId="2CDBF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1176" w:type="dxa"/>
            <w:noWrap w:val="0"/>
            <w:tcMar>
              <w:top w:w="16" w:type="dxa"/>
              <w:left w:w="16" w:type="dxa"/>
              <w:right w:w="16" w:type="dxa"/>
            </w:tcMar>
            <w:vAlign w:val="center"/>
          </w:tcPr>
          <w:p w14:paraId="296BFB13">
            <w:pPr>
              <w:adjustRightInd w:val="0"/>
              <w:jc w:val="center"/>
              <w:rPr>
                <w:sz w:val="24"/>
              </w:rPr>
            </w:pPr>
            <w:r>
              <w:rPr>
                <w:sz w:val="24"/>
              </w:rPr>
              <w:t>地理坐标</w:t>
            </w:r>
          </w:p>
        </w:tc>
        <w:tc>
          <w:tcPr>
            <w:tcW w:w="8385" w:type="dxa"/>
            <w:gridSpan w:val="4"/>
            <w:noWrap w:val="0"/>
            <w:vAlign w:val="center"/>
          </w:tcPr>
          <w:p w14:paraId="1259A26C">
            <w:pPr>
              <w:jc w:val="center"/>
              <w:rPr>
                <w:color w:val="FF0000"/>
                <w:sz w:val="24"/>
              </w:rPr>
            </w:pPr>
            <w:r>
              <w:rPr>
                <w:sz w:val="24"/>
              </w:rPr>
              <w:t>(东经：</w:t>
            </w:r>
            <w:r>
              <w:rPr>
                <w:sz w:val="24"/>
                <w:u w:val="single"/>
              </w:rPr>
              <w:t>11</w:t>
            </w:r>
            <w:r>
              <w:rPr>
                <w:rFonts w:hint="eastAsia"/>
                <w:sz w:val="24"/>
                <w:u w:val="single"/>
              </w:rPr>
              <w:t>6</w:t>
            </w:r>
            <w:r>
              <w:rPr>
                <w:sz w:val="24"/>
              </w:rPr>
              <w:t>度</w:t>
            </w:r>
            <w:r>
              <w:rPr>
                <w:rFonts w:hint="eastAsia"/>
                <w:sz w:val="24"/>
                <w:u w:val="single"/>
              </w:rPr>
              <w:t>32</w:t>
            </w:r>
            <w:r>
              <w:rPr>
                <w:sz w:val="24"/>
              </w:rPr>
              <w:t>分</w:t>
            </w:r>
            <w:r>
              <w:rPr>
                <w:rFonts w:hint="eastAsia"/>
                <w:sz w:val="24"/>
                <w:u w:val="single"/>
              </w:rPr>
              <w:t>38.469</w:t>
            </w:r>
            <w:r>
              <w:rPr>
                <w:sz w:val="24"/>
              </w:rPr>
              <w:t>秒，北纬：</w:t>
            </w:r>
            <w:r>
              <w:rPr>
                <w:sz w:val="24"/>
                <w:u w:val="single"/>
              </w:rPr>
              <w:t>3</w:t>
            </w:r>
            <w:r>
              <w:rPr>
                <w:rFonts w:hint="eastAsia"/>
                <w:sz w:val="24"/>
                <w:u w:val="single"/>
              </w:rPr>
              <w:t>2</w:t>
            </w:r>
            <w:r>
              <w:rPr>
                <w:sz w:val="24"/>
              </w:rPr>
              <w:t>度</w:t>
            </w:r>
            <w:r>
              <w:rPr>
                <w:rFonts w:hint="eastAsia"/>
                <w:sz w:val="24"/>
                <w:u w:val="single"/>
              </w:rPr>
              <w:t>52</w:t>
            </w:r>
            <w:r>
              <w:rPr>
                <w:sz w:val="24"/>
              </w:rPr>
              <w:t>分</w:t>
            </w:r>
            <w:r>
              <w:rPr>
                <w:rFonts w:hint="eastAsia"/>
                <w:sz w:val="24"/>
                <w:u w:val="single"/>
              </w:rPr>
              <w:t>56.715</w:t>
            </w:r>
            <w:r>
              <w:rPr>
                <w:sz w:val="24"/>
              </w:rPr>
              <w:t>秒)</w:t>
            </w:r>
          </w:p>
        </w:tc>
      </w:tr>
      <w:tr w14:paraId="426A3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1176" w:type="dxa"/>
            <w:noWrap w:val="0"/>
            <w:tcMar>
              <w:top w:w="16" w:type="dxa"/>
              <w:left w:w="16" w:type="dxa"/>
              <w:right w:w="16" w:type="dxa"/>
            </w:tcMar>
            <w:vAlign w:val="center"/>
          </w:tcPr>
          <w:p w14:paraId="27B000DE">
            <w:pPr>
              <w:adjustRightInd w:val="0"/>
              <w:jc w:val="center"/>
              <w:rPr>
                <w:sz w:val="24"/>
              </w:rPr>
            </w:pPr>
            <w:r>
              <w:rPr>
                <w:sz w:val="24"/>
              </w:rPr>
              <w:t>国民经济行业类别</w:t>
            </w:r>
          </w:p>
        </w:tc>
        <w:tc>
          <w:tcPr>
            <w:tcW w:w="2722" w:type="dxa"/>
            <w:noWrap w:val="0"/>
            <w:vAlign w:val="center"/>
          </w:tcPr>
          <w:p w14:paraId="4E720544">
            <w:pPr>
              <w:adjustRightInd w:val="0"/>
              <w:jc w:val="center"/>
            </w:pPr>
            <w:r>
              <w:rPr>
                <w:rFonts w:hint="eastAsia"/>
                <w:sz w:val="24"/>
              </w:rPr>
              <w:t>C3031粘土砖瓦及建筑砌块制造</w:t>
            </w:r>
          </w:p>
          <w:p w14:paraId="3516B2A8">
            <w:pPr>
              <w:adjustRightInd w:val="0"/>
              <w:jc w:val="center"/>
              <w:rPr>
                <w:rFonts w:hint="default" w:eastAsia="宋体"/>
                <w:sz w:val="24"/>
                <w:lang w:val="en-US" w:eastAsia="zh-CN"/>
              </w:rPr>
            </w:pPr>
            <w:r>
              <w:rPr>
                <w:rFonts w:hint="eastAsia"/>
                <w:sz w:val="24"/>
                <w:szCs w:val="32"/>
                <w:lang w:val="en-US" w:eastAsia="zh-CN"/>
              </w:rPr>
              <w:t>C4220 非金属废料和碎屑加工处理</w:t>
            </w:r>
          </w:p>
        </w:tc>
        <w:tc>
          <w:tcPr>
            <w:tcW w:w="2084" w:type="dxa"/>
            <w:noWrap w:val="0"/>
            <w:vAlign w:val="center"/>
          </w:tcPr>
          <w:p w14:paraId="58F8BE55">
            <w:pPr>
              <w:adjustRightInd w:val="0"/>
              <w:jc w:val="center"/>
              <w:rPr>
                <w:sz w:val="24"/>
              </w:rPr>
            </w:pPr>
            <w:bookmarkStart w:id="3" w:name="_Hlk49843745"/>
            <w:r>
              <w:rPr>
                <w:sz w:val="24"/>
              </w:rPr>
              <w:t>建设项目</w:t>
            </w:r>
          </w:p>
          <w:p w14:paraId="77CFBDF7">
            <w:pPr>
              <w:adjustRightInd w:val="0"/>
              <w:jc w:val="center"/>
              <w:rPr>
                <w:sz w:val="24"/>
              </w:rPr>
            </w:pPr>
            <w:r>
              <w:rPr>
                <w:sz w:val="24"/>
              </w:rPr>
              <w:t>行业类别</w:t>
            </w:r>
            <w:bookmarkEnd w:id="3"/>
          </w:p>
        </w:tc>
        <w:tc>
          <w:tcPr>
            <w:tcW w:w="3579" w:type="dxa"/>
            <w:gridSpan w:val="2"/>
            <w:noWrap w:val="0"/>
            <w:vAlign w:val="center"/>
          </w:tcPr>
          <w:p w14:paraId="496DABB2">
            <w:pPr>
              <w:numPr>
                <w:ilvl w:val="0"/>
                <w:numId w:val="2"/>
              </w:numPr>
              <w:adjustRightInd w:val="0"/>
              <w:jc w:val="center"/>
              <w:rPr>
                <w:rFonts w:hint="eastAsia"/>
                <w:sz w:val="24"/>
              </w:rPr>
            </w:pPr>
            <w:r>
              <w:rPr>
                <w:rFonts w:hint="eastAsia"/>
                <w:sz w:val="24"/>
              </w:rPr>
              <w:t>砖瓦、石材等建筑材料制造303</w:t>
            </w:r>
          </w:p>
          <w:p w14:paraId="5EB84898">
            <w:pPr>
              <w:numPr>
                <w:ilvl w:val="0"/>
                <w:numId w:val="0"/>
              </w:numPr>
              <w:adjustRightInd w:val="0"/>
              <w:jc w:val="center"/>
              <w:rPr>
                <w:rFonts w:hint="default" w:eastAsia="宋体"/>
                <w:sz w:val="24"/>
                <w:lang w:val="en-US" w:eastAsia="zh-CN"/>
              </w:rPr>
            </w:pPr>
            <w:r>
              <w:rPr>
                <w:rFonts w:hint="eastAsia"/>
                <w:sz w:val="24"/>
                <w:lang w:val="en-US" w:eastAsia="zh-CN"/>
              </w:rPr>
              <w:t>85、非金属废料和碎屑加工处理422</w:t>
            </w:r>
          </w:p>
        </w:tc>
      </w:tr>
      <w:tr w14:paraId="3391F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57" w:hRule="atLeast"/>
          <w:jc w:val="center"/>
        </w:trPr>
        <w:tc>
          <w:tcPr>
            <w:tcW w:w="1176" w:type="dxa"/>
            <w:noWrap w:val="0"/>
            <w:tcMar>
              <w:top w:w="16" w:type="dxa"/>
              <w:left w:w="16" w:type="dxa"/>
              <w:right w:w="16" w:type="dxa"/>
            </w:tcMar>
            <w:vAlign w:val="center"/>
          </w:tcPr>
          <w:p w14:paraId="43141D87">
            <w:pPr>
              <w:adjustRightInd w:val="0"/>
              <w:jc w:val="center"/>
              <w:rPr>
                <w:sz w:val="24"/>
              </w:rPr>
            </w:pPr>
            <w:r>
              <w:rPr>
                <w:sz w:val="24"/>
              </w:rPr>
              <w:t>建设性质</w:t>
            </w:r>
          </w:p>
        </w:tc>
        <w:tc>
          <w:tcPr>
            <w:tcW w:w="2722" w:type="dxa"/>
            <w:noWrap w:val="0"/>
            <w:vAlign w:val="center"/>
          </w:tcPr>
          <w:p w14:paraId="58FD8120">
            <w:pPr>
              <w:jc w:val="left"/>
              <w:rPr>
                <w:sz w:val="24"/>
              </w:rPr>
            </w:pPr>
            <w:r>
              <w:rPr>
                <w:sz w:val="24"/>
              </w:rPr>
              <w:sym w:font="Wingdings 2" w:char="00A3"/>
            </w:r>
            <w:r>
              <w:rPr>
                <w:sz w:val="24"/>
              </w:rPr>
              <w:t>新建(迁建)</w:t>
            </w:r>
          </w:p>
          <w:p w14:paraId="05C9641C">
            <w:pPr>
              <w:jc w:val="left"/>
              <w:rPr>
                <w:sz w:val="24"/>
              </w:rPr>
            </w:pPr>
            <w:r>
              <w:rPr>
                <w:rFonts w:hint="eastAsia"/>
                <w:sz w:val="24"/>
              </w:rPr>
              <w:t>☑</w:t>
            </w:r>
            <w:r>
              <w:rPr>
                <w:sz w:val="24"/>
              </w:rPr>
              <w:t>改建</w:t>
            </w:r>
          </w:p>
          <w:p w14:paraId="0CAB90DE">
            <w:pPr>
              <w:jc w:val="left"/>
              <w:rPr>
                <w:sz w:val="24"/>
              </w:rPr>
            </w:pPr>
            <w:r>
              <w:rPr>
                <w:rFonts w:hint="eastAsia"/>
                <w:sz w:val="24"/>
                <w:lang w:eastAsia="zh-CN"/>
              </w:rPr>
              <w:t>☑</w:t>
            </w:r>
            <w:r>
              <w:rPr>
                <w:sz w:val="24"/>
              </w:rPr>
              <w:t>扩建</w:t>
            </w:r>
          </w:p>
          <w:p w14:paraId="3711C394">
            <w:pPr>
              <w:jc w:val="left"/>
              <w:rPr>
                <w:sz w:val="24"/>
              </w:rPr>
            </w:pPr>
            <w:r>
              <w:rPr>
                <w:rFonts w:hint="eastAsia"/>
                <w:sz w:val="24"/>
              </w:rPr>
              <w:t>□</w:t>
            </w:r>
            <w:r>
              <w:rPr>
                <w:sz w:val="24"/>
              </w:rPr>
              <w:t>技术改造</w:t>
            </w:r>
          </w:p>
        </w:tc>
        <w:tc>
          <w:tcPr>
            <w:tcW w:w="2084" w:type="dxa"/>
            <w:noWrap w:val="0"/>
            <w:vAlign w:val="center"/>
          </w:tcPr>
          <w:p w14:paraId="4871B176">
            <w:pPr>
              <w:adjustRightInd w:val="0"/>
              <w:jc w:val="center"/>
              <w:rPr>
                <w:sz w:val="24"/>
              </w:rPr>
            </w:pPr>
            <w:r>
              <w:rPr>
                <w:sz w:val="24"/>
              </w:rPr>
              <w:t>建设项目</w:t>
            </w:r>
          </w:p>
          <w:p w14:paraId="27A94636">
            <w:pPr>
              <w:adjustRightInd w:val="0"/>
              <w:jc w:val="center"/>
              <w:rPr>
                <w:sz w:val="24"/>
              </w:rPr>
            </w:pPr>
            <w:r>
              <w:rPr>
                <w:sz w:val="24"/>
              </w:rPr>
              <w:t>申报情形</w:t>
            </w:r>
          </w:p>
        </w:tc>
        <w:tc>
          <w:tcPr>
            <w:tcW w:w="3579" w:type="dxa"/>
            <w:gridSpan w:val="2"/>
            <w:noWrap w:val="0"/>
            <w:vAlign w:val="center"/>
          </w:tcPr>
          <w:p w14:paraId="015B23ED">
            <w:pPr>
              <w:jc w:val="left"/>
              <w:rPr>
                <w:rFonts w:hint="eastAsia"/>
                <w:sz w:val="24"/>
              </w:rPr>
            </w:pPr>
            <w:r>
              <w:rPr>
                <w:sz w:val="24"/>
              </w:rPr>
              <w:sym w:font="Wingdings 2" w:char="0052"/>
            </w:r>
            <w:r>
              <w:rPr>
                <w:sz w:val="24"/>
              </w:rPr>
              <w:t>首次申报项目</w:t>
            </w:r>
          </w:p>
          <w:p w14:paraId="08B40B5F">
            <w:pPr>
              <w:jc w:val="left"/>
              <w:rPr>
                <w:sz w:val="24"/>
              </w:rPr>
            </w:pPr>
            <w:r>
              <w:rPr>
                <w:rFonts w:hint="eastAsia"/>
                <w:sz w:val="24"/>
              </w:rPr>
              <w:t>□</w:t>
            </w:r>
            <w:r>
              <w:rPr>
                <w:sz w:val="24"/>
              </w:rPr>
              <w:t>不予批准后再次申报项目</w:t>
            </w:r>
          </w:p>
          <w:p w14:paraId="4704D793">
            <w:pPr>
              <w:jc w:val="left"/>
              <w:rPr>
                <w:rFonts w:hint="eastAsia"/>
                <w:sz w:val="24"/>
              </w:rPr>
            </w:pPr>
            <w:r>
              <w:rPr>
                <w:sz w:val="24"/>
              </w:rPr>
              <w:sym w:font="Wingdings 2" w:char="00A3"/>
            </w:r>
            <w:r>
              <w:rPr>
                <w:sz w:val="24"/>
              </w:rPr>
              <w:t>超五年重新审核项目</w:t>
            </w:r>
          </w:p>
          <w:p w14:paraId="59E39752">
            <w:pPr>
              <w:jc w:val="left"/>
              <w:rPr>
                <w:sz w:val="24"/>
              </w:rPr>
            </w:pPr>
            <w:r>
              <w:rPr>
                <w:rFonts w:hint="eastAsia"/>
                <w:sz w:val="24"/>
              </w:rPr>
              <w:t>□</w:t>
            </w:r>
            <w:r>
              <w:rPr>
                <w:sz w:val="24"/>
              </w:rPr>
              <w:t>重大变动重新报批项目</w:t>
            </w:r>
          </w:p>
        </w:tc>
      </w:tr>
      <w:tr w14:paraId="6F13C0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76" w:type="dxa"/>
            <w:noWrap w:val="0"/>
            <w:tcMar>
              <w:top w:w="16" w:type="dxa"/>
              <w:left w:w="16" w:type="dxa"/>
              <w:right w:w="16" w:type="dxa"/>
            </w:tcMar>
            <w:vAlign w:val="center"/>
          </w:tcPr>
          <w:p w14:paraId="7B48897E">
            <w:pPr>
              <w:adjustRightInd w:val="0"/>
              <w:jc w:val="center"/>
              <w:rPr>
                <w:sz w:val="24"/>
              </w:rPr>
            </w:pPr>
            <w:r>
              <w:rPr>
                <w:sz w:val="24"/>
              </w:rPr>
              <w:t>项目审批(核准/备案)部门</w:t>
            </w:r>
          </w:p>
        </w:tc>
        <w:tc>
          <w:tcPr>
            <w:tcW w:w="2722" w:type="dxa"/>
            <w:noWrap w:val="0"/>
            <w:vAlign w:val="center"/>
          </w:tcPr>
          <w:p w14:paraId="18FCE8BF">
            <w:pPr>
              <w:adjustRightInd w:val="0"/>
              <w:jc w:val="center"/>
              <w:rPr>
                <w:sz w:val="24"/>
              </w:rPr>
            </w:pPr>
            <w:r>
              <w:rPr>
                <w:rFonts w:hint="eastAsia"/>
                <w:sz w:val="24"/>
              </w:rPr>
              <w:t>凤台县经济和信息化局</w:t>
            </w:r>
          </w:p>
        </w:tc>
        <w:tc>
          <w:tcPr>
            <w:tcW w:w="2084" w:type="dxa"/>
            <w:noWrap w:val="0"/>
            <w:vAlign w:val="center"/>
          </w:tcPr>
          <w:p w14:paraId="4FC23EBF">
            <w:pPr>
              <w:adjustRightInd w:val="0"/>
              <w:jc w:val="center"/>
              <w:rPr>
                <w:sz w:val="24"/>
              </w:rPr>
            </w:pPr>
            <w:r>
              <w:rPr>
                <w:sz w:val="24"/>
              </w:rPr>
              <w:t>项目审批(核准/</w:t>
            </w:r>
          </w:p>
          <w:p w14:paraId="3B2A9B78">
            <w:pPr>
              <w:adjustRightInd w:val="0"/>
              <w:jc w:val="center"/>
              <w:rPr>
                <w:sz w:val="24"/>
              </w:rPr>
            </w:pPr>
            <w:r>
              <w:rPr>
                <w:sz w:val="24"/>
              </w:rPr>
              <w:t>备案)文号(选填)</w:t>
            </w:r>
          </w:p>
        </w:tc>
        <w:tc>
          <w:tcPr>
            <w:tcW w:w="3579" w:type="dxa"/>
            <w:gridSpan w:val="2"/>
            <w:noWrap w:val="0"/>
            <w:vAlign w:val="center"/>
          </w:tcPr>
          <w:p w14:paraId="7E32B1B3">
            <w:pPr>
              <w:adjustRightInd w:val="0"/>
              <w:jc w:val="center"/>
              <w:rPr>
                <w:sz w:val="24"/>
              </w:rPr>
            </w:pPr>
            <w:r>
              <w:rPr>
                <w:sz w:val="24"/>
              </w:rPr>
              <w:t>/</w:t>
            </w:r>
          </w:p>
        </w:tc>
      </w:tr>
      <w:tr w14:paraId="1F23C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1176" w:type="dxa"/>
            <w:noWrap w:val="0"/>
            <w:tcMar>
              <w:top w:w="16" w:type="dxa"/>
              <w:left w:w="16" w:type="dxa"/>
              <w:right w:w="16" w:type="dxa"/>
            </w:tcMar>
            <w:vAlign w:val="center"/>
          </w:tcPr>
          <w:p w14:paraId="29A3B54E">
            <w:pPr>
              <w:adjustRightInd w:val="0"/>
              <w:jc w:val="center"/>
              <w:rPr>
                <w:sz w:val="24"/>
              </w:rPr>
            </w:pPr>
            <w:r>
              <w:rPr>
                <w:sz w:val="24"/>
              </w:rPr>
              <w:t>总投资</w:t>
            </w:r>
          </w:p>
          <w:p w14:paraId="2551E029">
            <w:pPr>
              <w:adjustRightInd w:val="0"/>
              <w:jc w:val="center"/>
              <w:rPr>
                <w:sz w:val="24"/>
              </w:rPr>
            </w:pPr>
            <w:r>
              <w:rPr>
                <w:sz w:val="24"/>
              </w:rPr>
              <w:t>(万元)</w:t>
            </w:r>
          </w:p>
        </w:tc>
        <w:tc>
          <w:tcPr>
            <w:tcW w:w="2722" w:type="dxa"/>
            <w:noWrap w:val="0"/>
            <w:vAlign w:val="center"/>
          </w:tcPr>
          <w:p w14:paraId="601EF3B3">
            <w:pPr>
              <w:adjustRightInd w:val="0"/>
              <w:jc w:val="center"/>
              <w:rPr>
                <w:color w:val="000000"/>
                <w:sz w:val="24"/>
              </w:rPr>
            </w:pPr>
            <w:r>
              <w:rPr>
                <w:rFonts w:hint="eastAsia"/>
                <w:color w:val="000000"/>
                <w:sz w:val="24"/>
              </w:rPr>
              <w:t>1500</w:t>
            </w:r>
          </w:p>
        </w:tc>
        <w:tc>
          <w:tcPr>
            <w:tcW w:w="2084" w:type="dxa"/>
            <w:noWrap w:val="0"/>
            <w:tcMar>
              <w:top w:w="16" w:type="dxa"/>
              <w:left w:w="16" w:type="dxa"/>
              <w:right w:w="16" w:type="dxa"/>
            </w:tcMar>
            <w:vAlign w:val="center"/>
          </w:tcPr>
          <w:p w14:paraId="1D865704">
            <w:pPr>
              <w:adjustRightInd w:val="0"/>
              <w:jc w:val="center"/>
              <w:rPr>
                <w:color w:val="000000"/>
                <w:sz w:val="24"/>
              </w:rPr>
            </w:pPr>
            <w:r>
              <w:rPr>
                <w:color w:val="000000"/>
                <w:sz w:val="24"/>
              </w:rPr>
              <w:t>环保投资(万元)</w:t>
            </w:r>
          </w:p>
        </w:tc>
        <w:tc>
          <w:tcPr>
            <w:tcW w:w="3579" w:type="dxa"/>
            <w:gridSpan w:val="2"/>
            <w:noWrap w:val="0"/>
            <w:vAlign w:val="center"/>
          </w:tcPr>
          <w:p w14:paraId="6EF3DAD5">
            <w:pPr>
              <w:adjustRightInd w:val="0"/>
              <w:jc w:val="center"/>
              <w:rPr>
                <w:color w:val="000000"/>
                <w:sz w:val="24"/>
              </w:rPr>
            </w:pPr>
            <w:r>
              <w:rPr>
                <w:rFonts w:hint="eastAsia"/>
                <w:color w:val="000000"/>
                <w:sz w:val="24"/>
              </w:rPr>
              <w:t>40</w:t>
            </w:r>
          </w:p>
        </w:tc>
      </w:tr>
      <w:tr w14:paraId="3E0A9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76" w:type="dxa"/>
            <w:noWrap w:val="0"/>
            <w:tcMar>
              <w:top w:w="16" w:type="dxa"/>
              <w:left w:w="16" w:type="dxa"/>
              <w:right w:w="16" w:type="dxa"/>
            </w:tcMar>
            <w:vAlign w:val="center"/>
          </w:tcPr>
          <w:p w14:paraId="0321FD46">
            <w:pPr>
              <w:adjustRightInd w:val="0"/>
              <w:jc w:val="center"/>
              <w:rPr>
                <w:sz w:val="24"/>
              </w:rPr>
            </w:pPr>
            <w:r>
              <w:rPr>
                <w:sz w:val="24"/>
              </w:rPr>
              <w:t>环保投资占比(%)</w:t>
            </w:r>
          </w:p>
        </w:tc>
        <w:tc>
          <w:tcPr>
            <w:tcW w:w="2722" w:type="dxa"/>
            <w:noWrap w:val="0"/>
            <w:vAlign w:val="center"/>
          </w:tcPr>
          <w:p w14:paraId="6046E13F">
            <w:pPr>
              <w:adjustRightInd w:val="0"/>
              <w:jc w:val="center"/>
              <w:rPr>
                <w:color w:val="000000"/>
                <w:sz w:val="24"/>
              </w:rPr>
            </w:pPr>
            <w:r>
              <w:rPr>
                <w:rFonts w:hint="eastAsia"/>
                <w:color w:val="000000"/>
                <w:sz w:val="24"/>
              </w:rPr>
              <w:t>2.7</w:t>
            </w:r>
          </w:p>
        </w:tc>
        <w:tc>
          <w:tcPr>
            <w:tcW w:w="2084" w:type="dxa"/>
            <w:noWrap w:val="0"/>
            <w:tcMar>
              <w:top w:w="16" w:type="dxa"/>
              <w:left w:w="16" w:type="dxa"/>
              <w:right w:w="16" w:type="dxa"/>
            </w:tcMar>
            <w:vAlign w:val="center"/>
          </w:tcPr>
          <w:p w14:paraId="7AE85DA0">
            <w:pPr>
              <w:adjustRightInd w:val="0"/>
              <w:jc w:val="center"/>
              <w:rPr>
                <w:color w:val="000000"/>
                <w:sz w:val="24"/>
              </w:rPr>
            </w:pPr>
            <w:r>
              <w:rPr>
                <w:color w:val="000000"/>
                <w:sz w:val="24"/>
              </w:rPr>
              <w:t>施工工期</w:t>
            </w:r>
          </w:p>
        </w:tc>
        <w:tc>
          <w:tcPr>
            <w:tcW w:w="3579" w:type="dxa"/>
            <w:gridSpan w:val="2"/>
            <w:noWrap w:val="0"/>
            <w:vAlign w:val="center"/>
          </w:tcPr>
          <w:p w14:paraId="283E58CC">
            <w:pPr>
              <w:adjustRightInd w:val="0"/>
              <w:jc w:val="center"/>
              <w:rPr>
                <w:color w:val="000000"/>
                <w:sz w:val="24"/>
              </w:rPr>
            </w:pPr>
            <w:r>
              <w:rPr>
                <w:rFonts w:hint="eastAsia"/>
                <w:color w:val="000000"/>
                <w:sz w:val="24"/>
              </w:rPr>
              <w:t>3</w:t>
            </w:r>
            <w:r>
              <w:rPr>
                <w:color w:val="000000"/>
                <w:sz w:val="24"/>
              </w:rPr>
              <w:t>个月</w:t>
            </w:r>
          </w:p>
        </w:tc>
      </w:tr>
      <w:tr w14:paraId="6929F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76" w:type="dxa"/>
            <w:noWrap w:val="0"/>
            <w:tcMar>
              <w:top w:w="16" w:type="dxa"/>
              <w:left w:w="16" w:type="dxa"/>
              <w:right w:w="16" w:type="dxa"/>
            </w:tcMar>
            <w:vAlign w:val="center"/>
          </w:tcPr>
          <w:p w14:paraId="584793CC">
            <w:pPr>
              <w:adjustRightInd w:val="0"/>
              <w:jc w:val="center"/>
              <w:rPr>
                <w:sz w:val="24"/>
              </w:rPr>
            </w:pPr>
            <w:r>
              <w:rPr>
                <w:sz w:val="24"/>
              </w:rPr>
              <w:t>是否开工建设</w:t>
            </w:r>
          </w:p>
        </w:tc>
        <w:tc>
          <w:tcPr>
            <w:tcW w:w="2722" w:type="dxa"/>
            <w:noWrap w:val="0"/>
            <w:vAlign w:val="center"/>
          </w:tcPr>
          <w:p w14:paraId="038C2A59">
            <w:pPr>
              <w:adjustRightInd w:val="0"/>
              <w:rPr>
                <w:sz w:val="24"/>
              </w:rPr>
            </w:pPr>
            <w:r>
              <w:rPr>
                <w:sz w:val="24"/>
              </w:rPr>
              <w:sym w:font="Wingdings 2" w:char="0052"/>
            </w:r>
            <w:r>
              <w:rPr>
                <w:sz w:val="24"/>
              </w:rPr>
              <w:t>否</w:t>
            </w:r>
          </w:p>
          <w:p w14:paraId="3F722835">
            <w:pPr>
              <w:adjustRightInd w:val="0"/>
              <w:rPr>
                <w:rFonts w:hint="eastAsia"/>
                <w:sz w:val="24"/>
              </w:rPr>
            </w:pPr>
            <w:r>
              <w:rPr>
                <w:sz w:val="24"/>
              </w:rPr>
              <w:sym w:font="Wingdings 2" w:char="00A3"/>
            </w:r>
            <w:r>
              <w:rPr>
                <w:sz w:val="24"/>
              </w:rPr>
              <w:t>是：</w:t>
            </w:r>
          </w:p>
        </w:tc>
        <w:tc>
          <w:tcPr>
            <w:tcW w:w="2084" w:type="dxa"/>
            <w:noWrap w:val="0"/>
            <w:tcMar>
              <w:top w:w="16" w:type="dxa"/>
              <w:left w:w="16" w:type="dxa"/>
              <w:right w:w="16" w:type="dxa"/>
            </w:tcMar>
            <w:vAlign w:val="center"/>
          </w:tcPr>
          <w:p w14:paraId="039E6956">
            <w:pPr>
              <w:adjustRightInd w:val="0"/>
              <w:jc w:val="center"/>
              <w:rPr>
                <w:sz w:val="24"/>
              </w:rPr>
            </w:pPr>
            <w:r>
              <w:rPr>
                <w:spacing w:val="-6"/>
                <w:sz w:val="24"/>
              </w:rPr>
              <w:t>用地面积(m</w:t>
            </w:r>
            <w:r>
              <w:rPr>
                <w:spacing w:val="-6"/>
                <w:sz w:val="24"/>
                <w:vertAlign w:val="superscript"/>
              </w:rPr>
              <w:t>2</w:t>
            </w:r>
            <w:r>
              <w:rPr>
                <w:spacing w:val="-6"/>
                <w:sz w:val="24"/>
              </w:rPr>
              <w:t>)</w:t>
            </w:r>
          </w:p>
        </w:tc>
        <w:tc>
          <w:tcPr>
            <w:tcW w:w="3579" w:type="dxa"/>
            <w:gridSpan w:val="2"/>
            <w:noWrap w:val="0"/>
            <w:vAlign w:val="center"/>
          </w:tcPr>
          <w:p w14:paraId="35D7BBAF">
            <w:pPr>
              <w:adjustRightInd w:val="0"/>
              <w:jc w:val="center"/>
              <w:rPr>
                <w:sz w:val="24"/>
              </w:rPr>
            </w:pPr>
            <w:r>
              <w:rPr>
                <w:rFonts w:hint="eastAsia"/>
                <w:color w:val="000000"/>
                <w:sz w:val="24"/>
              </w:rPr>
              <w:t>不新增用地</w:t>
            </w:r>
          </w:p>
        </w:tc>
      </w:tr>
      <w:tr w14:paraId="4D9E3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76" w:type="dxa"/>
            <w:noWrap w:val="0"/>
            <w:vAlign w:val="center"/>
          </w:tcPr>
          <w:p w14:paraId="76FAEE64">
            <w:pPr>
              <w:adjustRightInd w:val="0"/>
              <w:ind w:left="-63" w:leftChars="-30" w:right="-63" w:rightChars="-30"/>
              <w:jc w:val="center"/>
              <w:rPr>
                <w:kern w:val="0"/>
                <w:sz w:val="24"/>
              </w:rPr>
            </w:pPr>
            <w:r>
              <w:rPr>
                <w:kern w:val="0"/>
                <w:sz w:val="24"/>
              </w:rPr>
              <w:t>专项评价</w:t>
            </w:r>
            <w:r>
              <w:rPr>
                <w:sz w:val="24"/>
              </w:rPr>
              <w:t>设置</w:t>
            </w:r>
            <w:r>
              <w:rPr>
                <w:kern w:val="0"/>
                <w:sz w:val="24"/>
              </w:rPr>
              <w:t>情况</w:t>
            </w:r>
          </w:p>
        </w:tc>
        <w:tc>
          <w:tcPr>
            <w:tcW w:w="8385" w:type="dxa"/>
            <w:gridSpan w:val="4"/>
            <w:noWrap w:val="0"/>
            <w:vAlign w:val="center"/>
          </w:tcPr>
          <w:p w14:paraId="5E525577">
            <w:pPr>
              <w:autoSpaceDE w:val="0"/>
              <w:autoSpaceDN w:val="0"/>
              <w:adjustRightInd w:val="0"/>
              <w:jc w:val="center"/>
              <w:rPr>
                <w:kern w:val="0"/>
                <w:sz w:val="24"/>
              </w:rPr>
            </w:pPr>
            <w:r>
              <w:rPr>
                <w:rFonts w:hint="eastAsia"/>
                <w:kern w:val="0"/>
                <w:sz w:val="24"/>
              </w:rPr>
              <w:t>无</w:t>
            </w:r>
          </w:p>
        </w:tc>
      </w:tr>
      <w:tr w14:paraId="17C30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76" w:type="dxa"/>
            <w:noWrap w:val="0"/>
            <w:vAlign w:val="center"/>
          </w:tcPr>
          <w:p w14:paraId="2A9B9566">
            <w:pPr>
              <w:autoSpaceDE w:val="0"/>
              <w:autoSpaceDN w:val="0"/>
              <w:adjustRightInd w:val="0"/>
              <w:ind w:left="-63" w:leftChars="-30" w:right="-63" w:rightChars="-30"/>
              <w:jc w:val="center"/>
              <w:rPr>
                <w:kern w:val="0"/>
                <w:sz w:val="24"/>
                <w:highlight w:val="yellow"/>
              </w:rPr>
            </w:pPr>
            <w:r>
              <w:rPr>
                <w:sz w:val="24"/>
              </w:rPr>
              <w:t>规划情况</w:t>
            </w:r>
          </w:p>
        </w:tc>
        <w:tc>
          <w:tcPr>
            <w:tcW w:w="8385" w:type="dxa"/>
            <w:gridSpan w:val="4"/>
            <w:noWrap w:val="0"/>
            <w:vAlign w:val="center"/>
          </w:tcPr>
          <w:p w14:paraId="1B2FEF69">
            <w:pPr>
              <w:autoSpaceDE w:val="0"/>
              <w:autoSpaceDN w:val="0"/>
              <w:adjustRightInd w:val="0"/>
              <w:jc w:val="center"/>
              <w:rPr>
                <w:kern w:val="0"/>
                <w:sz w:val="24"/>
              </w:rPr>
            </w:pPr>
            <w:r>
              <w:rPr>
                <w:rFonts w:hint="eastAsia"/>
                <w:kern w:val="0"/>
                <w:sz w:val="24"/>
              </w:rPr>
              <w:t>《凤台县古店乡国土空间总体规划(2021-2035)》</w:t>
            </w:r>
          </w:p>
        </w:tc>
      </w:tr>
      <w:tr w14:paraId="111A2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76" w:type="dxa"/>
            <w:noWrap w:val="0"/>
            <w:vAlign w:val="center"/>
          </w:tcPr>
          <w:p w14:paraId="0CB08655">
            <w:pPr>
              <w:adjustRightInd w:val="0"/>
              <w:ind w:left="-63" w:leftChars="-30" w:right="-63" w:rightChars="-30"/>
              <w:jc w:val="center"/>
              <w:rPr>
                <w:kern w:val="0"/>
                <w:sz w:val="24"/>
                <w:highlight w:val="yellow"/>
              </w:rPr>
            </w:pPr>
            <w:r>
              <w:rPr>
                <w:sz w:val="24"/>
              </w:rPr>
              <w:t>规划环境影响评价情况</w:t>
            </w:r>
          </w:p>
        </w:tc>
        <w:tc>
          <w:tcPr>
            <w:tcW w:w="8385" w:type="dxa"/>
            <w:gridSpan w:val="4"/>
            <w:noWrap w:val="0"/>
            <w:vAlign w:val="center"/>
          </w:tcPr>
          <w:p w14:paraId="160080A0">
            <w:pPr>
              <w:autoSpaceDE w:val="0"/>
              <w:autoSpaceDN w:val="0"/>
              <w:adjustRightInd w:val="0"/>
              <w:jc w:val="center"/>
              <w:rPr>
                <w:kern w:val="0"/>
                <w:sz w:val="24"/>
              </w:rPr>
            </w:pPr>
            <w:r>
              <w:rPr>
                <w:rFonts w:hint="eastAsia"/>
                <w:kern w:val="0"/>
                <w:sz w:val="24"/>
              </w:rPr>
              <w:t>无</w:t>
            </w:r>
          </w:p>
        </w:tc>
      </w:tr>
      <w:tr w14:paraId="41189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76" w:type="dxa"/>
            <w:noWrap w:val="0"/>
            <w:vAlign w:val="center"/>
          </w:tcPr>
          <w:p w14:paraId="690CC2B9">
            <w:pPr>
              <w:autoSpaceDE w:val="0"/>
              <w:autoSpaceDN w:val="0"/>
              <w:adjustRightInd w:val="0"/>
              <w:snapToGrid w:val="0"/>
              <w:jc w:val="center"/>
              <w:rPr>
                <w:kern w:val="0"/>
                <w:szCs w:val="21"/>
                <w:highlight w:val="yellow"/>
              </w:rPr>
            </w:pPr>
            <w:r>
              <w:rPr>
                <w:kern w:val="0"/>
                <w:sz w:val="24"/>
              </w:rPr>
              <w:t>规划及规划环境影响评价符合性分析</w:t>
            </w:r>
          </w:p>
        </w:tc>
        <w:tc>
          <w:tcPr>
            <w:tcW w:w="8385" w:type="dxa"/>
            <w:gridSpan w:val="4"/>
            <w:noWrap w:val="0"/>
            <w:vAlign w:val="center"/>
          </w:tcPr>
          <w:p w14:paraId="045CBEB0">
            <w:pPr>
              <w:pStyle w:val="10"/>
              <w:spacing w:line="360" w:lineRule="auto"/>
              <w:jc w:val="center"/>
              <w:rPr>
                <w:szCs w:val="21"/>
              </w:rPr>
            </w:pPr>
            <w:r>
              <w:rPr>
                <w:rFonts w:hint="eastAsia"/>
                <w:szCs w:val="21"/>
              </w:rPr>
              <w:t>本项目</w:t>
            </w:r>
            <w:r>
              <w:rPr>
                <w:rFonts w:hint="eastAsia"/>
                <w:color w:val="000000"/>
                <w:szCs w:val="21"/>
              </w:rPr>
              <w:t>地块位于安徽省淮南市凤台县古店乡北芹村境内，根据建设单位提供的文件，本项目所在地用途为</w:t>
            </w:r>
            <w:r>
              <w:rPr>
                <w:rFonts w:hint="eastAsia"/>
                <w:color w:val="000000"/>
                <w:szCs w:val="21"/>
                <w:lang w:val="en-US" w:eastAsia="zh-CN"/>
              </w:rPr>
              <w:t>建设</w:t>
            </w:r>
            <w:r>
              <w:rPr>
                <w:rFonts w:hint="eastAsia"/>
                <w:color w:val="000000"/>
                <w:szCs w:val="21"/>
              </w:rPr>
              <w:t>用地，符合《凤台县古店乡国土空间总体规划(2021-2035)》中规划要求，详见附图凤台县古店乡土地利用总体规划图。</w:t>
            </w:r>
          </w:p>
        </w:tc>
      </w:tr>
      <w:tr w14:paraId="07588F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76" w:type="dxa"/>
            <w:noWrap w:val="0"/>
            <w:vAlign w:val="center"/>
          </w:tcPr>
          <w:p w14:paraId="716F129D">
            <w:pPr>
              <w:autoSpaceDE w:val="0"/>
              <w:autoSpaceDN w:val="0"/>
              <w:adjustRightInd w:val="0"/>
              <w:snapToGrid w:val="0"/>
              <w:spacing w:line="400" w:lineRule="exact"/>
              <w:jc w:val="center"/>
              <w:rPr>
                <w:kern w:val="0"/>
                <w:sz w:val="24"/>
              </w:rPr>
            </w:pPr>
          </w:p>
          <w:p w14:paraId="4A9FA591">
            <w:pPr>
              <w:autoSpaceDE w:val="0"/>
              <w:autoSpaceDN w:val="0"/>
              <w:adjustRightInd w:val="0"/>
              <w:snapToGrid w:val="0"/>
              <w:spacing w:line="400" w:lineRule="exact"/>
              <w:jc w:val="center"/>
              <w:rPr>
                <w:kern w:val="0"/>
                <w:sz w:val="24"/>
              </w:rPr>
            </w:pPr>
          </w:p>
          <w:p w14:paraId="5073F09E">
            <w:pPr>
              <w:autoSpaceDE w:val="0"/>
              <w:autoSpaceDN w:val="0"/>
              <w:adjustRightInd w:val="0"/>
              <w:snapToGrid w:val="0"/>
              <w:spacing w:line="400" w:lineRule="exact"/>
              <w:jc w:val="center"/>
              <w:rPr>
                <w:kern w:val="0"/>
                <w:sz w:val="24"/>
              </w:rPr>
            </w:pPr>
          </w:p>
          <w:p w14:paraId="45818D63">
            <w:pPr>
              <w:autoSpaceDE w:val="0"/>
              <w:autoSpaceDN w:val="0"/>
              <w:adjustRightInd w:val="0"/>
              <w:snapToGrid w:val="0"/>
              <w:spacing w:line="400" w:lineRule="exact"/>
              <w:jc w:val="center"/>
              <w:rPr>
                <w:kern w:val="0"/>
                <w:sz w:val="24"/>
              </w:rPr>
            </w:pPr>
          </w:p>
          <w:p w14:paraId="5E090A8F">
            <w:pPr>
              <w:autoSpaceDE w:val="0"/>
              <w:autoSpaceDN w:val="0"/>
              <w:adjustRightInd w:val="0"/>
              <w:snapToGrid w:val="0"/>
              <w:spacing w:line="400" w:lineRule="exact"/>
              <w:jc w:val="center"/>
              <w:rPr>
                <w:kern w:val="0"/>
                <w:sz w:val="24"/>
              </w:rPr>
            </w:pPr>
          </w:p>
          <w:p w14:paraId="57B5E8DC">
            <w:pPr>
              <w:autoSpaceDE w:val="0"/>
              <w:autoSpaceDN w:val="0"/>
              <w:adjustRightInd w:val="0"/>
              <w:snapToGrid w:val="0"/>
              <w:spacing w:line="400" w:lineRule="exact"/>
              <w:jc w:val="center"/>
              <w:rPr>
                <w:kern w:val="0"/>
                <w:sz w:val="24"/>
              </w:rPr>
            </w:pPr>
          </w:p>
          <w:p w14:paraId="6B21A69C">
            <w:pPr>
              <w:autoSpaceDE w:val="0"/>
              <w:autoSpaceDN w:val="0"/>
              <w:adjustRightInd w:val="0"/>
              <w:snapToGrid w:val="0"/>
              <w:spacing w:line="400" w:lineRule="exact"/>
              <w:jc w:val="center"/>
              <w:rPr>
                <w:kern w:val="0"/>
                <w:sz w:val="24"/>
              </w:rPr>
            </w:pPr>
          </w:p>
          <w:p w14:paraId="49601F2E">
            <w:pPr>
              <w:autoSpaceDE w:val="0"/>
              <w:autoSpaceDN w:val="0"/>
              <w:adjustRightInd w:val="0"/>
              <w:snapToGrid w:val="0"/>
              <w:spacing w:line="400" w:lineRule="exact"/>
              <w:jc w:val="center"/>
              <w:rPr>
                <w:kern w:val="0"/>
                <w:sz w:val="24"/>
              </w:rPr>
            </w:pPr>
          </w:p>
          <w:p w14:paraId="46BD4B69">
            <w:pPr>
              <w:autoSpaceDE w:val="0"/>
              <w:autoSpaceDN w:val="0"/>
              <w:adjustRightInd w:val="0"/>
              <w:snapToGrid w:val="0"/>
              <w:spacing w:line="400" w:lineRule="exact"/>
              <w:jc w:val="center"/>
              <w:rPr>
                <w:kern w:val="0"/>
                <w:sz w:val="24"/>
              </w:rPr>
            </w:pPr>
          </w:p>
          <w:p w14:paraId="5E1765AD">
            <w:pPr>
              <w:autoSpaceDE w:val="0"/>
              <w:autoSpaceDN w:val="0"/>
              <w:adjustRightInd w:val="0"/>
              <w:snapToGrid w:val="0"/>
              <w:spacing w:line="400" w:lineRule="exact"/>
              <w:jc w:val="center"/>
              <w:rPr>
                <w:kern w:val="0"/>
                <w:sz w:val="24"/>
              </w:rPr>
            </w:pPr>
          </w:p>
          <w:p w14:paraId="3281E302">
            <w:pPr>
              <w:autoSpaceDE w:val="0"/>
              <w:autoSpaceDN w:val="0"/>
              <w:adjustRightInd w:val="0"/>
              <w:snapToGrid w:val="0"/>
              <w:spacing w:line="400" w:lineRule="exact"/>
              <w:jc w:val="center"/>
              <w:rPr>
                <w:kern w:val="0"/>
                <w:sz w:val="24"/>
              </w:rPr>
            </w:pPr>
          </w:p>
          <w:p w14:paraId="33F42190">
            <w:pPr>
              <w:autoSpaceDE w:val="0"/>
              <w:autoSpaceDN w:val="0"/>
              <w:adjustRightInd w:val="0"/>
              <w:snapToGrid w:val="0"/>
              <w:spacing w:line="400" w:lineRule="exact"/>
              <w:jc w:val="center"/>
              <w:rPr>
                <w:kern w:val="0"/>
                <w:sz w:val="24"/>
              </w:rPr>
            </w:pPr>
          </w:p>
          <w:p w14:paraId="50C1D7AA">
            <w:pPr>
              <w:autoSpaceDE w:val="0"/>
              <w:autoSpaceDN w:val="0"/>
              <w:adjustRightInd w:val="0"/>
              <w:snapToGrid w:val="0"/>
              <w:spacing w:line="400" w:lineRule="exact"/>
              <w:jc w:val="center"/>
              <w:rPr>
                <w:kern w:val="0"/>
                <w:sz w:val="24"/>
              </w:rPr>
            </w:pPr>
          </w:p>
          <w:p w14:paraId="7CCD1EB9">
            <w:pPr>
              <w:autoSpaceDE w:val="0"/>
              <w:autoSpaceDN w:val="0"/>
              <w:adjustRightInd w:val="0"/>
              <w:snapToGrid w:val="0"/>
              <w:spacing w:line="400" w:lineRule="exact"/>
              <w:jc w:val="center"/>
              <w:rPr>
                <w:kern w:val="0"/>
                <w:sz w:val="24"/>
              </w:rPr>
            </w:pPr>
          </w:p>
          <w:p w14:paraId="54164131">
            <w:pPr>
              <w:autoSpaceDE w:val="0"/>
              <w:autoSpaceDN w:val="0"/>
              <w:adjustRightInd w:val="0"/>
              <w:snapToGrid w:val="0"/>
              <w:spacing w:line="400" w:lineRule="exact"/>
              <w:jc w:val="center"/>
              <w:rPr>
                <w:kern w:val="0"/>
                <w:sz w:val="24"/>
              </w:rPr>
            </w:pPr>
          </w:p>
          <w:p w14:paraId="188A5D89">
            <w:pPr>
              <w:autoSpaceDE w:val="0"/>
              <w:autoSpaceDN w:val="0"/>
              <w:adjustRightInd w:val="0"/>
              <w:snapToGrid w:val="0"/>
              <w:spacing w:line="400" w:lineRule="exact"/>
              <w:jc w:val="center"/>
              <w:rPr>
                <w:kern w:val="0"/>
                <w:sz w:val="24"/>
              </w:rPr>
            </w:pPr>
          </w:p>
          <w:p w14:paraId="7775BAC9">
            <w:pPr>
              <w:autoSpaceDE w:val="0"/>
              <w:autoSpaceDN w:val="0"/>
              <w:adjustRightInd w:val="0"/>
              <w:snapToGrid w:val="0"/>
              <w:spacing w:line="400" w:lineRule="exact"/>
              <w:jc w:val="center"/>
              <w:rPr>
                <w:kern w:val="0"/>
                <w:sz w:val="24"/>
              </w:rPr>
            </w:pPr>
            <w:r>
              <w:rPr>
                <w:kern w:val="0"/>
                <w:sz w:val="24"/>
              </w:rPr>
              <w:t>其他符合性分析</w:t>
            </w:r>
          </w:p>
          <w:p w14:paraId="05DE1ACB">
            <w:pPr>
              <w:autoSpaceDE w:val="0"/>
              <w:autoSpaceDN w:val="0"/>
              <w:adjustRightInd w:val="0"/>
              <w:snapToGrid w:val="0"/>
              <w:spacing w:line="400" w:lineRule="exact"/>
              <w:jc w:val="center"/>
              <w:rPr>
                <w:kern w:val="0"/>
                <w:sz w:val="24"/>
              </w:rPr>
            </w:pPr>
          </w:p>
          <w:p w14:paraId="64C67A3E">
            <w:pPr>
              <w:autoSpaceDE w:val="0"/>
              <w:autoSpaceDN w:val="0"/>
              <w:adjustRightInd w:val="0"/>
              <w:snapToGrid w:val="0"/>
              <w:spacing w:line="400" w:lineRule="exact"/>
              <w:jc w:val="center"/>
              <w:rPr>
                <w:kern w:val="0"/>
                <w:sz w:val="24"/>
              </w:rPr>
            </w:pPr>
          </w:p>
          <w:p w14:paraId="634F39C0">
            <w:pPr>
              <w:autoSpaceDE w:val="0"/>
              <w:autoSpaceDN w:val="0"/>
              <w:adjustRightInd w:val="0"/>
              <w:snapToGrid w:val="0"/>
              <w:spacing w:line="400" w:lineRule="exact"/>
              <w:jc w:val="center"/>
              <w:rPr>
                <w:kern w:val="0"/>
                <w:sz w:val="24"/>
              </w:rPr>
            </w:pPr>
          </w:p>
          <w:p w14:paraId="4C8EF6B6">
            <w:pPr>
              <w:autoSpaceDE w:val="0"/>
              <w:autoSpaceDN w:val="0"/>
              <w:adjustRightInd w:val="0"/>
              <w:snapToGrid w:val="0"/>
              <w:spacing w:line="400" w:lineRule="exact"/>
              <w:jc w:val="center"/>
              <w:rPr>
                <w:kern w:val="0"/>
                <w:sz w:val="24"/>
              </w:rPr>
            </w:pPr>
          </w:p>
          <w:p w14:paraId="174FEC82">
            <w:pPr>
              <w:autoSpaceDE w:val="0"/>
              <w:autoSpaceDN w:val="0"/>
              <w:adjustRightInd w:val="0"/>
              <w:snapToGrid w:val="0"/>
              <w:spacing w:line="400" w:lineRule="exact"/>
              <w:jc w:val="center"/>
              <w:rPr>
                <w:kern w:val="0"/>
                <w:sz w:val="24"/>
              </w:rPr>
            </w:pPr>
          </w:p>
          <w:p w14:paraId="256DA47D">
            <w:pPr>
              <w:autoSpaceDE w:val="0"/>
              <w:autoSpaceDN w:val="0"/>
              <w:adjustRightInd w:val="0"/>
              <w:snapToGrid w:val="0"/>
              <w:spacing w:line="400" w:lineRule="exact"/>
              <w:jc w:val="center"/>
              <w:rPr>
                <w:kern w:val="0"/>
                <w:sz w:val="24"/>
              </w:rPr>
            </w:pPr>
          </w:p>
          <w:p w14:paraId="5FE5F26E">
            <w:pPr>
              <w:autoSpaceDE w:val="0"/>
              <w:autoSpaceDN w:val="0"/>
              <w:adjustRightInd w:val="0"/>
              <w:snapToGrid w:val="0"/>
              <w:spacing w:line="400" w:lineRule="exact"/>
              <w:jc w:val="center"/>
              <w:rPr>
                <w:kern w:val="0"/>
                <w:sz w:val="24"/>
              </w:rPr>
            </w:pPr>
          </w:p>
          <w:p w14:paraId="327C510A">
            <w:pPr>
              <w:autoSpaceDE w:val="0"/>
              <w:autoSpaceDN w:val="0"/>
              <w:adjustRightInd w:val="0"/>
              <w:snapToGrid w:val="0"/>
              <w:spacing w:line="400" w:lineRule="exact"/>
              <w:jc w:val="center"/>
              <w:rPr>
                <w:kern w:val="0"/>
                <w:sz w:val="24"/>
              </w:rPr>
            </w:pPr>
          </w:p>
          <w:p w14:paraId="4D0A213A">
            <w:pPr>
              <w:autoSpaceDE w:val="0"/>
              <w:autoSpaceDN w:val="0"/>
              <w:adjustRightInd w:val="0"/>
              <w:snapToGrid w:val="0"/>
              <w:spacing w:line="400" w:lineRule="exact"/>
              <w:jc w:val="center"/>
              <w:rPr>
                <w:kern w:val="0"/>
                <w:sz w:val="24"/>
              </w:rPr>
            </w:pPr>
          </w:p>
          <w:p w14:paraId="67359242">
            <w:pPr>
              <w:autoSpaceDE w:val="0"/>
              <w:autoSpaceDN w:val="0"/>
              <w:adjustRightInd w:val="0"/>
              <w:snapToGrid w:val="0"/>
              <w:spacing w:line="400" w:lineRule="exact"/>
              <w:jc w:val="center"/>
              <w:rPr>
                <w:kern w:val="0"/>
                <w:sz w:val="24"/>
              </w:rPr>
            </w:pPr>
          </w:p>
          <w:p w14:paraId="6BCE3FFF">
            <w:pPr>
              <w:autoSpaceDE w:val="0"/>
              <w:autoSpaceDN w:val="0"/>
              <w:adjustRightInd w:val="0"/>
              <w:snapToGrid w:val="0"/>
              <w:spacing w:line="400" w:lineRule="exact"/>
              <w:jc w:val="center"/>
              <w:rPr>
                <w:kern w:val="0"/>
                <w:sz w:val="24"/>
              </w:rPr>
            </w:pPr>
          </w:p>
          <w:p w14:paraId="423FBCE3">
            <w:pPr>
              <w:autoSpaceDE w:val="0"/>
              <w:autoSpaceDN w:val="0"/>
              <w:adjustRightInd w:val="0"/>
              <w:snapToGrid w:val="0"/>
              <w:spacing w:line="400" w:lineRule="exact"/>
              <w:jc w:val="center"/>
              <w:rPr>
                <w:kern w:val="0"/>
                <w:sz w:val="24"/>
              </w:rPr>
            </w:pPr>
          </w:p>
          <w:p w14:paraId="7883F65B">
            <w:pPr>
              <w:autoSpaceDE w:val="0"/>
              <w:autoSpaceDN w:val="0"/>
              <w:adjustRightInd w:val="0"/>
              <w:snapToGrid w:val="0"/>
              <w:spacing w:line="400" w:lineRule="exact"/>
              <w:jc w:val="center"/>
              <w:rPr>
                <w:kern w:val="0"/>
                <w:sz w:val="24"/>
              </w:rPr>
            </w:pPr>
          </w:p>
          <w:p w14:paraId="24FF5474">
            <w:pPr>
              <w:autoSpaceDE w:val="0"/>
              <w:autoSpaceDN w:val="0"/>
              <w:adjustRightInd w:val="0"/>
              <w:snapToGrid w:val="0"/>
              <w:spacing w:line="400" w:lineRule="exact"/>
              <w:jc w:val="center"/>
              <w:rPr>
                <w:kern w:val="0"/>
                <w:sz w:val="24"/>
              </w:rPr>
            </w:pPr>
          </w:p>
          <w:p w14:paraId="2F50C7E7">
            <w:pPr>
              <w:autoSpaceDE w:val="0"/>
              <w:autoSpaceDN w:val="0"/>
              <w:adjustRightInd w:val="0"/>
              <w:snapToGrid w:val="0"/>
              <w:spacing w:line="400" w:lineRule="exact"/>
              <w:jc w:val="center"/>
              <w:rPr>
                <w:kern w:val="0"/>
                <w:sz w:val="24"/>
              </w:rPr>
            </w:pPr>
          </w:p>
          <w:p w14:paraId="51453A8A">
            <w:pPr>
              <w:autoSpaceDE w:val="0"/>
              <w:autoSpaceDN w:val="0"/>
              <w:adjustRightInd w:val="0"/>
              <w:snapToGrid w:val="0"/>
              <w:spacing w:line="400" w:lineRule="exact"/>
              <w:jc w:val="center"/>
              <w:rPr>
                <w:kern w:val="0"/>
                <w:sz w:val="24"/>
              </w:rPr>
            </w:pPr>
          </w:p>
          <w:p w14:paraId="568DE2C5">
            <w:pPr>
              <w:autoSpaceDE w:val="0"/>
              <w:autoSpaceDN w:val="0"/>
              <w:adjustRightInd w:val="0"/>
              <w:snapToGrid w:val="0"/>
              <w:spacing w:line="400" w:lineRule="exact"/>
              <w:jc w:val="center"/>
              <w:rPr>
                <w:kern w:val="0"/>
                <w:sz w:val="24"/>
              </w:rPr>
            </w:pPr>
          </w:p>
          <w:p w14:paraId="7A42418C">
            <w:pPr>
              <w:autoSpaceDE w:val="0"/>
              <w:autoSpaceDN w:val="0"/>
              <w:adjustRightInd w:val="0"/>
              <w:snapToGrid w:val="0"/>
              <w:spacing w:line="400" w:lineRule="exact"/>
              <w:jc w:val="center"/>
              <w:rPr>
                <w:kern w:val="0"/>
                <w:sz w:val="24"/>
              </w:rPr>
            </w:pPr>
          </w:p>
          <w:p w14:paraId="6A99B2AE">
            <w:pPr>
              <w:autoSpaceDE w:val="0"/>
              <w:autoSpaceDN w:val="0"/>
              <w:adjustRightInd w:val="0"/>
              <w:snapToGrid w:val="0"/>
              <w:spacing w:line="400" w:lineRule="exact"/>
              <w:jc w:val="center"/>
              <w:rPr>
                <w:kern w:val="0"/>
                <w:sz w:val="24"/>
              </w:rPr>
            </w:pPr>
          </w:p>
          <w:p w14:paraId="3D7020C8">
            <w:pPr>
              <w:autoSpaceDE w:val="0"/>
              <w:autoSpaceDN w:val="0"/>
              <w:adjustRightInd w:val="0"/>
              <w:snapToGrid w:val="0"/>
              <w:spacing w:line="400" w:lineRule="exact"/>
              <w:jc w:val="center"/>
              <w:rPr>
                <w:kern w:val="0"/>
                <w:sz w:val="24"/>
              </w:rPr>
            </w:pPr>
          </w:p>
          <w:p w14:paraId="79E2F940">
            <w:pPr>
              <w:autoSpaceDE w:val="0"/>
              <w:autoSpaceDN w:val="0"/>
              <w:adjustRightInd w:val="0"/>
              <w:snapToGrid w:val="0"/>
              <w:spacing w:line="400" w:lineRule="exact"/>
              <w:jc w:val="center"/>
              <w:rPr>
                <w:kern w:val="0"/>
                <w:sz w:val="24"/>
              </w:rPr>
            </w:pPr>
          </w:p>
          <w:p w14:paraId="787DDBA2">
            <w:pPr>
              <w:autoSpaceDE w:val="0"/>
              <w:autoSpaceDN w:val="0"/>
              <w:adjustRightInd w:val="0"/>
              <w:snapToGrid w:val="0"/>
              <w:spacing w:line="400" w:lineRule="exact"/>
              <w:jc w:val="center"/>
              <w:rPr>
                <w:kern w:val="0"/>
                <w:sz w:val="24"/>
              </w:rPr>
            </w:pPr>
          </w:p>
          <w:p w14:paraId="50A6F9C9">
            <w:pPr>
              <w:autoSpaceDE w:val="0"/>
              <w:autoSpaceDN w:val="0"/>
              <w:adjustRightInd w:val="0"/>
              <w:snapToGrid w:val="0"/>
              <w:spacing w:line="400" w:lineRule="exact"/>
              <w:jc w:val="center"/>
              <w:rPr>
                <w:kern w:val="0"/>
                <w:sz w:val="24"/>
              </w:rPr>
            </w:pPr>
          </w:p>
          <w:p w14:paraId="3C8397FC">
            <w:pPr>
              <w:autoSpaceDE w:val="0"/>
              <w:autoSpaceDN w:val="0"/>
              <w:adjustRightInd w:val="0"/>
              <w:snapToGrid w:val="0"/>
              <w:spacing w:line="400" w:lineRule="exact"/>
              <w:jc w:val="center"/>
              <w:rPr>
                <w:kern w:val="0"/>
                <w:sz w:val="24"/>
              </w:rPr>
            </w:pPr>
          </w:p>
          <w:p w14:paraId="35A99B1D">
            <w:pPr>
              <w:autoSpaceDE w:val="0"/>
              <w:autoSpaceDN w:val="0"/>
              <w:adjustRightInd w:val="0"/>
              <w:snapToGrid w:val="0"/>
              <w:spacing w:line="400" w:lineRule="exact"/>
              <w:jc w:val="center"/>
              <w:rPr>
                <w:kern w:val="0"/>
                <w:sz w:val="24"/>
              </w:rPr>
            </w:pPr>
          </w:p>
          <w:p w14:paraId="5D0419FE">
            <w:pPr>
              <w:autoSpaceDE w:val="0"/>
              <w:autoSpaceDN w:val="0"/>
              <w:adjustRightInd w:val="0"/>
              <w:snapToGrid w:val="0"/>
              <w:spacing w:line="400" w:lineRule="exact"/>
              <w:jc w:val="center"/>
              <w:rPr>
                <w:kern w:val="0"/>
                <w:sz w:val="24"/>
              </w:rPr>
            </w:pPr>
          </w:p>
          <w:p w14:paraId="366155FB">
            <w:pPr>
              <w:autoSpaceDE w:val="0"/>
              <w:autoSpaceDN w:val="0"/>
              <w:adjustRightInd w:val="0"/>
              <w:snapToGrid w:val="0"/>
              <w:spacing w:line="400" w:lineRule="exact"/>
              <w:jc w:val="center"/>
              <w:rPr>
                <w:kern w:val="0"/>
                <w:sz w:val="24"/>
              </w:rPr>
            </w:pPr>
          </w:p>
          <w:p w14:paraId="3562033A">
            <w:pPr>
              <w:autoSpaceDE w:val="0"/>
              <w:autoSpaceDN w:val="0"/>
              <w:adjustRightInd w:val="0"/>
              <w:snapToGrid w:val="0"/>
              <w:spacing w:line="400" w:lineRule="exact"/>
              <w:jc w:val="center"/>
              <w:rPr>
                <w:kern w:val="0"/>
                <w:sz w:val="24"/>
              </w:rPr>
            </w:pPr>
          </w:p>
          <w:p w14:paraId="2D0D58EE">
            <w:pPr>
              <w:autoSpaceDE w:val="0"/>
              <w:autoSpaceDN w:val="0"/>
              <w:adjustRightInd w:val="0"/>
              <w:snapToGrid w:val="0"/>
              <w:spacing w:line="400" w:lineRule="exact"/>
              <w:jc w:val="center"/>
              <w:rPr>
                <w:kern w:val="0"/>
                <w:sz w:val="24"/>
              </w:rPr>
            </w:pPr>
            <w:r>
              <w:rPr>
                <w:kern w:val="0"/>
                <w:sz w:val="24"/>
              </w:rPr>
              <w:t>其他符合性分析</w:t>
            </w:r>
          </w:p>
          <w:p w14:paraId="6C085528">
            <w:pPr>
              <w:autoSpaceDE w:val="0"/>
              <w:autoSpaceDN w:val="0"/>
              <w:adjustRightInd w:val="0"/>
              <w:snapToGrid w:val="0"/>
              <w:spacing w:line="400" w:lineRule="exact"/>
              <w:jc w:val="center"/>
              <w:rPr>
                <w:kern w:val="0"/>
                <w:sz w:val="24"/>
              </w:rPr>
            </w:pPr>
          </w:p>
          <w:p w14:paraId="5B814A5C">
            <w:pPr>
              <w:autoSpaceDE w:val="0"/>
              <w:autoSpaceDN w:val="0"/>
              <w:adjustRightInd w:val="0"/>
              <w:snapToGrid w:val="0"/>
              <w:spacing w:line="400" w:lineRule="exact"/>
              <w:jc w:val="center"/>
              <w:rPr>
                <w:kern w:val="0"/>
                <w:sz w:val="24"/>
              </w:rPr>
            </w:pPr>
          </w:p>
          <w:p w14:paraId="79C236F1">
            <w:pPr>
              <w:autoSpaceDE w:val="0"/>
              <w:autoSpaceDN w:val="0"/>
              <w:adjustRightInd w:val="0"/>
              <w:snapToGrid w:val="0"/>
              <w:spacing w:line="400" w:lineRule="exact"/>
              <w:jc w:val="center"/>
              <w:rPr>
                <w:kern w:val="0"/>
                <w:sz w:val="24"/>
              </w:rPr>
            </w:pPr>
          </w:p>
          <w:p w14:paraId="587D3DFE">
            <w:pPr>
              <w:autoSpaceDE w:val="0"/>
              <w:autoSpaceDN w:val="0"/>
              <w:adjustRightInd w:val="0"/>
              <w:snapToGrid w:val="0"/>
              <w:spacing w:line="400" w:lineRule="exact"/>
              <w:jc w:val="center"/>
              <w:rPr>
                <w:kern w:val="0"/>
                <w:sz w:val="24"/>
              </w:rPr>
            </w:pPr>
          </w:p>
          <w:p w14:paraId="1EB8A16B">
            <w:pPr>
              <w:autoSpaceDE w:val="0"/>
              <w:autoSpaceDN w:val="0"/>
              <w:adjustRightInd w:val="0"/>
              <w:snapToGrid w:val="0"/>
              <w:spacing w:line="400" w:lineRule="exact"/>
              <w:jc w:val="center"/>
              <w:rPr>
                <w:kern w:val="0"/>
                <w:sz w:val="24"/>
              </w:rPr>
            </w:pPr>
          </w:p>
          <w:p w14:paraId="5F28D286">
            <w:pPr>
              <w:autoSpaceDE w:val="0"/>
              <w:autoSpaceDN w:val="0"/>
              <w:adjustRightInd w:val="0"/>
              <w:snapToGrid w:val="0"/>
              <w:spacing w:line="400" w:lineRule="exact"/>
              <w:jc w:val="center"/>
              <w:rPr>
                <w:kern w:val="0"/>
                <w:sz w:val="24"/>
              </w:rPr>
            </w:pPr>
          </w:p>
          <w:p w14:paraId="025EED74">
            <w:pPr>
              <w:autoSpaceDE w:val="0"/>
              <w:autoSpaceDN w:val="0"/>
              <w:adjustRightInd w:val="0"/>
              <w:snapToGrid w:val="0"/>
              <w:spacing w:line="400" w:lineRule="exact"/>
              <w:jc w:val="center"/>
              <w:rPr>
                <w:kern w:val="0"/>
                <w:sz w:val="24"/>
              </w:rPr>
            </w:pPr>
          </w:p>
          <w:p w14:paraId="0A18CA5E">
            <w:pPr>
              <w:autoSpaceDE w:val="0"/>
              <w:autoSpaceDN w:val="0"/>
              <w:adjustRightInd w:val="0"/>
              <w:snapToGrid w:val="0"/>
              <w:spacing w:line="400" w:lineRule="exact"/>
              <w:jc w:val="center"/>
              <w:rPr>
                <w:kern w:val="0"/>
                <w:sz w:val="24"/>
              </w:rPr>
            </w:pPr>
          </w:p>
          <w:p w14:paraId="5D071A0C">
            <w:pPr>
              <w:autoSpaceDE w:val="0"/>
              <w:autoSpaceDN w:val="0"/>
              <w:adjustRightInd w:val="0"/>
              <w:snapToGrid w:val="0"/>
              <w:spacing w:line="400" w:lineRule="exact"/>
              <w:jc w:val="center"/>
              <w:rPr>
                <w:kern w:val="0"/>
                <w:sz w:val="24"/>
              </w:rPr>
            </w:pPr>
          </w:p>
          <w:p w14:paraId="17794EC8">
            <w:pPr>
              <w:autoSpaceDE w:val="0"/>
              <w:autoSpaceDN w:val="0"/>
              <w:adjustRightInd w:val="0"/>
              <w:snapToGrid w:val="0"/>
              <w:spacing w:line="400" w:lineRule="exact"/>
              <w:jc w:val="center"/>
              <w:rPr>
                <w:kern w:val="0"/>
                <w:sz w:val="24"/>
              </w:rPr>
            </w:pPr>
          </w:p>
          <w:p w14:paraId="74A824AA">
            <w:pPr>
              <w:autoSpaceDE w:val="0"/>
              <w:autoSpaceDN w:val="0"/>
              <w:adjustRightInd w:val="0"/>
              <w:snapToGrid w:val="0"/>
              <w:spacing w:line="400" w:lineRule="exact"/>
              <w:jc w:val="center"/>
              <w:rPr>
                <w:kern w:val="0"/>
                <w:sz w:val="24"/>
              </w:rPr>
            </w:pPr>
          </w:p>
          <w:p w14:paraId="437C77B3">
            <w:pPr>
              <w:autoSpaceDE w:val="0"/>
              <w:autoSpaceDN w:val="0"/>
              <w:adjustRightInd w:val="0"/>
              <w:snapToGrid w:val="0"/>
              <w:spacing w:line="400" w:lineRule="exact"/>
              <w:jc w:val="center"/>
              <w:rPr>
                <w:kern w:val="0"/>
                <w:sz w:val="24"/>
              </w:rPr>
            </w:pPr>
          </w:p>
          <w:p w14:paraId="664607F7">
            <w:pPr>
              <w:autoSpaceDE w:val="0"/>
              <w:autoSpaceDN w:val="0"/>
              <w:adjustRightInd w:val="0"/>
              <w:snapToGrid w:val="0"/>
              <w:spacing w:line="400" w:lineRule="exact"/>
              <w:jc w:val="center"/>
              <w:rPr>
                <w:kern w:val="0"/>
                <w:sz w:val="24"/>
              </w:rPr>
            </w:pPr>
          </w:p>
          <w:p w14:paraId="57FC2ED1">
            <w:pPr>
              <w:autoSpaceDE w:val="0"/>
              <w:autoSpaceDN w:val="0"/>
              <w:adjustRightInd w:val="0"/>
              <w:snapToGrid w:val="0"/>
              <w:spacing w:line="400" w:lineRule="exact"/>
              <w:jc w:val="center"/>
              <w:rPr>
                <w:kern w:val="0"/>
                <w:sz w:val="24"/>
              </w:rPr>
            </w:pPr>
          </w:p>
          <w:p w14:paraId="7932B5D7">
            <w:pPr>
              <w:autoSpaceDE w:val="0"/>
              <w:autoSpaceDN w:val="0"/>
              <w:adjustRightInd w:val="0"/>
              <w:snapToGrid w:val="0"/>
              <w:spacing w:line="400" w:lineRule="exact"/>
              <w:jc w:val="center"/>
              <w:rPr>
                <w:kern w:val="0"/>
                <w:sz w:val="24"/>
              </w:rPr>
            </w:pPr>
          </w:p>
          <w:p w14:paraId="6AAFFD2A">
            <w:pPr>
              <w:autoSpaceDE w:val="0"/>
              <w:autoSpaceDN w:val="0"/>
              <w:adjustRightInd w:val="0"/>
              <w:snapToGrid w:val="0"/>
              <w:spacing w:line="400" w:lineRule="exact"/>
              <w:jc w:val="center"/>
              <w:rPr>
                <w:kern w:val="0"/>
                <w:sz w:val="24"/>
              </w:rPr>
            </w:pPr>
          </w:p>
          <w:p w14:paraId="5A63731A">
            <w:pPr>
              <w:autoSpaceDE w:val="0"/>
              <w:autoSpaceDN w:val="0"/>
              <w:adjustRightInd w:val="0"/>
              <w:snapToGrid w:val="0"/>
              <w:spacing w:line="400" w:lineRule="exact"/>
              <w:jc w:val="center"/>
              <w:rPr>
                <w:kern w:val="0"/>
                <w:sz w:val="24"/>
              </w:rPr>
            </w:pPr>
          </w:p>
          <w:p w14:paraId="73907E08">
            <w:pPr>
              <w:autoSpaceDE w:val="0"/>
              <w:autoSpaceDN w:val="0"/>
              <w:adjustRightInd w:val="0"/>
              <w:snapToGrid w:val="0"/>
              <w:spacing w:line="400" w:lineRule="exact"/>
              <w:jc w:val="center"/>
              <w:rPr>
                <w:kern w:val="0"/>
                <w:sz w:val="24"/>
              </w:rPr>
            </w:pPr>
          </w:p>
          <w:p w14:paraId="5248C32E">
            <w:pPr>
              <w:autoSpaceDE w:val="0"/>
              <w:autoSpaceDN w:val="0"/>
              <w:adjustRightInd w:val="0"/>
              <w:snapToGrid w:val="0"/>
              <w:spacing w:line="400" w:lineRule="exact"/>
              <w:jc w:val="center"/>
              <w:rPr>
                <w:kern w:val="0"/>
                <w:sz w:val="24"/>
              </w:rPr>
            </w:pPr>
          </w:p>
          <w:p w14:paraId="7DCD8676">
            <w:pPr>
              <w:autoSpaceDE w:val="0"/>
              <w:autoSpaceDN w:val="0"/>
              <w:adjustRightInd w:val="0"/>
              <w:snapToGrid w:val="0"/>
              <w:spacing w:line="400" w:lineRule="exact"/>
              <w:jc w:val="center"/>
              <w:rPr>
                <w:kern w:val="0"/>
                <w:sz w:val="24"/>
              </w:rPr>
            </w:pPr>
          </w:p>
          <w:p w14:paraId="6D4393D7">
            <w:pPr>
              <w:autoSpaceDE w:val="0"/>
              <w:autoSpaceDN w:val="0"/>
              <w:adjustRightInd w:val="0"/>
              <w:snapToGrid w:val="0"/>
              <w:spacing w:line="400" w:lineRule="exact"/>
              <w:jc w:val="center"/>
              <w:rPr>
                <w:kern w:val="0"/>
                <w:sz w:val="24"/>
              </w:rPr>
            </w:pPr>
          </w:p>
          <w:p w14:paraId="68F3E254">
            <w:pPr>
              <w:autoSpaceDE w:val="0"/>
              <w:autoSpaceDN w:val="0"/>
              <w:adjustRightInd w:val="0"/>
              <w:snapToGrid w:val="0"/>
              <w:spacing w:line="400" w:lineRule="exact"/>
              <w:jc w:val="center"/>
              <w:rPr>
                <w:kern w:val="0"/>
                <w:sz w:val="24"/>
              </w:rPr>
            </w:pPr>
          </w:p>
          <w:p w14:paraId="5B42F5A7">
            <w:pPr>
              <w:autoSpaceDE w:val="0"/>
              <w:autoSpaceDN w:val="0"/>
              <w:adjustRightInd w:val="0"/>
              <w:snapToGrid w:val="0"/>
              <w:spacing w:line="400" w:lineRule="exact"/>
              <w:jc w:val="center"/>
              <w:rPr>
                <w:kern w:val="0"/>
                <w:sz w:val="24"/>
              </w:rPr>
            </w:pPr>
          </w:p>
          <w:p w14:paraId="5DC95D17">
            <w:pPr>
              <w:autoSpaceDE w:val="0"/>
              <w:autoSpaceDN w:val="0"/>
              <w:adjustRightInd w:val="0"/>
              <w:snapToGrid w:val="0"/>
              <w:spacing w:line="400" w:lineRule="exact"/>
              <w:jc w:val="center"/>
              <w:rPr>
                <w:kern w:val="0"/>
                <w:sz w:val="24"/>
              </w:rPr>
            </w:pPr>
          </w:p>
          <w:p w14:paraId="5BD6F213">
            <w:pPr>
              <w:autoSpaceDE w:val="0"/>
              <w:autoSpaceDN w:val="0"/>
              <w:adjustRightInd w:val="0"/>
              <w:snapToGrid w:val="0"/>
              <w:spacing w:line="400" w:lineRule="exact"/>
              <w:jc w:val="center"/>
              <w:rPr>
                <w:kern w:val="0"/>
                <w:sz w:val="24"/>
              </w:rPr>
            </w:pPr>
          </w:p>
          <w:p w14:paraId="33289315">
            <w:pPr>
              <w:autoSpaceDE w:val="0"/>
              <w:autoSpaceDN w:val="0"/>
              <w:adjustRightInd w:val="0"/>
              <w:snapToGrid w:val="0"/>
              <w:spacing w:line="400" w:lineRule="exact"/>
              <w:jc w:val="center"/>
              <w:rPr>
                <w:kern w:val="0"/>
                <w:sz w:val="24"/>
              </w:rPr>
            </w:pPr>
          </w:p>
          <w:p w14:paraId="7157ED5A">
            <w:pPr>
              <w:autoSpaceDE w:val="0"/>
              <w:autoSpaceDN w:val="0"/>
              <w:adjustRightInd w:val="0"/>
              <w:snapToGrid w:val="0"/>
              <w:spacing w:line="400" w:lineRule="exact"/>
              <w:jc w:val="center"/>
              <w:rPr>
                <w:kern w:val="0"/>
                <w:sz w:val="24"/>
              </w:rPr>
            </w:pPr>
          </w:p>
          <w:p w14:paraId="2236B60A">
            <w:pPr>
              <w:autoSpaceDE w:val="0"/>
              <w:autoSpaceDN w:val="0"/>
              <w:adjustRightInd w:val="0"/>
              <w:snapToGrid w:val="0"/>
              <w:spacing w:line="400" w:lineRule="exact"/>
              <w:rPr>
                <w:kern w:val="0"/>
                <w:sz w:val="24"/>
              </w:rPr>
            </w:pPr>
          </w:p>
          <w:p w14:paraId="022071B9">
            <w:pPr>
              <w:autoSpaceDE w:val="0"/>
              <w:autoSpaceDN w:val="0"/>
              <w:adjustRightInd w:val="0"/>
              <w:snapToGrid w:val="0"/>
              <w:spacing w:line="400" w:lineRule="exact"/>
              <w:jc w:val="center"/>
              <w:rPr>
                <w:kern w:val="0"/>
                <w:sz w:val="24"/>
              </w:rPr>
            </w:pPr>
          </w:p>
          <w:p w14:paraId="0A9A8AAF">
            <w:pPr>
              <w:autoSpaceDE w:val="0"/>
              <w:autoSpaceDN w:val="0"/>
              <w:adjustRightInd w:val="0"/>
              <w:snapToGrid w:val="0"/>
              <w:spacing w:line="400" w:lineRule="exact"/>
              <w:jc w:val="center"/>
              <w:rPr>
                <w:kern w:val="0"/>
                <w:sz w:val="24"/>
              </w:rPr>
            </w:pPr>
            <w:r>
              <w:rPr>
                <w:kern w:val="0"/>
                <w:sz w:val="24"/>
              </w:rPr>
              <w:t>其他符合性分析</w:t>
            </w:r>
          </w:p>
          <w:p w14:paraId="5FBD0A8E">
            <w:pPr>
              <w:autoSpaceDE w:val="0"/>
              <w:autoSpaceDN w:val="0"/>
              <w:adjustRightInd w:val="0"/>
              <w:snapToGrid w:val="0"/>
              <w:spacing w:line="400" w:lineRule="exact"/>
              <w:jc w:val="center"/>
              <w:rPr>
                <w:kern w:val="0"/>
                <w:sz w:val="24"/>
              </w:rPr>
            </w:pPr>
          </w:p>
          <w:p w14:paraId="46ECFB01">
            <w:pPr>
              <w:autoSpaceDE w:val="0"/>
              <w:autoSpaceDN w:val="0"/>
              <w:adjustRightInd w:val="0"/>
              <w:snapToGrid w:val="0"/>
              <w:spacing w:line="400" w:lineRule="exact"/>
              <w:jc w:val="center"/>
              <w:rPr>
                <w:kern w:val="0"/>
                <w:sz w:val="24"/>
              </w:rPr>
            </w:pPr>
          </w:p>
          <w:p w14:paraId="12D53017">
            <w:pPr>
              <w:autoSpaceDE w:val="0"/>
              <w:autoSpaceDN w:val="0"/>
              <w:adjustRightInd w:val="0"/>
              <w:snapToGrid w:val="0"/>
              <w:spacing w:line="400" w:lineRule="exact"/>
              <w:jc w:val="center"/>
              <w:rPr>
                <w:kern w:val="0"/>
                <w:sz w:val="24"/>
              </w:rPr>
            </w:pPr>
          </w:p>
          <w:p w14:paraId="7459278A">
            <w:pPr>
              <w:autoSpaceDE w:val="0"/>
              <w:autoSpaceDN w:val="0"/>
              <w:adjustRightInd w:val="0"/>
              <w:snapToGrid w:val="0"/>
              <w:spacing w:line="400" w:lineRule="exact"/>
              <w:jc w:val="center"/>
              <w:rPr>
                <w:kern w:val="0"/>
                <w:sz w:val="24"/>
              </w:rPr>
            </w:pPr>
          </w:p>
          <w:p w14:paraId="0556845D">
            <w:pPr>
              <w:autoSpaceDE w:val="0"/>
              <w:autoSpaceDN w:val="0"/>
              <w:adjustRightInd w:val="0"/>
              <w:snapToGrid w:val="0"/>
              <w:spacing w:line="400" w:lineRule="exact"/>
              <w:jc w:val="center"/>
              <w:rPr>
                <w:kern w:val="0"/>
                <w:sz w:val="24"/>
              </w:rPr>
            </w:pPr>
          </w:p>
          <w:p w14:paraId="3ED816F5">
            <w:pPr>
              <w:autoSpaceDE w:val="0"/>
              <w:autoSpaceDN w:val="0"/>
              <w:adjustRightInd w:val="0"/>
              <w:snapToGrid w:val="0"/>
              <w:spacing w:line="400" w:lineRule="exact"/>
              <w:jc w:val="center"/>
              <w:rPr>
                <w:kern w:val="0"/>
                <w:sz w:val="24"/>
              </w:rPr>
            </w:pPr>
          </w:p>
          <w:p w14:paraId="7C6A1CF7">
            <w:pPr>
              <w:autoSpaceDE w:val="0"/>
              <w:autoSpaceDN w:val="0"/>
              <w:adjustRightInd w:val="0"/>
              <w:snapToGrid w:val="0"/>
              <w:spacing w:line="400" w:lineRule="exact"/>
              <w:jc w:val="center"/>
              <w:rPr>
                <w:kern w:val="0"/>
                <w:sz w:val="24"/>
              </w:rPr>
            </w:pPr>
          </w:p>
          <w:p w14:paraId="007C16C2">
            <w:pPr>
              <w:autoSpaceDE w:val="0"/>
              <w:autoSpaceDN w:val="0"/>
              <w:adjustRightInd w:val="0"/>
              <w:snapToGrid w:val="0"/>
              <w:spacing w:line="400" w:lineRule="exact"/>
              <w:jc w:val="center"/>
              <w:rPr>
                <w:kern w:val="0"/>
                <w:sz w:val="24"/>
              </w:rPr>
            </w:pPr>
          </w:p>
          <w:p w14:paraId="5711C573">
            <w:pPr>
              <w:autoSpaceDE w:val="0"/>
              <w:autoSpaceDN w:val="0"/>
              <w:adjustRightInd w:val="0"/>
              <w:snapToGrid w:val="0"/>
              <w:spacing w:line="400" w:lineRule="exact"/>
              <w:jc w:val="center"/>
              <w:rPr>
                <w:kern w:val="0"/>
                <w:sz w:val="24"/>
              </w:rPr>
            </w:pPr>
          </w:p>
          <w:p w14:paraId="0EBB00E3">
            <w:pPr>
              <w:autoSpaceDE w:val="0"/>
              <w:autoSpaceDN w:val="0"/>
              <w:adjustRightInd w:val="0"/>
              <w:snapToGrid w:val="0"/>
              <w:spacing w:line="400" w:lineRule="exact"/>
              <w:jc w:val="center"/>
              <w:rPr>
                <w:kern w:val="0"/>
                <w:sz w:val="24"/>
              </w:rPr>
            </w:pPr>
          </w:p>
          <w:p w14:paraId="48FC9428">
            <w:pPr>
              <w:autoSpaceDE w:val="0"/>
              <w:autoSpaceDN w:val="0"/>
              <w:adjustRightInd w:val="0"/>
              <w:snapToGrid w:val="0"/>
              <w:spacing w:line="400" w:lineRule="exact"/>
              <w:jc w:val="center"/>
              <w:rPr>
                <w:kern w:val="0"/>
                <w:sz w:val="24"/>
              </w:rPr>
            </w:pPr>
          </w:p>
          <w:p w14:paraId="6B383859">
            <w:pPr>
              <w:autoSpaceDE w:val="0"/>
              <w:autoSpaceDN w:val="0"/>
              <w:adjustRightInd w:val="0"/>
              <w:snapToGrid w:val="0"/>
              <w:spacing w:line="400" w:lineRule="exact"/>
              <w:rPr>
                <w:kern w:val="0"/>
                <w:sz w:val="24"/>
              </w:rPr>
            </w:pPr>
          </w:p>
          <w:p w14:paraId="21873FE2">
            <w:pPr>
              <w:autoSpaceDE w:val="0"/>
              <w:autoSpaceDN w:val="0"/>
              <w:adjustRightInd w:val="0"/>
              <w:snapToGrid w:val="0"/>
              <w:spacing w:line="400" w:lineRule="exact"/>
              <w:jc w:val="center"/>
              <w:rPr>
                <w:kern w:val="0"/>
                <w:sz w:val="24"/>
              </w:rPr>
            </w:pPr>
          </w:p>
          <w:p w14:paraId="2B568F67">
            <w:pPr>
              <w:autoSpaceDE w:val="0"/>
              <w:autoSpaceDN w:val="0"/>
              <w:adjustRightInd w:val="0"/>
              <w:snapToGrid w:val="0"/>
              <w:spacing w:line="400" w:lineRule="exact"/>
              <w:jc w:val="center"/>
              <w:rPr>
                <w:kern w:val="0"/>
                <w:sz w:val="24"/>
              </w:rPr>
            </w:pPr>
          </w:p>
          <w:p w14:paraId="71549248">
            <w:pPr>
              <w:autoSpaceDE w:val="0"/>
              <w:autoSpaceDN w:val="0"/>
              <w:adjustRightInd w:val="0"/>
              <w:snapToGrid w:val="0"/>
              <w:spacing w:line="400" w:lineRule="exact"/>
              <w:jc w:val="center"/>
              <w:rPr>
                <w:kern w:val="0"/>
                <w:sz w:val="24"/>
              </w:rPr>
            </w:pPr>
          </w:p>
          <w:p w14:paraId="6542017B">
            <w:pPr>
              <w:autoSpaceDE w:val="0"/>
              <w:autoSpaceDN w:val="0"/>
              <w:adjustRightInd w:val="0"/>
              <w:snapToGrid w:val="0"/>
              <w:spacing w:line="400" w:lineRule="exact"/>
              <w:rPr>
                <w:kern w:val="0"/>
                <w:sz w:val="24"/>
              </w:rPr>
            </w:pPr>
          </w:p>
        </w:tc>
        <w:tc>
          <w:tcPr>
            <w:tcW w:w="8385" w:type="dxa"/>
            <w:gridSpan w:val="4"/>
            <w:noWrap w:val="0"/>
            <w:vAlign w:val="top"/>
          </w:tcPr>
          <w:p w14:paraId="25A8F340">
            <w:pPr>
              <w:pStyle w:val="144"/>
              <w:spacing w:line="480" w:lineRule="atLeast"/>
              <w:ind w:firstLine="480" w:firstLineChars="200"/>
              <w:jc w:val="both"/>
              <w:rPr>
                <w:rFonts w:hint="eastAsia" w:ascii="黑体" w:hAnsi="黑体" w:eastAsia="黑体" w:cs="黑体"/>
                <w:bCs/>
                <w:sz w:val="18"/>
                <w:lang w:eastAsia="zh-CN"/>
              </w:rPr>
            </w:pPr>
            <w:r>
              <w:rPr>
                <w:rFonts w:hint="eastAsia" w:ascii="黑体" w:hAnsi="黑体" w:eastAsia="黑体" w:cs="黑体"/>
                <w:bCs/>
                <w:sz w:val="24"/>
                <w:lang w:eastAsia="zh-CN"/>
              </w:rPr>
              <w:t>1、产业政策符合性分析</w:t>
            </w:r>
          </w:p>
          <w:p w14:paraId="4A05BF16">
            <w:pPr>
              <w:pStyle w:val="144"/>
              <w:spacing w:line="480" w:lineRule="atLeast"/>
              <w:ind w:firstLine="480" w:firstLineChars="200"/>
              <w:jc w:val="both"/>
              <w:rPr>
                <w:rFonts w:ascii="Times New Roman" w:hAnsi="Times New Roman"/>
                <w:sz w:val="24"/>
                <w:lang w:eastAsia="zh-CN"/>
              </w:rPr>
            </w:pPr>
            <w:r>
              <w:rPr>
                <w:rFonts w:ascii="Times New Roman" w:hAnsi="Times New Roman"/>
                <w:sz w:val="24"/>
                <w:lang w:eastAsia="zh-CN"/>
              </w:rPr>
              <w:t>本项目</w:t>
            </w:r>
            <w:r>
              <w:rPr>
                <w:rFonts w:hint="eastAsia" w:ascii="Times New Roman" w:hAnsi="Times New Roman"/>
                <w:sz w:val="24"/>
                <w:lang w:eastAsia="zh-CN"/>
              </w:rPr>
              <w:t>为粘土砖瓦及建筑砌块制造</w:t>
            </w:r>
            <w:r>
              <w:rPr>
                <w:rFonts w:hint="eastAsia"/>
                <w:sz w:val="24"/>
                <w:szCs w:val="24"/>
                <w:lang w:eastAsia="zh-CN"/>
              </w:rPr>
              <w:t>业</w:t>
            </w:r>
            <w:r>
              <w:rPr>
                <w:rFonts w:ascii="Times New Roman" w:hAnsi="Times New Roman"/>
                <w:sz w:val="24"/>
                <w:lang w:eastAsia="zh-CN"/>
              </w:rPr>
              <w:t>，对照《产业结构调整指导目录(20</w:t>
            </w:r>
            <w:r>
              <w:rPr>
                <w:rFonts w:hint="eastAsia" w:ascii="Times New Roman" w:hAnsi="Times New Roman"/>
                <w:sz w:val="24"/>
                <w:lang w:eastAsia="zh-CN"/>
              </w:rPr>
              <w:t>24</w:t>
            </w:r>
            <w:r>
              <w:rPr>
                <w:rFonts w:ascii="Times New Roman" w:hAnsi="Times New Roman"/>
                <w:sz w:val="24"/>
                <w:lang w:eastAsia="zh-CN"/>
              </w:rPr>
              <w:t>年本)》</w:t>
            </w:r>
            <w:r>
              <w:rPr>
                <w:rFonts w:hint="eastAsia" w:ascii="Times New Roman" w:hAnsi="Times New Roman"/>
                <w:sz w:val="24"/>
                <w:lang w:eastAsia="zh-CN"/>
              </w:rPr>
              <w:t>；本项目属于鼓励类“煤矸石、粉煤灰、尾矿(共伴生矿)、冶炼渣、工业副产石膏、赤泥、建筑垃圾等工业废弃物循环利用”项目</w:t>
            </w:r>
            <w:r>
              <w:rPr>
                <w:rFonts w:ascii="Times New Roman" w:hAnsi="Times New Roman"/>
                <w:sz w:val="24"/>
                <w:lang w:eastAsia="zh-CN"/>
              </w:rPr>
              <w:t>。</w:t>
            </w:r>
            <w:r>
              <w:rPr>
                <w:rFonts w:hint="eastAsia" w:ascii="Times New Roman" w:hAnsi="Times New Roman"/>
                <w:sz w:val="24"/>
                <w:lang w:val="en-US" w:eastAsia="zh-CN"/>
              </w:rPr>
              <w:t>故本项目</w:t>
            </w:r>
            <w:r>
              <w:rPr>
                <w:rFonts w:ascii="Times New Roman" w:hAnsi="Times New Roman"/>
                <w:sz w:val="24"/>
                <w:lang w:eastAsia="zh-CN"/>
              </w:rPr>
              <w:t>符合国家产业政策要求。</w:t>
            </w:r>
          </w:p>
          <w:p w14:paraId="58730AB3">
            <w:pPr>
              <w:spacing w:line="480" w:lineRule="atLeast"/>
              <w:ind w:firstLine="480" w:firstLineChars="200"/>
              <w:rPr>
                <w:rFonts w:hint="eastAsia" w:ascii="黑体" w:hAnsi="黑体" w:eastAsia="黑体" w:cs="黑体"/>
                <w:bCs/>
                <w:sz w:val="24"/>
              </w:rPr>
            </w:pPr>
            <w:r>
              <w:rPr>
                <w:rFonts w:hint="eastAsia" w:ascii="黑体" w:hAnsi="黑体" w:eastAsia="黑体" w:cs="黑体"/>
                <w:bCs/>
                <w:sz w:val="24"/>
              </w:rPr>
              <w:t>2、用地及选址符合性分析</w:t>
            </w:r>
          </w:p>
          <w:p w14:paraId="6173F42A">
            <w:pPr>
              <w:pStyle w:val="144"/>
              <w:spacing w:line="480" w:lineRule="atLeast"/>
              <w:ind w:firstLine="480" w:firstLineChars="200"/>
              <w:jc w:val="both"/>
              <w:rPr>
                <w:rFonts w:ascii="Times New Roman" w:hAnsi="Times New Roman" w:eastAsia="宋体" w:cs="Times New Roman"/>
                <w:sz w:val="24"/>
                <w:lang w:eastAsia="zh-CN"/>
              </w:rPr>
            </w:pPr>
            <w:r>
              <w:rPr>
                <w:rFonts w:ascii="Times New Roman" w:hAnsi="Times New Roman" w:eastAsia="宋体" w:cs="Times New Roman"/>
                <w:sz w:val="24"/>
                <w:lang w:eastAsia="zh-CN"/>
              </w:rPr>
              <w:t>本项目属于</w:t>
            </w:r>
            <w:r>
              <w:rPr>
                <w:rFonts w:hint="eastAsia" w:ascii="Times New Roman" w:hAnsi="Times New Roman" w:eastAsia="宋体" w:cs="Times New Roman"/>
                <w:sz w:val="24"/>
                <w:lang w:eastAsia="zh-CN"/>
              </w:rPr>
              <w:t>C3031粘土砖瓦及建筑砌块制造</w:t>
            </w:r>
            <w:r>
              <w:rPr>
                <w:rFonts w:ascii="Times New Roman" w:hAnsi="Times New Roman" w:eastAsia="宋体" w:cs="Times New Roman"/>
                <w:sz w:val="24"/>
                <w:lang w:eastAsia="zh-CN"/>
              </w:rPr>
              <w:t>，建设选址于</w:t>
            </w:r>
            <w:r>
              <w:rPr>
                <w:rFonts w:hint="eastAsia" w:ascii="Times New Roman" w:hAnsi="Times New Roman" w:eastAsia="宋体" w:cs="Times New Roman"/>
                <w:sz w:val="24"/>
                <w:lang w:eastAsia="zh-CN"/>
              </w:rPr>
              <w:t>淮南市凤台县古店乡北芹村</w:t>
            </w:r>
            <w:r>
              <w:rPr>
                <w:rFonts w:ascii="Times New Roman" w:hAnsi="Times New Roman" w:eastAsia="宋体" w:cs="Times New Roman"/>
                <w:sz w:val="24"/>
                <w:lang w:eastAsia="zh-CN"/>
              </w:rPr>
              <w:t>，</w:t>
            </w:r>
            <w:r>
              <w:rPr>
                <w:rFonts w:hint="eastAsia" w:ascii="Times New Roman" w:hAnsi="Times New Roman" w:eastAsia="宋体" w:cs="Times New Roman"/>
                <w:sz w:val="24"/>
                <w:lang w:eastAsia="zh-CN"/>
              </w:rPr>
              <w:t>根据</w:t>
            </w:r>
            <w:r>
              <w:rPr>
                <w:rFonts w:hint="eastAsia" w:ascii="Times New Roman" w:hAnsi="Times New Roman" w:cs="Times New Roman"/>
                <w:sz w:val="24"/>
                <w:lang w:val="en-US" w:eastAsia="zh-CN"/>
              </w:rPr>
              <w:t>建设单位提供自规所出具材料</w:t>
            </w:r>
            <w:r>
              <w:rPr>
                <w:rFonts w:hint="eastAsia" w:ascii="Times New Roman" w:hAnsi="Times New Roman" w:eastAsia="宋体" w:cs="Times New Roman"/>
                <w:sz w:val="24"/>
                <w:lang w:eastAsia="zh-CN"/>
              </w:rPr>
              <w:t>，项目用地属</w:t>
            </w:r>
            <w:r>
              <w:rPr>
                <w:rFonts w:hint="eastAsia" w:ascii="Times New Roman" w:hAnsi="Times New Roman" w:cs="Times New Roman"/>
                <w:sz w:val="24"/>
                <w:lang w:val="en-US" w:eastAsia="zh-CN"/>
              </w:rPr>
              <w:t>建设</w:t>
            </w:r>
            <w:r>
              <w:rPr>
                <w:rFonts w:hint="eastAsia" w:ascii="Times New Roman" w:hAnsi="Times New Roman" w:eastAsia="宋体" w:cs="Times New Roman"/>
                <w:sz w:val="24"/>
                <w:lang w:eastAsia="zh-CN"/>
              </w:rPr>
              <w:t>用地，</w:t>
            </w:r>
            <w:r>
              <w:rPr>
                <w:rFonts w:ascii="Times New Roman" w:hAnsi="Times New Roman" w:eastAsia="宋体" w:cs="Times New Roman"/>
                <w:sz w:val="24"/>
                <w:lang w:eastAsia="zh-CN"/>
              </w:rPr>
              <w:t>可用于本项目生产，符合用地要求。</w:t>
            </w:r>
          </w:p>
          <w:p w14:paraId="74F9A763">
            <w:pPr>
              <w:pStyle w:val="144"/>
              <w:spacing w:line="480" w:lineRule="atLeast"/>
              <w:ind w:firstLine="480" w:firstLineChars="200"/>
              <w:jc w:val="both"/>
              <w:rPr>
                <w:rFonts w:hint="eastAsia" w:ascii="Times New Roman" w:hAnsi="Times New Roman" w:eastAsia="宋体" w:cs="Times New Roman"/>
                <w:sz w:val="24"/>
                <w:lang w:eastAsia="zh-CN"/>
              </w:rPr>
            </w:pPr>
            <w:r>
              <w:rPr>
                <w:rFonts w:ascii="Times New Roman" w:hAnsi="Times New Roman" w:eastAsia="宋体" w:cs="Times New Roman"/>
                <w:sz w:val="24"/>
                <w:lang w:eastAsia="zh-CN"/>
              </w:rPr>
              <w:t>项目区域供水、供电、通讯、排水等基础设施完善，周边交通便捷，为本项目原材料和产品运输提供了有利条件；项目区域水、声等环境质量均满足功能规划要求，周围无项目制约因素。建设项目</w:t>
            </w:r>
            <w:r>
              <w:rPr>
                <w:rFonts w:hint="eastAsia" w:ascii="Times New Roman" w:hAnsi="Times New Roman" w:eastAsia="宋体" w:cs="Times New Roman"/>
                <w:sz w:val="24"/>
                <w:lang w:eastAsia="zh-CN"/>
              </w:rPr>
              <w:t>北侧及西侧为大渡河，东侧及南侧为空地，</w:t>
            </w:r>
            <w:r>
              <w:rPr>
                <w:rFonts w:ascii="Times New Roman" w:hAnsi="Times New Roman" w:eastAsia="宋体" w:cs="Times New Roman"/>
                <w:sz w:val="24"/>
                <w:lang w:eastAsia="zh-CN"/>
              </w:rPr>
              <w:t>所在地交通便利，四通八达，可以满足更多客户的需求。该区域无自然保护区、文物景观、水源地等环境敏感点。因此，本项目选址所在地及周边环境较合理。</w:t>
            </w:r>
          </w:p>
          <w:p w14:paraId="33D50755">
            <w:pPr>
              <w:pStyle w:val="145"/>
              <w:spacing w:line="480" w:lineRule="atLeast"/>
              <w:ind w:firstLine="480"/>
              <w:rPr>
                <w:rFonts w:hint="eastAsia" w:ascii="黑体" w:hAnsi="黑体" w:eastAsia="黑体" w:cs="黑体"/>
              </w:rPr>
            </w:pPr>
            <w:r>
              <w:rPr>
                <w:rFonts w:hint="eastAsia" w:ascii="黑体" w:hAnsi="黑体" w:eastAsia="黑体" w:cs="黑体"/>
              </w:rPr>
              <w:t>3、分区管控相符性分析</w:t>
            </w:r>
          </w:p>
          <w:p w14:paraId="7626C7DF">
            <w:pPr>
              <w:pStyle w:val="145"/>
              <w:spacing w:line="480" w:lineRule="atLeast"/>
              <w:ind w:firstLine="480"/>
              <w:rPr>
                <w:rFonts w:hint="eastAsia" w:eastAsia="宋体"/>
                <w:color w:val="000000"/>
              </w:rPr>
            </w:pPr>
            <w:r>
              <w:rPr>
                <w:rFonts w:hint="eastAsia" w:eastAsia="宋体"/>
                <w:color w:val="000000"/>
              </w:rPr>
              <w:t>2020年6月29日，安徽省人民政府发布了《关于加快实施“三线一单”生态环境分区管控的通知》(皖政秘[2020]124号)；2022年1月10日，安徽省生态环境厅以皖环发[2022]5号文印发《安徽省“三线一单”生态环境分区管控管理办法(暂行)》(以下简称《办法》)。《办法》要求：“在建设项目环评中，做好与“三线一单”生态环境分区管控相符性分析，充分论证是否符合生态环境准入清单要求，对不符合的依法不予审批”。</w:t>
            </w:r>
          </w:p>
          <w:p w14:paraId="70555D11">
            <w:pPr>
              <w:pStyle w:val="145"/>
              <w:spacing w:line="480" w:lineRule="atLeast"/>
              <w:ind w:firstLine="480"/>
              <w:rPr>
                <w:rFonts w:hint="eastAsia" w:eastAsia="宋体"/>
                <w:color w:val="000000"/>
              </w:rPr>
            </w:pPr>
            <w:r>
              <w:rPr>
                <w:rFonts w:hint="eastAsia" w:eastAsia="宋体"/>
                <w:color w:val="000000"/>
              </w:rPr>
              <w:t>(1)空间布局约束分区管控要求</w:t>
            </w:r>
          </w:p>
          <w:p w14:paraId="7497CE1C">
            <w:pPr>
              <w:pStyle w:val="145"/>
              <w:spacing w:line="480" w:lineRule="atLeast"/>
              <w:ind w:firstLine="480"/>
              <w:rPr>
                <w:rFonts w:hint="eastAsia" w:eastAsia="宋体"/>
                <w:color w:val="000000"/>
              </w:rPr>
            </w:pPr>
            <w:r>
              <w:rPr>
                <w:rFonts w:hint="eastAsia" w:eastAsia="宋体"/>
                <w:color w:val="000000"/>
              </w:rPr>
              <w:t>本项目于淮南市凤台县古店乡北芹村现有厂区内建设，对照淮南市生态环境分区管控成果动态更新图集，项目不在淮南市划定的生态保护红线范围内。</w:t>
            </w:r>
          </w:p>
          <w:p w14:paraId="5888864C">
            <w:pPr>
              <w:pStyle w:val="145"/>
              <w:spacing w:line="480" w:lineRule="atLeast"/>
              <w:ind w:firstLine="480"/>
              <w:rPr>
                <w:rFonts w:eastAsia="宋体"/>
                <w:color w:val="000000"/>
              </w:rPr>
            </w:pPr>
            <w:r>
              <w:rPr>
                <w:rFonts w:hint="eastAsia" w:eastAsia="宋体"/>
                <w:color w:val="000000"/>
              </w:rPr>
              <w:t>根据查询“安徽省“三线一单”公众服务平台”，项目地所在属于大气重点管控区，环境管控单元编码为：ZH34042120009。与空间布局约束分区管控要求分析见表1-1：</w:t>
            </w:r>
          </w:p>
          <w:p w14:paraId="535D412E">
            <w:pPr>
              <w:pStyle w:val="208"/>
              <w:rPr>
                <w:rFonts w:hint="eastAsia" w:ascii="黑体" w:hAnsi="黑体" w:eastAsia="黑体" w:cs="黑体"/>
                <w:b w:val="0"/>
                <w:bCs w:val="0"/>
                <w:sz w:val="24"/>
                <w:szCs w:val="24"/>
              </w:rPr>
            </w:pPr>
          </w:p>
          <w:p w14:paraId="0CD35371">
            <w:pPr>
              <w:pStyle w:val="208"/>
              <w:rPr>
                <w:rFonts w:hint="eastAsia" w:ascii="黑体" w:hAnsi="黑体" w:eastAsia="黑体" w:cs="黑体"/>
                <w:b w:val="0"/>
                <w:bCs w:val="0"/>
                <w:sz w:val="24"/>
                <w:szCs w:val="24"/>
              </w:rPr>
            </w:pPr>
            <w:r>
              <w:rPr>
                <w:rFonts w:hint="eastAsia" w:ascii="黑体" w:hAnsi="黑体" w:eastAsia="黑体" w:cs="黑体"/>
                <w:b w:val="0"/>
                <w:bCs w:val="0"/>
                <w:sz w:val="24"/>
                <w:szCs w:val="24"/>
              </w:rPr>
              <w:t>表1-1与生态环境分区管控符合性分析一览表</w:t>
            </w:r>
          </w:p>
          <w:tbl>
            <w:tblPr>
              <w:tblStyle w:val="3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5516"/>
              <w:gridCol w:w="1078"/>
              <w:gridCol w:w="776"/>
            </w:tblGrid>
            <w:tr w14:paraId="7E73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0" w:type="pct"/>
                  <w:noWrap w:val="0"/>
                  <w:vAlign w:val="center"/>
                </w:tcPr>
                <w:p w14:paraId="053BCC81">
                  <w:pPr>
                    <w:pStyle w:val="206"/>
                    <w:spacing w:line="320" w:lineRule="exact"/>
                    <w:ind w:firstLine="0" w:firstLineChars="0"/>
                  </w:pPr>
                  <w:r>
                    <w:rPr>
                      <w:rFonts w:hint="eastAsia"/>
                    </w:rPr>
                    <w:t>管控类别</w:t>
                  </w:r>
                </w:p>
              </w:tc>
              <w:tc>
                <w:tcPr>
                  <w:tcW w:w="3383" w:type="pct"/>
                  <w:noWrap w:val="0"/>
                  <w:vAlign w:val="center"/>
                </w:tcPr>
                <w:p w14:paraId="0A32AB49">
                  <w:pPr>
                    <w:pStyle w:val="206"/>
                    <w:spacing w:line="320" w:lineRule="exact"/>
                    <w:ind w:firstLine="0" w:firstLineChars="0"/>
                  </w:pPr>
                  <w:r>
                    <w:rPr>
                      <w:rFonts w:hint="eastAsia"/>
                    </w:rPr>
                    <w:t>管控要求</w:t>
                  </w:r>
                </w:p>
              </w:tc>
              <w:tc>
                <w:tcPr>
                  <w:tcW w:w="661" w:type="pct"/>
                  <w:noWrap w:val="0"/>
                  <w:vAlign w:val="center"/>
                </w:tcPr>
                <w:p w14:paraId="11FA0DD6">
                  <w:pPr>
                    <w:pStyle w:val="206"/>
                    <w:spacing w:line="320" w:lineRule="exact"/>
                    <w:ind w:firstLine="0" w:firstLineChars="0"/>
                  </w:pPr>
                  <w:r>
                    <w:rPr>
                      <w:rFonts w:hint="eastAsia"/>
                    </w:rPr>
                    <w:t>本项目建设情况</w:t>
                  </w:r>
                </w:p>
              </w:tc>
              <w:tc>
                <w:tcPr>
                  <w:tcW w:w="476" w:type="pct"/>
                  <w:noWrap w:val="0"/>
                  <w:vAlign w:val="center"/>
                </w:tcPr>
                <w:p w14:paraId="3F172864">
                  <w:pPr>
                    <w:pStyle w:val="206"/>
                    <w:spacing w:line="320" w:lineRule="exact"/>
                    <w:ind w:firstLine="0" w:firstLineChars="0"/>
                  </w:pPr>
                  <w:r>
                    <w:rPr>
                      <w:rFonts w:hint="eastAsia"/>
                    </w:rPr>
                    <w:t>符合性分析</w:t>
                  </w:r>
                </w:p>
              </w:tc>
            </w:tr>
            <w:tr w14:paraId="30F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noWrap w:val="0"/>
                  <w:vAlign w:val="center"/>
                </w:tcPr>
                <w:p w14:paraId="470EE684">
                  <w:pPr>
                    <w:pStyle w:val="206"/>
                    <w:spacing w:line="320" w:lineRule="exact"/>
                    <w:ind w:firstLine="0" w:firstLineChars="0"/>
                  </w:pPr>
                  <w:r>
                    <w:rPr>
                      <w:rFonts w:hint="eastAsia"/>
                    </w:rPr>
                    <w:t>空间布局管控</w:t>
                  </w:r>
                </w:p>
              </w:tc>
              <w:tc>
                <w:tcPr>
                  <w:tcW w:w="3383" w:type="pct"/>
                  <w:noWrap w:val="0"/>
                  <w:vAlign w:val="center"/>
                </w:tcPr>
                <w:p w14:paraId="3F0D595F">
                  <w:pPr>
                    <w:pStyle w:val="206"/>
                    <w:spacing w:line="320" w:lineRule="exact"/>
                    <w:ind w:firstLine="0" w:firstLineChars="0"/>
                    <w:jc w:val="both"/>
                    <w:rPr>
                      <w:rFonts w:hint="eastAsia"/>
                    </w:rPr>
                  </w:pPr>
                  <w:r>
                    <w:rPr>
                      <w:rFonts w:hint="eastAsia"/>
                    </w:rPr>
                    <w:t>1在城市城区及其近郊禁止新建、扩建钢铁、有色、石化、水泥、化工等重污染企业。</w:t>
                  </w:r>
                </w:p>
                <w:p w14:paraId="5E2846D3">
                  <w:pPr>
                    <w:pStyle w:val="206"/>
                    <w:spacing w:line="320" w:lineRule="exact"/>
                    <w:ind w:firstLine="0" w:firstLineChars="0"/>
                    <w:jc w:val="both"/>
                    <w:rPr>
                      <w:rFonts w:hint="eastAsia"/>
                    </w:rPr>
                  </w:pPr>
                  <w:r>
                    <w:rPr>
                      <w:rFonts w:hint="eastAsia"/>
                    </w:rPr>
                    <w:t>2禁止新建燃料类煤气发生炉(园区现有企业统一建设的清洁煤制气中心除外)。</w:t>
                  </w:r>
                </w:p>
                <w:p w14:paraId="2D0A2B7B">
                  <w:pPr>
                    <w:pStyle w:val="206"/>
                    <w:spacing w:line="320" w:lineRule="exact"/>
                    <w:ind w:firstLine="0" w:firstLineChars="0"/>
                    <w:jc w:val="both"/>
                    <w:rPr>
                      <w:rFonts w:hint="eastAsia"/>
                    </w:rPr>
                  </w:pPr>
                  <w:r>
                    <w:rPr>
                      <w:rFonts w:hint="eastAsia"/>
                    </w:rPr>
                    <w:t>3严禁新增钢铁、焦化、电解铝、铸造、水泥和平板玻璃等产能；严格执行钢铁、水泥、平板玻璃等行业产能置换实施办法。</w:t>
                  </w:r>
                </w:p>
                <w:p w14:paraId="78048877">
                  <w:pPr>
                    <w:pStyle w:val="206"/>
                    <w:spacing w:line="320" w:lineRule="exact"/>
                    <w:ind w:firstLine="0" w:firstLineChars="0"/>
                    <w:jc w:val="both"/>
                    <w:rPr>
                      <w:rFonts w:hint="eastAsia"/>
                    </w:rPr>
                  </w:pPr>
                  <w:r>
                    <w:rPr>
                      <w:rFonts w:hint="eastAsia"/>
                    </w:rPr>
                    <w:t>4严格执行国家关于“两高”产业准入目录和产能总量控制政策措施。严禁新增钢铁、焦化、电解铝、铸造、水泥和平板玻璃等产能；新、改、扩建涉及大宗物料运输的建设项目，原则上不得采用公路运输。</w:t>
                  </w:r>
                </w:p>
                <w:p w14:paraId="48367771">
                  <w:pPr>
                    <w:pStyle w:val="206"/>
                    <w:spacing w:line="320" w:lineRule="exact"/>
                    <w:ind w:firstLine="0" w:firstLineChars="0"/>
                    <w:jc w:val="both"/>
                    <w:rPr>
                      <w:rFonts w:hint="eastAsia"/>
                    </w:rPr>
                  </w:pPr>
                  <w:r>
                    <w:rPr>
                      <w:rFonts w:hint="eastAsia"/>
                    </w:rPr>
                    <w:t>7非电行业新建项目，禁止配套建设自备纯凝、抽凝燃煤电站。</w:t>
                  </w:r>
                </w:p>
                <w:p w14:paraId="05D5A867">
                  <w:pPr>
                    <w:pStyle w:val="206"/>
                    <w:spacing w:line="320" w:lineRule="exact"/>
                    <w:ind w:firstLine="0" w:firstLineChars="0"/>
                    <w:jc w:val="both"/>
                    <w:rPr>
                      <w:rFonts w:hint="eastAsia"/>
                    </w:rPr>
                  </w:pPr>
                  <w:r>
                    <w:rPr>
                      <w:rFonts w:hint="eastAsia"/>
                    </w:rPr>
                    <w:t>8在城市建成区及居民区、医院、学校等环境敏感区域，严禁现场露天灰土拌合。</w:t>
                  </w:r>
                </w:p>
                <w:p w14:paraId="659040D7">
                  <w:pPr>
                    <w:pStyle w:val="206"/>
                    <w:spacing w:line="320" w:lineRule="exact"/>
                    <w:ind w:firstLine="0" w:firstLineChars="0"/>
                    <w:jc w:val="both"/>
                    <w:rPr>
                      <w:rFonts w:hint="eastAsia"/>
                    </w:rPr>
                  </w:pPr>
                  <w:r>
                    <w:rPr>
                      <w:rFonts w:hint="eastAsia"/>
                    </w:rPr>
                    <w:t>9严格控制新增“两高”项目审批，认真分析评估拟建项目必要性、可行性和对产业高质量发展、能耗双控、碳排放和环境质量的影响，严格审查项目是否符合产业政策、产业规划、“三线一单”、规划环评要求，是否依法依规落实产能置换、能耗置换、煤炭消费减量替代、污染物排放区域削减等要求。对已建成投产的存量“两高”项目，有节能减排潜力的加快改造升级，属于落后产能的加快淘汰。</w:t>
                  </w:r>
                </w:p>
                <w:p w14:paraId="42477F1D">
                  <w:pPr>
                    <w:pStyle w:val="206"/>
                    <w:spacing w:line="320" w:lineRule="exact"/>
                    <w:ind w:firstLine="0" w:firstLineChars="0"/>
                    <w:jc w:val="both"/>
                    <w:rPr>
                      <w:rFonts w:hint="eastAsia"/>
                    </w:rPr>
                  </w:pPr>
                  <w:r>
                    <w:rPr>
                      <w:rFonts w:hint="eastAsia"/>
                    </w:rPr>
                    <w:t>10禁止建设生产和使用高挥发性有机物含量涂料、油墨、胶粘剂、清洗剂等项目。</w:t>
                  </w:r>
                </w:p>
                <w:p w14:paraId="52B295DA">
                  <w:pPr>
                    <w:pStyle w:val="206"/>
                    <w:spacing w:line="320" w:lineRule="exact"/>
                    <w:ind w:firstLine="0" w:firstLineChars="0"/>
                    <w:jc w:val="both"/>
                    <w:rPr>
                      <w:rFonts w:hint="eastAsia"/>
                    </w:rPr>
                  </w:pPr>
                  <w:r>
                    <w:rPr>
                      <w:rFonts w:hint="eastAsia"/>
                    </w:rPr>
                    <w:t>11禁止新建不符合国家规定的燃煤发电机组、燃油发电机组和燃煤热电机组。</w:t>
                  </w:r>
                </w:p>
                <w:p w14:paraId="3E753887">
                  <w:pPr>
                    <w:pStyle w:val="206"/>
                    <w:spacing w:line="320" w:lineRule="exact"/>
                    <w:ind w:firstLine="0" w:firstLineChars="0"/>
                    <w:jc w:val="both"/>
                    <w:rPr>
                      <w:rFonts w:hint="eastAsia"/>
                    </w:rPr>
                  </w:pPr>
                  <w:r>
                    <w:rPr>
                      <w:rFonts w:hint="eastAsia"/>
                    </w:rPr>
                    <w:t>12禁止新建、扩建分散燃煤供热锅炉。</w:t>
                  </w:r>
                </w:p>
                <w:p w14:paraId="2CD92204">
                  <w:pPr>
                    <w:pStyle w:val="206"/>
                    <w:spacing w:line="320" w:lineRule="exact"/>
                    <w:ind w:firstLine="0" w:firstLineChars="0"/>
                    <w:jc w:val="both"/>
                    <w:rPr>
                      <w:rFonts w:hint="eastAsia"/>
                    </w:rPr>
                  </w:pPr>
                  <w:r>
                    <w:rPr>
                      <w:rFonts w:hint="eastAsia"/>
                    </w:rPr>
                    <w:t>13在城市规划区内禁止新建、扩建大气污染严重的建设项目。</w:t>
                  </w:r>
                </w:p>
                <w:p w14:paraId="6BF2850A">
                  <w:pPr>
                    <w:pStyle w:val="206"/>
                    <w:spacing w:line="320" w:lineRule="exact"/>
                    <w:ind w:firstLine="0" w:firstLineChars="0"/>
                    <w:jc w:val="both"/>
                    <w:rPr>
                      <w:rFonts w:hint="eastAsia"/>
                    </w:rPr>
                  </w:pPr>
                  <w:r>
                    <w:rPr>
                      <w:rFonts w:hint="eastAsia"/>
                    </w:rPr>
                    <w:t>14禁止高灰分、高硫分煤炭进入市场。新建煤矿应当同步建设煤炭洗选设施，已建成的煤矿所采煤炭属于高灰分、高硫分的，应当在国家和省规定的期限内建成配套的煤炭洗选设施，使煤炭中的灰分、硫分达到规定的标准。</w:t>
                  </w:r>
                </w:p>
                <w:p w14:paraId="1E491503">
                  <w:pPr>
                    <w:pStyle w:val="206"/>
                    <w:spacing w:line="320" w:lineRule="exact"/>
                    <w:ind w:firstLine="0" w:firstLineChars="0"/>
                    <w:jc w:val="both"/>
                    <w:rPr>
                      <w:rFonts w:hint="eastAsia"/>
                    </w:rPr>
                  </w:pPr>
                  <w:r>
                    <w:rPr>
                      <w:rFonts w:hint="eastAsia"/>
                    </w:rPr>
                    <w:t>15禁止在人口集中地区、机场周围、交通干线附近以及当地人民政府划定的区域露天焚烧秸秆、落叶、垃圾等产生烟尘污染的物质。</w:t>
                  </w:r>
                </w:p>
                <w:p w14:paraId="4895A03D">
                  <w:pPr>
                    <w:pStyle w:val="206"/>
                    <w:spacing w:line="320" w:lineRule="exact"/>
                    <w:ind w:firstLine="0" w:firstLineChars="0"/>
                    <w:jc w:val="both"/>
                    <w:rPr>
                      <w:rFonts w:hint="eastAsia"/>
                    </w:rPr>
                  </w:pPr>
                  <w:r>
                    <w:rPr>
                      <w:rFonts w:hint="eastAsia"/>
                    </w:rPr>
                    <w:t>16在燃气管网和集中供热管网覆盖的区域，不得新建、扩建、改建燃烧煤炭、重油、渣油的供热设施；原有分散的中小型燃煤供热锅炉应当限期拆除。</w:t>
                  </w:r>
                </w:p>
                <w:p w14:paraId="091591A3">
                  <w:pPr>
                    <w:pStyle w:val="206"/>
                    <w:spacing w:line="320" w:lineRule="exact"/>
                    <w:ind w:firstLine="0" w:firstLineChars="0"/>
                    <w:jc w:val="both"/>
                    <w:rPr>
                      <w:rFonts w:hint="eastAsia"/>
                    </w:rPr>
                  </w:pPr>
                  <w:r>
                    <w:rPr>
                      <w:rFonts w:hint="eastAsia"/>
                    </w:rPr>
                    <w:t>19在机关、学校、医院、居民住宅区等人口集中地区和其他依法需要特殊保护的区域内，禁止从事下列生产活动：(1)橡胶制品生产、经营性喷漆、制骨胶、制骨粉、屠宰、畜禽养殖、生物发酵等产生恶臭、有毒有害气体的生产经营活动；(2)露天焚烧油毡、沥青、橡胶、塑料、皮革、垃圾或者其他可能产生恶臭、有毒有害气体的活动。</w:t>
                  </w:r>
                </w:p>
                <w:p w14:paraId="2EACEF44">
                  <w:pPr>
                    <w:pStyle w:val="206"/>
                    <w:spacing w:line="320" w:lineRule="exact"/>
                    <w:ind w:firstLine="0" w:firstLineChars="0"/>
                    <w:jc w:val="both"/>
                    <w:rPr>
                      <w:rFonts w:hint="eastAsia"/>
                    </w:rPr>
                  </w:pPr>
                  <w:r>
                    <w:rPr>
                      <w:rFonts w:hint="eastAsia"/>
                    </w:rPr>
                    <w:t>20严禁钢铁、水泥、电解铝、平板玻璃等行业新增产能，对确有必要新建的必须实施等量或减量置换。</w:t>
                  </w:r>
                </w:p>
                <w:p w14:paraId="13ABDD47">
                  <w:pPr>
                    <w:pStyle w:val="206"/>
                    <w:spacing w:line="320" w:lineRule="exact"/>
                    <w:ind w:firstLine="0" w:firstLineChars="0"/>
                    <w:jc w:val="both"/>
                    <w:rPr>
                      <w:rFonts w:hint="eastAsia"/>
                    </w:rPr>
                  </w:pPr>
                  <w:r>
                    <w:rPr>
                      <w:rFonts w:hint="eastAsia"/>
                    </w:rPr>
                    <w:t>21禁止淘汰落后类的产业进入开发区。</w:t>
                  </w:r>
                </w:p>
                <w:p w14:paraId="34764713">
                  <w:pPr>
                    <w:pStyle w:val="206"/>
                    <w:spacing w:line="320" w:lineRule="exact"/>
                    <w:ind w:firstLine="0" w:firstLineChars="0"/>
                    <w:jc w:val="both"/>
                    <w:rPr>
                      <w:rFonts w:hint="eastAsia"/>
                    </w:rPr>
                  </w:pPr>
                  <w:r>
                    <w:rPr>
                      <w:rFonts w:hint="eastAsia"/>
                    </w:rPr>
                    <w:t>1禁止在淮河流域新建化学制浆造纸企业和印染、制革、化工、电镀、酿造等污染严重的小型企业。</w:t>
                  </w:r>
                </w:p>
                <w:p w14:paraId="6092F23A">
                  <w:pPr>
                    <w:pStyle w:val="206"/>
                    <w:spacing w:line="320" w:lineRule="exact"/>
                    <w:ind w:firstLine="0" w:firstLineChars="0"/>
                    <w:jc w:val="both"/>
                    <w:rPr>
                      <w:rFonts w:hint="eastAsia"/>
                    </w:rPr>
                  </w:pPr>
                  <w:r>
                    <w:rPr>
                      <w:rFonts w:hint="eastAsia"/>
                    </w:rPr>
                    <w:t>2在饮用水水源保护区内，禁止设置排污口。在风景名胜区水体、重要渔业水体和其他具有特殊经济文化价值的水体的保护区内，不得新建排污口。</w:t>
                  </w:r>
                </w:p>
                <w:p w14:paraId="045C6918">
                  <w:pPr>
                    <w:pStyle w:val="206"/>
                    <w:spacing w:line="320" w:lineRule="exact"/>
                    <w:ind w:firstLine="0" w:firstLineChars="0"/>
                    <w:jc w:val="both"/>
                    <w:rPr>
                      <w:rFonts w:hint="eastAsia"/>
                    </w:rPr>
                  </w:pPr>
                  <w:r>
                    <w:rPr>
                      <w:rFonts w:hint="eastAsia"/>
                    </w:rPr>
                    <w:t>3禁止下列行为：(一)向水体排放或者倾倒油类、酸液、碱液和其他有毒有害液体；(二)在水体中清洗装贮过有毒有害污染物的车辆、船舶和容器；(三)向水体排放、倾倒含有汞、镉、砷、铬、铅、氰化物、黄磷等可溶性剧毒废液或者将上述物质直接埋入地下；(四)向水体排放、倾倒工业废渣、城镇垃圾和其他废弃物；(五)向水体排放、倾倒放射性固体废弃物或者放射性废水；(六)利用渗井、渗坑、裂隙、溶洞、塌陷区和废弃矿坑排放、倾倒，或者利用无防渗措施的沟渠、坑塘输送或者存贮含毒污染物或者病原体的废水和其他废弃物；(七)在河流、湖泊、运河、渠道、水库最高水位线以下的滩地和岸坡堆放、贮存固体废弃物和其他污染物；(八)围湖和其他破坏水环境生态平衡的活动；(九)引进不符合国家环境保护规定要求的技术和设备；(十)法律、法规禁止的其他行为。</w:t>
                  </w:r>
                </w:p>
                <w:p w14:paraId="6EB06763">
                  <w:pPr>
                    <w:pStyle w:val="206"/>
                    <w:spacing w:line="320" w:lineRule="exact"/>
                    <w:ind w:firstLine="0" w:firstLineChars="0"/>
                    <w:jc w:val="both"/>
                    <w:rPr>
                      <w:rFonts w:hint="eastAsia"/>
                    </w:rPr>
                  </w:pPr>
                  <w:r>
                    <w:rPr>
                      <w:rFonts w:hint="eastAsia"/>
                    </w:rPr>
                    <w:t>7坚持水资源水生态水环境水灾害统筹治理，严格落实水产种质资源保护区和自然保护区全面禁捕措施。</w:t>
                  </w:r>
                </w:p>
                <w:p w14:paraId="2C77D747">
                  <w:pPr>
                    <w:pStyle w:val="206"/>
                    <w:spacing w:line="320" w:lineRule="exact"/>
                    <w:ind w:firstLine="0" w:firstLineChars="0"/>
                    <w:jc w:val="both"/>
                    <w:rPr>
                      <w:rFonts w:hint="eastAsia"/>
                    </w:rPr>
                  </w:pPr>
                  <w:r>
                    <w:rPr>
                      <w:rFonts w:hint="eastAsia"/>
                    </w:rPr>
                    <w:t>12全市范围内严禁违规新增钢铁、焦化、水泥熟料、平板玻璃、电解铝、氧化铝、煤化工产能，合理控制煤制油气产能规模。未纳入国家有关领域产业规划的，一律不得新建改扩建炼油和新建乙烯、对二甲苯、煤制烯烃项目。</w:t>
                  </w:r>
                </w:p>
                <w:p w14:paraId="78E69D23">
                  <w:pPr>
                    <w:pStyle w:val="206"/>
                    <w:spacing w:line="320" w:lineRule="exact"/>
                    <w:ind w:firstLine="0" w:firstLineChars="0"/>
                    <w:jc w:val="both"/>
                    <w:rPr>
                      <w:rFonts w:hint="eastAsia"/>
                    </w:rPr>
                  </w:pPr>
                  <w:r>
                    <w:rPr>
                      <w:rFonts w:hint="eastAsia"/>
                    </w:rPr>
                    <w:t>13严把“两高”项目审批，严格落实区域削减措施，对不符合规定的坚决停批停建。</w:t>
                  </w:r>
                </w:p>
                <w:p w14:paraId="11B6AC33">
                  <w:pPr>
                    <w:pStyle w:val="206"/>
                    <w:spacing w:line="320" w:lineRule="exact"/>
                    <w:ind w:firstLine="0" w:firstLineChars="0"/>
                    <w:jc w:val="both"/>
                    <w:rPr>
                      <w:rFonts w:hint="eastAsia"/>
                    </w:rPr>
                  </w:pPr>
                  <w:r>
                    <w:rPr>
                      <w:rFonts w:hint="eastAsia"/>
                    </w:rPr>
                    <w:t>14禁止在具有生态环境保护功能区内、城建规划区周边以及重要交通干线、河流湖泊直观可视范围内进行固体矿产勘查开发活动。禁止在生态环境脆弱区域开展不符合其功能定位的矿山勘查开发活动。</w:t>
                  </w:r>
                </w:p>
                <w:p w14:paraId="2946AB98">
                  <w:pPr>
                    <w:pStyle w:val="206"/>
                    <w:spacing w:line="320" w:lineRule="exact"/>
                    <w:ind w:firstLine="0" w:firstLineChars="0"/>
                    <w:jc w:val="both"/>
                    <w:rPr>
                      <w:rFonts w:hint="eastAsia"/>
                    </w:rPr>
                  </w:pPr>
                  <w:r>
                    <w:rPr>
                      <w:rFonts w:hint="eastAsia"/>
                    </w:rPr>
                    <w:t>16严格城市规划蓝线管理，城市规划区范围内应保留一定比例的水域面积。新建项目一律不得违规占用水域。</w:t>
                  </w:r>
                </w:p>
                <w:p w14:paraId="331EB3AB">
                  <w:pPr>
                    <w:pStyle w:val="206"/>
                    <w:spacing w:line="320" w:lineRule="exact"/>
                    <w:ind w:firstLine="0" w:firstLineChars="0"/>
                    <w:jc w:val="both"/>
                    <w:rPr>
                      <w:rFonts w:hint="eastAsia"/>
                    </w:rPr>
                  </w:pPr>
                  <w:r>
                    <w:rPr>
                      <w:rFonts w:hint="eastAsia"/>
                    </w:rPr>
                    <w:t>17禁止新建焦化、有色金属、制革、农药等行业企业。</w:t>
                  </w:r>
                </w:p>
                <w:p w14:paraId="2C70646D">
                  <w:pPr>
                    <w:pStyle w:val="206"/>
                    <w:spacing w:line="320" w:lineRule="exact"/>
                    <w:ind w:firstLine="0" w:firstLineChars="0"/>
                    <w:jc w:val="both"/>
                    <w:rPr>
                      <w:rFonts w:hint="eastAsia"/>
                    </w:rPr>
                  </w:pPr>
                  <w:r>
                    <w:rPr>
                      <w:rFonts w:hint="eastAsia"/>
                    </w:rPr>
                    <w:t>18禁止非法污泥堆放和处理不达标的污泥进入耕地。</w:t>
                  </w:r>
                </w:p>
                <w:p w14:paraId="47B07157">
                  <w:pPr>
                    <w:pStyle w:val="206"/>
                    <w:spacing w:line="320" w:lineRule="exact"/>
                    <w:ind w:firstLine="0" w:firstLineChars="0"/>
                    <w:jc w:val="both"/>
                    <w:rPr>
                      <w:rFonts w:hint="eastAsia"/>
                    </w:rPr>
                  </w:pPr>
                  <w:r>
                    <w:rPr>
                      <w:rFonts w:hint="eastAsia"/>
                    </w:rPr>
                    <w:t>20禁止生产、销售不符合节水标准的产品、设备。</w:t>
                  </w:r>
                </w:p>
                <w:p w14:paraId="6B287A9E">
                  <w:pPr>
                    <w:pStyle w:val="206"/>
                    <w:spacing w:line="320" w:lineRule="exact"/>
                    <w:ind w:firstLine="0" w:firstLineChars="0"/>
                    <w:jc w:val="both"/>
                    <w:rPr>
                      <w:rFonts w:hint="eastAsia"/>
                    </w:rPr>
                  </w:pPr>
                  <w:r>
                    <w:rPr>
                      <w:rFonts w:hint="eastAsia"/>
                    </w:rPr>
                    <w:t>21城市建成区排放污水的工业企业应依法持有排污许可证，并严格按证排污。排入城镇水体的工业污水应符合相关行业标准及地方标准要求，严禁任何企业、单位超标和超总量排污，对超标或超总量的排污单位一律限制生产或停产整顿。</w:t>
                  </w:r>
                </w:p>
                <w:p w14:paraId="052DA830">
                  <w:pPr>
                    <w:pStyle w:val="206"/>
                    <w:spacing w:line="320" w:lineRule="exact"/>
                    <w:ind w:firstLine="0" w:firstLineChars="0"/>
                    <w:jc w:val="both"/>
                    <w:rPr>
                      <w:rFonts w:hint="eastAsia"/>
                    </w:rPr>
                  </w:pPr>
                  <w:r>
                    <w:rPr>
                      <w:rFonts w:hint="eastAsia"/>
                    </w:rPr>
                    <w:t>23严肃执法监督，严格执行排污许可、排水许可制度，严禁生活污水和工业废水直排水体。严防道路冲洗污水、洗车冲洗污水、餐饮泔水、施工排水等污水进入雨水口。</w:t>
                  </w:r>
                </w:p>
                <w:p w14:paraId="0D33F449">
                  <w:pPr>
                    <w:pStyle w:val="206"/>
                    <w:spacing w:line="320" w:lineRule="exact"/>
                    <w:ind w:firstLine="0" w:firstLineChars="0"/>
                    <w:jc w:val="both"/>
                    <w:rPr>
                      <w:rFonts w:hint="eastAsia"/>
                    </w:rPr>
                  </w:pPr>
                  <w:r>
                    <w:rPr>
                      <w:rFonts w:hint="eastAsia"/>
                    </w:rPr>
                    <w:t>24禁止在居民区、学校、医疗和养老机构等周边新建有色金属冶炼、焦化等行业企业。</w:t>
                  </w:r>
                </w:p>
                <w:p w14:paraId="4C0E9D6A">
                  <w:pPr>
                    <w:pStyle w:val="206"/>
                    <w:spacing w:line="320" w:lineRule="exact"/>
                    <w:ind w:firstLine="0" w:firstLineChars="0"/>
                    <w:jc w:val="both"/>
                    <w:rPr>
                      <w:rFonts w:hint="eastAsia"/>
                    </w:rPr>
                  </w:pPr>
                  <w:r>
                    <w:rPr>
                      <w:rFonts w:hint="eastAsia"/>
                    </w:rPr>
                    <w:t>25对涉重金属重点行业新建、改(扩)建项目实行新增重金属污染物排放等量或倍量替代，对区域重金属排放量继续上升的地区，停止审批新增重金属污染物排放的建设项目。落实重金属相关行业规范条件，禁止新建落后产能项目，严禁产能严重过剩行业新增产能建设项目。禁止向涉重金属相关行业落后产能和产能过剩行业供应土地。</w:t>
                  </w:r>
                </w:p>
                <w:p w14:paraId="6948CDC3">
                  <w:pPr>
                    <w:pStyle w:val="206"/>
                    <w:spacing w:line="320" w:lineRule="exact"/>
                    <w:ind w:firstLine="0" w:firstLineChars="0"/>
                    <w:jc w:val="both"/>
                    <w:rPr>
                      <w:rFonts w:hint="eastAsia"/>
                    </w:rPr>
                  </w:pPr>
                  <w:r>
                    <w:rPr>
                      <w:rFonts w:hint="eastAsia"/>
                    </w:rPr>
                    <w:t>26针对耕地重金属污染突出区域和涉重金属工矿企业，组织开展重金属重点行业污染源排查整治专项行动，督促相关企业完善污染防治设施，在煤化工、有色金属、电镀行业实施清洁化改造。对整改后仍不能稳定达标的企业，依法责令停产、关闭。坚决关闭不符合国家产业政策的落后生产工艺装备，依法全面取缔不符合国家产业政策的有色金属、电镀等行业生产项目。</w:t>
                  </w:r>
                </w:p>
                <w:p w14:paraId="266C30AE">
                  <w:pPr>
                    <w:pStyle w:val="206"/>
                    <w:spacing w:line="320" w:lineRule="exact"/>
                    <w:ind w:firstLine="0" w:firstLineChars="0"/>
                    <w:jc w:val="both"/>
                    <w:rPr>
                      <w:rFonts w:hint="eastAsia"/>
                    </w:rPr>
                  </w:pPr>
                  <w:r>
                    <w:rPr>
                      <w:rFonts w:hint="eastAsia"/>
                    </w:rPr>
                    <w:t>23加大钢铁、铸造、炼焦、建材、电解铝等产能压减力度。24严格资源节约和环保准入门槛，转入项目必须符合国家产业政策、资源节约和污染物排放强度要求，避免产业转移中的资源浪费和污染扩散。</w:t>
                  </w:r>
                </w:p>
                <w:p w14:paraId="046F397E">
                  <w:pPr>
                    <w:pStyle w:val="206"/>
                    <w:spacing w:line="320" w:lineRule="exact"/>
                    <w:ind w:firstLine="0" w:firstLineChars="0"/>
                    <w:jc w:val="both"/>
                    <w:rPr>
                      <w:rFonts w:hint="eastAsia"/>
                    </w:rPr>
                  </w:pPr>
                  <w:r>
                    <w:rPr>
                      <w:rFonts w:hint="eastAsia"/>
                    </w:rPr>
                    <w:t>26加大落后产能淘汰和过剩产能压减力度。严防“地条钢”死灰复燃。</w:t>
                  </w:r>
                </w:p>
                <w:p w14:paraId="200E7041">
                  <w:pPr>
                    <w:pStyle w:val="206"/>
                    <w:spacing w:line="320" w:lineRule="exact"/>
                    <w:ind w:firstLine="0" w:firstLineChars="0"/>
                    <w:jc w:val="both"/>
                    <w:rPr>
                      <w:rFonts w:hint="eastAsia"/>
                    </w:rPr>
                  </w:pPr>
                  <w:r>
                    <w:rPr>
                      <w:rFonts w:hint="eastAsia"/>
                    </w:rPr>
                    <w:t>2728重点区域钢铁、水泥、焦化、石化、化工、有色等行业，二氧化硫、氮氧化物、颗粒物、挥发性有机物(VOCs)排放全面执行大气污染物特别排放限值。</w:t>
                  </w:r>
                </w:p>
                <w:p w14:paraId="5A3531D4">
                  <w:pPr>
                    <w:pStyle w:val="206"/>
                    <w:spacing w:line="320" w:lineRule="exact"/>
                    <w:ind w:firstLine="0" w:firstLineChars="0"/>
                    <w:jc w:val="both"/>
                    <w:rPr>
                      <w:rFonts w:hint="eastAsia"/>
                    </w:rPr>
                  </w:pPr>
                  <w:r>
                    <w:rPr>
                      <w:rFonts w:hint="eastAsia"/>
                    </w:rPr>
                    <w:t>30严格合理控制煤炭消费增长，大气污染防治重点区域内新建、改扩建用煤项目严格实施煤炭消费等量或减量替代。</w:t>
                  </w:r>
                </w:p>
                <w:p w14:paraId="34620F37">
                  <w:pPr>
                    <w:pStyle w:val="206"/>
                    <w:spacing w:line="320" w:lineRule="exact"/>
                    <w:ind w:firstLine="0" w:firstLineChars="0"/>
                    <w:jc w:val="both"/>
                    <w:rPr>
                      <w:rFonts w:hint="eastAsia"/>
                    </w:rPr>
                  </w:pPr>
                  <w:r>
                    <w:rPr>
                      <w:rFonts w:hint="eastAsia"/>
                    </w:rPr>
                    <w:t>8严格限制在淮河流域新建印染、制革、化工、电镀、酿造等大中型项目或者其他污染严重的项目；建设该类项目的，应当事前征得省人民政府生态环境行政主管部门的同意，并按照规定办理有关手续。</w:t>
                  </w:r>
                </w:p>
                <w:p w14:paraId="0F0EF9C5">
                  <w:pPr>
                    <w:pStyle w:val="206"/>
                    <w:spacing w:line="320" w:lineRule="exact"/>
                    <w:ind w:firstLine="0" w:firstLineChars="0"/>
                    <w:jc w:val="both"/>
                    <w:rPr>
                      <w:rFonts w:hint="eastAsia"/>
                    </w:rPr>
                  </w:pPr>
                  <w:r>
                    <w:rPr>
                      <w:rFonts w:hint="eastAsia"/>
                    </w:rPr>
                    <w:t>41对以煤、石油焦、渣油、重油等为燃料的工业炉窑，加快使用清洁低碳能源以及利用工厂余热、电厂热力等进行替代。重点区域禁止掺烧高硫石油焦(硫含量大于3%)。玻璃行业全面禁止掺烧高硫石油焦。</w:t>
                  </w:r>
                </w:p>
                <w:p w14:paraId="019029A9">
                  <w:pPr>
                    <w:pStyle w:val="206"/>
                    <w:spacing w:line="320" w:lineRule="exact"/>
                    <w:ind w:firstLine="0" w:firstLineChars="0"/>
                    <w:jc w:val="both"/>
                    <w:rPr>
                      <w:rFonts w:hint="eastAsia"/>
                    </w:rPr>
                  </w:pPr>
                  <w:r>
                    <w:rPr>
                      <w:rFonts w:hint="eastAsia"/>
                    </w:rPr>
                    <w:t>42重点区域取缔燃煤热风炉，基本淘汰热电联产供热管网覆盖范围内的燃煤加热、烘干炉(窑)。加快推动铸造(10吨/小时及以下)、岩棉等行业冲天炉改为电炉。</w:t>
                  </w:r>
                </w:p>
                <w:p w14:paraId="7401421B">
                  <w:pPr>
                    <w:pStyle w:val="206"/>
                    <w:spacing w:line="320" w:lineRule="exact"/>
                    <w:ind w:firstLine="0" w:firstLineChars="0"/>
                    <w:jc w:val="both"/>
                    <w:rPr>
                      <w:rFonts w:hint="eastAsia"/>
                    </w:rPr>
                  </w:pPr>
                  <w:r>
                    <w:rPr>
                      <w:rFonts w:hint="eastAsia"/>
                    </w:rPr>
                    <w:t>43严格执行水泥熟料、平板玻璃产能置换要求，实施水泥常态化错峰生产，有序退出低效产能。推进燃煤窑炉清洁能源替代，逐步淘汰钢铁企业煤气发生炉。</w:t>
                  </w:r>
                </w:p>
                <w:p w14:paraId="05650D0C">
                  <w:pPr>
                    <w:pStyle w:val="206"/>
                    <w:spacing w:line="320" w:lineRule="exact"/>
                    <w:ind w:firstLine="0" w:firstLineChars="0"/>
                    <w:jc w:val="both"/>
                    <w:rPr>
                      <w:rFonts w:hint="eastAsia"/>
                    </w:rPr>
                  </w:pPr>
                  <w:r>
                    <w:rPr>
                      <w:rFonts w:hint="eastAsia"/>
                    </w:rPr>
                    <w:t>14加强重金属污染源头控制和重金属重点防控区域治理，对重要粮食生产区域周边的工矿企业实施重金属排放总量控制，对达不到环保要求的企业要限期升级改造或依法关闭、搬迁。</w:t>
                  </w:r>
                </w:p>
                <w:p w14:paraId="2B00CD47">
                  <w:pPr>
                    <w:pStyle w:val="206"/>
                    <w:spacing w:line="320" w:lineRule="exact"/>
                    <w:ind w:firstLine="0" w:firstLineChars="0"/>
                    <w:jc w:val="both"/>
                    <w:rPr>
                      <w:rFonts w:hint="eastAsia"/>
                    </w:rPr>
                  </w:pPr>
                  <w:r>
                    <w:rPr>
                      <w:rFonts w:hint="eastAsia"/>
                    </w:rPr>
                    <w:t>15依法开展环境影响评价工作，严格落实生态环境损害责任追究问责制度，对不符合要求占用的岸线、河段、土地和布局的产业，必须无条件退出。</w:t>
                  </w:r>
                </w:p>
                <w:p w14:paraId="2D8F4512">
                  <w:pPr>
                    <w:pStyle w:val="206"/>
                    <w:spacing w:line="320" w:lineRule="exact"/>
                    <w:ind w:firstLine="0" w:firstLineChars="0"/>
                    <w:jc w:val="both"/>
                    <w:rPr>
                      <w:rFonts w:hint="eastAsia"/>
                    </w:rPr>
                  </w:pPr>
                  <w:r>
                    <w:rPr>
                      <w:rFonts w:hint="eastAsia"/>
                    </w:rPr>
                    <w:t>32推进重污染企业搬迁改造，加快城市建成区、重点流域重污染企业和危险化学品等环境风险大的企业搬迁改造或关停退出。</w:t>
                  </w:r>
                </w:p>
                <w:p w14:paraId="7260452C">
                  <w:pPr>
                    <w:pStyle w:val="206"/>
                    <w:spacing w:line="320" w:lineRule="exact"/>
                    <w:ind w:firstLine="0" w:firstLineChars="0"/>
                    <w:jc w:val="both"/>
                    <w:rPr>
                      <w:rFonts w:hint="eastAsia"/>
                    </w:rPr>
                  </w:pPr>
                  <w:r>
                    <w:rPr>
                      <w:rFonts w:hint="eastAsia"/>
                    </w:rPr>
                    <w:t>33原则上不再新增自备燃煤机组，推进现有机组实施清洁能源替代、功能转换。</w:t>
                  </w:r>
                </w:p>
                <w:p w14:paraId="60F6650D">
                  <w:pPr>
                    <w:pStyle w:val="206"/>
                    <w:spacing w:line="320" w:lineRule="exact"/>
                    <w:ind w:firstLine="0" w:firstLineChars="0"/>
                    <w:jc w:val="both"/>
                    <w:rPr>
                      <w:rFonts w:hint="eastAsia"/>
                    </w:rPr>
                  </w:pPr>
                  <w:r>
                    <w:rPr>
                      <w:rFonts w:hint="eastAsia"/>
                    </w:rPr>
                    <w:t>34现有经济开发区等工业集中区应实施热电联产或集中供热改造，将工业企业纳入集中供热范围，逐步淘汰分散燃煤锅炉，核准审批新建热电联产项目要求关停的燃煤锅炉必须按期淘汰。</w:t>
                  </w:r>
                </w:p>
                <w:p w14:paraId="48BA4B22">
                  <w:pPr>
                    <w:pStyle w:val="206"/>
                    <w:spacing w:line="320" w:lineRule="exact"/>
                    <w:ind w:firstLine="0" w:firstLineChars="0"/>
                    <w:jc w:val="both"/>
                    <w:rPr>
                      <w:rFonts w:hint="eastAsia"/>
                    </w:rPr>
                  </w:pPr>
                  <w:r>
                    <w:rPr>
                      <w:rFonts w:hint="eastAsia"/>
                    </w:rPr>
                    <w:t>35关停退出、能耗、安全、质量技术等方面不达标、不合格产品。同时，鼓励引导“限制类”生产工艺装备和产品逐步退出。重点对水泥、砖瓦、铸造、化工等重点行业过剩产能逐渐淘汰，加快淘汰落后产能和不达标工业炉窑。</w:t>
                  </w:r>
                </w:p>
                <w:p w14:paraId="6C32BA3E">
                  <w:pPr>
                    <w:pStyle w:val="206"/>
                    <w:spacing w:line="320" w:lineRule="exact"/>
                    <w:ind w:firstLine="0" w:firstLineChars="0"/>
                    <w:jc w:val="both"/>
                    <w:rPr>
                      <w:rFonts w:hint="eastAsia"/>
                    </w:rPr>
                  </w:pPr>
                  <w:r>
                    <w:rPr>
                      <w:rFonts w:hint="eastAsia"/>
                    </w:rPr>
                    <w:t>36依法淘汰落后产能。全市和各县区要依据工业行业淘汰落后生产工艺装备和产品指导目录、产业结构调整指导目录及相关行业污染物排放标准，结合水质改善要求及产业发展情况，制定并实施分年度的落后产能淘汰方案。未完成淘汰任务的县区，暂停审批和核准其相关行业新建项目。</w:t>
                  </w:r>
                </w:p>
                <w:p w14:paraId="30A4BD16">
                  <w:pPr>
                    <w:pStyle w:val="206"/>
                    <w:spacing w:line="320" w:lineRule="exact"/>
                    <w:ind w:firstLine="0" w:firstLineChars="0"/>
                    <w:jc w:val="both"/>
                  </w:pPr>
                  <w:r>
                    <w:rPr>
                      <w:rFonts w:hint="eastAsia"/>
                    </w:rPr>
                    <w:t>53有的金属冶炼、石油加工、化工、焦化、电镀、制革等行业企业拆除生产设施设备、构筑物和污染治理设施，必须事先制定残留污染物清理和安全处置方案，报市和所在地县区环境保护、经信部门备案；要严格按照有关规定实施安全处理处置，防范拆除活动污染土壤。</w:t>
                  </w:r>
                </w:p>
              </w:tc>
              <w:tc>
                <w:tcPr>
                  <w:tcW w:w="661" w:type="pct"/>
                  <w:noWrap w:val="0"/>
                  <w:vAlign w:val="center"/>
                </w:tcPr>
                <w:p w14:paraId="3B9CA806">
                  <w:pPr>
                    <w:pStyle w:val="206"/>
                    <w:spacing w:line="320" w:lineRule="exact"/>
                    <w:ind w:firstLine="0" w:firstLineChars="0"/>
                    <w:jc w:val="both"/>
                    <w:rPr>
                      <w:rFonts w:hint="eastAsia"/>
                    </w:rPr>
                  </w:pPr>
                  <w:r>
                    <w:rPr>
                      <w:rFonts w:hint="eastAsia"/>
                    </w:rPr>
                    <w:t>本项目属于C3031粘土砖瓦及建筑砌块制造，不属于左侧禁止建设类项目，不设置排污口，不涉及在水体中清洗装贮过有毒有害污染物的容器，不向水体倾倒油类等行为。</w:t>
                  </w:r>
                </w:p>
              </w:tc>
              <w:tc>
                <w:tcPr>
                  <w:tcW w:w="476" w:type="pct"/>
                  <w:noWrap w:val="0"/>
                  <w:vAlign w:val="center"/>
                </w:tcPr>
                <w:p w14:paraId="3072E968">
                  <w:pPr>
                    <w:pStyle w:val="206"/>
                    <w:spacing w:line="320" w:lineRule="exact"/>
                    <w:ind w:firstLine="0" w:firstLineChars="0"/>
                  </w:pPr>
                  <w:r>
                    <w:rPr>
                      <w:rFonts w:hint="eastAsia"/>
                    </w:rPr>
                    <w:t>符合</w:t>
                  </w:r>
                </w:p>
              </w:tc>
            </w:tr>
          </w:tbl>
          <w:p w14:paraId="313A41C4">
            <w:pPr>
              <w:pStyle w:val="209"/>
              <w:autoSpaceDE/>
              <w:autoSpaceDN/>
              <w:ind w:firstLine="420"/>
              <w:rPr>
                <w:rFonts w:hint="eastAsia"/>
                <w:color w:val="auto"/>
              </w:rPr>
            </w:pPr>
          </w:p>
          <w:p w14:paraId="5F5C0590">
            <w:pPr>
              <w:pStyle w:val="209"/>
              <w:autoSpaceDE/>
              <w:autoSpaceDN/>
              <w:spacing w:line="480" w:lineRule="exact"/>
              <w:rPr>
                <w:color w:val="auto"/>
                <w:sz w:val="24"/>
                <w:szCs w:val="28"/>
              </w:rPr>
            </w:pPr>
            <w:r>
              <w:rPr>
                <w:rFonts w:hint="eastAsia"/>
                <w:color w:val="auto"/>
                <w:sz w:val="24"/>
                <w:szCs w:val="28"/>
              </w:rPr>
              <w:t>(2)污染物排放分区管控要求</w:t>
            </w:r>
          </w:p>
          <w:p w14:paraId="7C03E4F2">
            <w:pPr>
              <w:pStyle w:val="209"/>
              <w:autoSpaceDE/>
              <w:autoSpaceDN/>
              <w:spacing w:line="480" w:lineRule="exact"/>
              <w:rPr>
                <w:color w:val="auto"/>
                <w:sz w:val="24"/>
                <w:szCs w:val="28"/>
              </w:rPr>
            </w:pPr>
            <w:r>
              <w:rPr>
                <w:rFonts w:hint="eastAsia"/>
                <w:color w:val="auto"/>
                <w:sz w:val="24"/>
                <w:szCs w:val="28"/>
              </w:rPr>
              <w:t>对照水环境管控分区管控图以及查询安徽省“三线一单”公众服务平台，本项目属于大气环</w:t>
            </w:r>
            <w:r>
              <w:rPr>
                <w:rFonts w:hint="eastAsia"/>
                <w:sz w:val="24"/>
                <w:szCs w:val="28"/>
              </w:rPr>
              <w:t>境重点管控区。</w:t>
            </w:r>
          </w:p>
          <w:p w14:paraId="2A463508">
            <w:pPr>
              <w:pStyle w:val="209"/>
              <w:autoSpaceDE/>
              <w:autoSpaceDN/>
              <w:spacing w:line="480" w:lineRule="exact"/>
              <w:rPr>
                <w:color w:val="auto"/>
                <w:sz w:val="24"/>
                <w:szCs w:val="28"/>
              </w:rPr>
            </w:pPr>
            <w:r>
              <w:rPr>
                <w:rFonts w:hint="eastAsia"/>
                <w:color w:val="auto"/>
                <w:sz w:val="24"/>
                <w:szCs w:val="28"/>
              </w:rPr>
              <w:t>水污染物排放分区管控要求符合性分析见表1-2：</w:t>
            </w:r>
          </w:p>
          <w:p w14:paraId="72D124C4">
            <w:pPr>
              <w:pStyle w:val="208"/>
              <w:spacing w:before="0" w:beforeLines="0" w:line="480" w:lineRule="exact"/>
              <w:rPr>
                <w:rFonts w:hint="eastAsia" w:ascii="黑体" w:hAnsi="黑体" w:eastAsia="黑体" w:cs="黑体"/>
                <w:b w:val="0"/>
                <w:bCs w:val="0"/>
                <w:sz w:val="24"/>
                <w:szCs w:val="24"/>
              </w:rPr>
            </w:pPr>
            <w:r>
              <w:rPr>
                <w:rFonts w:hint="eastAsia" w:ascii="黑体" w:hAnsi="黑体" w:eastAsia="黑体" w:cs="黑体"/>
                <w:b w:val="0"/>
                <w:bCs w:val="0"/>
                <w:sz w:val="24"/>
                <w:szCs w:val="24"/>
              </w:rPr>
              <w:t>表1-2与污染物排放分区管控要求符合性分析一览表</w:t>
            </w:r>
          </w:p>
          <w:tbl>
            <w:tblPr>
              <w:tblStyle w:val="3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555"/>
              <w:gridCol w:w="1161"/>
              <w:gridCol w:w="776"/>
            </w:tblGrid>
            <w:tr w14:paraId="2D66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05" w:type="pct"/>
                  <w:noWrap w:val="0"/>
                  <w:vAlign w:val="center"/>
                </w:tcPr>
                <w:p w14:paraId="3B4F7E60">
                  <w:pPr>
                    <w:pStyle w:val="206"/>
                    <w:spacing w:line="320" w:lineRule="atLeast"/>
                    <w:ind w:firstLine="0" w:firstLineChars="0"/>
                  </w:pPr>
                  <w:r>
                    <w:rPr>
                      <w:rFonts w:hint="eastAsia"/>
                    </w:rPr>
                    <w:t>管控类别</w:t>
                  </w:r>
                </w:p>
              </w:tc>
              <w:tc>
                <w:tcPr>
                  <w:tcW w:w="3407" w:type="pct"/>
                  <w:noWrap w:val="0"/>
                  <w:vAlign w:val="center"/>
                </w:tcPr>
                <w:p w14:paraId="6204CE68">
                  <w:pPr>
                    <w:pStyle w:val="206"/>
                    <w:spacing w:line="320" w:lineRule="atLeast"/>
                    <w:ind w:firstLine="0" w:firstLineChars="0"/>
                  </w:pPr>
                  <w:r>
                    <w:rPr>
                      <w:rFonts w:hint="eastAsia"/>
                    </w:rPr>
                    <w:t>管控要求</w:t>
                  </w:r>
                </w:p>
              </w:tc>
              <w:tc>
                <w:tcPr>
                  <w:tcW w:w="712" w:type="pct"/>
                  <w:noWrap w:val="0"/>
                  <w:vAlign w:val="center"/>
                </w:tcPr>
                <w:p w14:paraId="4D191287">
                  <w:pPr>
                    <w:pStyle w:val="206"/>
                    <w:spacing w:line="320" w:lineRule="atLeast"/>
                    <w:ind w:firstLine="0" w:firstLineChars="0"/>
                  </w:pPr>
                  <w:r>
                    <w:rPr>
                      <w:rFonts w:hint="eastAsia"/>
                    </w:rPr>
                    <w:t>本项目建设情况</w:t>
                  </w:r>
                </w:p>
              </w:tc>
              <w:tc>
                <w:tcPr>
                  <w:tcW w:w="476" w:type="pct"/>
                  <w:noWrap w:val="0"/>
                  <w:vAlign w:val="center"/>
                </w:tcPr>
                <w:p w14:paraId="1AFDD93A">
                  <w:pPr>
                    <w:pStyle w:val="206"/>
                    <w:spacing w:line="320" w:lineRule="atLeast"/>
                    <w:ind w:firstLine="0" w:firstLineChars="0"/>
                  </w:pPr>
                  <w:r>
                    <w:rPr>
                      <w:rFonts w:hint="eastAsia"/>
                    </w:rPr>
                    <w:t>符合性分析</w:t>
                  </w:r>
                </w:p>
              </w:tc>
            </w:tr>
            <w:tr w14:paraId="7DEE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5" w:type="pct"/>
                  <w:noWrap w:val="0"/>
                  <w:vAlign w:val="center"/>
                </w:tcPr>
                <w:p w14:paraId="20BB9ABF">
                  <w:pPr>
                    <w:pStyle w:val="206"/>
                    <w:spacing w:line="320" w:lineRule="atLeast"/>
                    <w:ind w:firstLine="0" w:firstLineChars="0"/>
                  </w:pPr>
                  <w:r>
                    <w:rPr>
                      <w:rFonts w:hint="eastAsia"/>
                    </w:rPr>
                    <w:t>污染物排放管控</w:t>
                  </w:r>
                </w:p>
              </w:tc>
              <w:tc>
                <w:tcPr>
                  <w:tcW w:w="3407" w:type="pct"/>
                  <w:noWrap w:val="0"/>
                  <w:vAlign w:val="center"/>
                </w:tcPr>
                <w:p w14:paraId="2A36EC72">
                  <w:pPr>
                    <w:pStyle w:val="206"/>
                    <w:spacing w:line="320" w:lineRule="atLeast"/>
                    <w:ind w:firstLine="0" w:firstLineChars="0"/>
                    <w:jc w:val="both"/>
                    <w:rPr>
                      <w:rFonts w:hint="eastAsia"/>
                    </w:rPr>
                  </w:pPr>
                  <w:r>
                    <w:rPr>
                      <w:rFonts w:hint="eastAsia"/>
                    </w:rPr>
                    <w:t>46环境空气质量持续改善，全省细颗粒物(PM2.5)浓度总体达标，基本消除重污染天气，优良天数比率进一步提升。</w:t>
                  </w:r>
                </w:p>
                <w:p w14:paraId="257E0CD7">
                  <w:pPr>
                    <w:pStyle w:val="206"/>
                    <w:spacing w:line="320" w:lineRule="atLeast"/>
                    <w:ind w:firstLine="0" w:firstLineChars="0"/>
                    <w:jc w:val="both"/>
                    <w:rPr>
                      <w:rFonts w:hint="eastAsia"/>
                    </w:rPr>
                  </w:pPr>
                  <w:r>
                    <w:rPr>
                      <w:rFonts w:hint="eastAsia"/>
                    </w:rPr>
                    <w:t>47化学需氧量、氨氮、氮氧化物、挥发性有机物等4项主要污染物重点工程减排量分别累计达到13.67万吨、0.69万吨、8.3万吨、3.07万吨。</w:t>
                  </w:r>
                </w:p>
                <w:p w14:paraId="758DE84C">
                  <w:pPr>
                    <w:pStyle w:val="206"/>
                    <w:spacing w:line="320" w:lineRule="atLeast"/>
                    <w:ind w:firstLine="0" w:firstLineChars="0"/>
                    <w:jc w:val="both"/>
                    <w:rPr>
                      <w:rFonts w:hint="eastAsia"/>
                    </w:rPr>
                  </w:pPr>
                  <w:r>
                    <w:rPr>
                      <w:rFonts w:hint="eastAsia"/>
                    </w:rPr>
                    <w:t>48严格合理控制煤炭消费增长，大气污染防治重点区域内新、改、扩建用煤项目实施煤炭消费等量或减量替代。重点削减非电力用煤，各市将减煤目标按年度分解落实到重点耗煤企业，实施“一企一策”减煤诊断。</w:t>
                  </w:r>
                </w:p>
                <w:p w14:paraId="6BEA1014">
                  <w:pPr>
                    <w:pStyle w:val="206"/>
                    <w:spacing w:line="320" w:lineRule="atLeast"/>
                    <w:ind w:firstLine="0" w:firstLineChars="0"/>
                    <w:jc w:val="both"/>
                    <w:rPr>
                      <w:rFonts w:hint="eastAsia"/>
                    </w:rPr>
                  </w:pPr>
                  <w:r>
                    <w:rPr>
                      <w:rFonts w:hint="eastAsia"/>
                    </w:rPr>
                    <w:t>49新建、改建、扩建排放重点大气污染物的项目不符合总量控制要求的，不得通过环境影响评价。</w:t>
                  </w:r>
                </w:p>
                <w:p w14:paraId="5E5FFACA">
                  <w:pPr>
                    <w:pStyle w:val="206"/>
                    <w:spacing w:line="320" w:lineRule="atLeast"/>
                    <w:ind w:firstLine="0" w:firstLineChars="0"/>
                    <w:jc w:val="both"/>
                    <w:rPr>
                      <w:rFonts w:hint="eastAsia"/>
                    </w:rPr>
                  </w:pPr>
                  <w:r>
                    <w:rPr>
                      <w:rFonts w:hint="eastAsia"/>
                    </w:rPr>
                    <w:t>17按照省政府下达给区域各市的允许排放量相关要求执行。；</w:t>
                  </w:r>
                </w:p>
                <w:p w14:paraId="19819D00">
                  <w:pPr>
                    <w:pStyle w:val="206"/>
                    <w:spacing w:line="320" w:lineRule="atLeast"/>
                    <w:ind w:firstLine="0" w:firstLineChars="0"/>
                    <w:jc w:val="both"/>
                    <w:rPr>
                      <w:rFonts w:hint="eastAsia"/>
                    </w:rPr>
                  </w:pPr>
                  <w:r>
                    <w:rPr>
                      <w:rFonts w:hint="eastAsia"/>
                    </w:rPr>
                    <w:t>54全面提升锅炉烟气排放标准。全市燃气锅炉氮氧化物浓度不高于50毫克/立方米；柴油锅炉污染物排放达到或优于燃气锅炉特别排放限值要求。</w:t>
                  </w:r>
                </w:p>
                <w:p w14:paraId="78666C43">
                  <w:pPr>
                    <w:pStyle w:val="206"/>
                    <w:spacing w:line="320" w:lineRule="atLeast"/>
                    <w:ind w:firstLine="0" w:firstLineChars="0"/>
                    <w:jc w:val="both"/>
                    <w:rPr>
                      <w:rFonts w:hint="eastAsia"/>
                    </w:rPr>
                  </w:pPr>
                  <w:r>
                    <w:rPr>
                      <w:rFonts w:hint="eastAsia"/>
                    </w:rPr>
                    <w:t>51对以煤、石油焦、渣油、重油等为燃料的工业炉窑，加快使用清洁低碳能源以及利用工厂余热、电厂热力等进行替代。</w:t>
                  </w:r>
                </w:p>
                <w:p w14:paraId="6E9F613D">
                  <w:pPr>
                    <w:pStyle w:val="206"/>
                    <w:spacing w:line="320" w:lineRule="atLeast"/>
                    <w:ind w:firstLine="0" w:firstLineChars="0"/>
                    <w:jc w:val="both"/>
                    <w:rPr>
                      <w:rFonts w:hint="eastAsia"/>
                    </w:rPr>
                  </w:pPr>
                  <w:r>
                    <w:rPr>
                      <w:rFonts w:hint="eastAsia"/>
                    </w:rPr>
                    <w:t>53进一步强化区域协作机制，完善重污染天气应对和重点行业绩效分级管理体系，突出PM2.5和臭氧协同控制，加大钢铁、水泥、焦化、玻璃等行业以及工业锅炉、炉窑、移动源氮氧化物减排力度。</w:t>
                  </w:r>
                </w:p>
                <w:p w14:paraId="3AA82E6D">
                  <w:pPr>
                    <w:pStyle w:val="206"/>
                    <w:spacing w:line="320" w:lineRule="atLeast"/>
                    <w:ind w:firstLine="0" w:firstLineChars="0"/>
                    <w:jc w:val="both"/>
                    <w:rPr>
                      <w:rFonts w:hint="eastAsia"/>
                    </w:rPr>
                  </w:pPr>
                  <w:r>
                    <w:rPr>
                      <w:rFonts w:hint="eastAsia"/>
                    </w:rPr>
                    <w:t>57污染物排放标准中有特别排放限值的标准的行业，二氧化硫、氮氧化物、颗粒物、挥发性有机物(VOCs)全面执行大气污染物特别排放限值。已核发排污许可证的，应严格执行许可要求。</w:t>
                  </w:r>
                </w:p>
                <w:p w14:paraId="69FD7F25">
                  <w:pPr>
                    <w:pStyle w:val="206"/>
                    <w:spacing w:line="320" w:lineRule="atLeast"/>
                    <w:ind w:firstLine="0" w:firstLineChars="0"/>
                    <w:jc w:val="both"/>
                    <w:rPr>
                      <w:rFonts w:hint="eastAsia"/>
                    </w:rPr>
                  </w:pPr>
                  <w:r>
                    <w:rPr>
                      <w:rFonts w:hint="eastAsia"/>
                    </w:rPr>
                    <w:t>58对国家级新区、工业园区、高新区等进行集中整治，限期进行达标改造。</w:t>
                  </w:r>
                </w:p>
                <w:p w14:paraId="6A07D7D1">
                  <w:pPr>
                    <w:pStyle w:val="206"/>
                    <w:spacing w:line="320" w:lineRule="atLeast"/>
                    <w:ind w:firstLine="0" w:firstLineChars="0"/>
                    <w:jc w:val="both"/>
                    <w:rPr>
                      <w:rFonts w:hint="eastAsia"/>
                    </w:rPr>
                  </w:pPr>
                  <w:r>
                    <w:rPr>
                      <w:rFonts w:hint="eastAsia"/>
                    </w:rPr>
                    <w:t>62已有行业排放标准的工业炉窑，严格执行行业排放标准相关规定，配套建设高效脱硫脱硝除尘设施，确保稳定达标排放。已制定更严格地方排放标准的，按地方标准执行。</w:t>
                  </w:r>
                </w:p>
                <w:p w14:paraId="23B71AD0">
                  <w:pPr>
                    <w:pStyle w:val="206"/>
                    <w:spacing w:line="320" w:lineRule="atLeast"/>
                    <w:ind w:firstLine="0" w:firstLineChars="0"/>
                    <w:jc w:val="both"/>
                    <w:rPr>
                      <w:rFonts w:hint="eastAsia"/>
                    </w:rPr>
                  </w:pPr>
                  <w:r>
                    <w:rPr>
                      <w:rFonts w:hint="eastAsia"/>
                    </w:rPr>
                    <w:t>64城市建成区生物质锅炉实施超低排放改造。</w:t>
                  </w:r>
                </w:p>
                <w:p w14:paraId="1415E3AF">
                  <w:pPr>
                    <w:pStyle w:val="206"/>
                    <w:spacing w:line="320" w:lineRule="atLeast"/>
                    <w:ind w:firstLine="0" w:firstLineChars="0"/>
                    <w:jc w:val="both"/>
                    <w:rPr>
                      <w:rFonts w:hint="eastAsia"/>
                    </w:rPr>
                  </w:pPr>
                  <w:r>
                    <w:rPr>
                      <w:rFonts w:hint="eastAsia"/>
                    </w:rPr>
                    <w:t>18全面排查并淘汰经整改环保仍不达标的落后产能，集中治理产业集聚区水污染，全面建成污水集中处理及重污染企业污水预处理设施。实施重污染行业专项整治，加强清洁生产审核和工业用水循环利用。</w:t>
                  </w:r>
                </w:p>
                <w:p w14:paraId="391DF326">
                  <w:pPr>
                    <w:pStyle w:val="206"/>
                    <w:spacing w:line="320" w:lineRule="atLeast"/>
                    <w:ind w:firstLine="0" w:firstLineChars="0"/>
                    <w:jc w:val="both"/>
                    <w:rPr>
                      <w:rFonts w:hint="eastAsia"/>
                    </w:rPr>
                  </w:pPr>
                  <w:r>
                    <w:rPr>
                      <w:rFonts w:hint="eastAsia"/>
                    </w:rPr>
                    <w:t>55对国家确定的“十大”重点行业，我市现有的造纸、氮肥、印染、农副食品加工、原料药制造、电镀等重点行业要制定专项治理方案，依法开展强制性清洁生产审核，并实施清洁化改造。</w:t>
                  </w:r>
                </w:p>
                <w:p w14:paraId="03B9BFB9">
                  <w:pPr>
                    <w:pStyle w:val="206"/>
                    <w:spacing w:line="320" w:lineRule="atLeast"/>
                    <w:ind w:firstLine="0" w:firstLineChars="0"/>
                    <w:jc w:val="both"/>
                    <w:rPr>
                      <w:rFonts w:hint="eastAsia"/>
                    </w:rPr>
                  </w:pPr>
                  <w:r>
                    <w:rPr>
                      <w:rFonts w:hint="eastAsia"/>
                    </w:rPr>
                    <w:t>57持续推进城镇污水处理厂建设，推进老旧城区、城中村、城乡结合部生活污水收集和处理，加快补齐生活污水收集处理设施短板。推进建成区污水管网全覆盖，生活污水全收集、全处理。加快城市雨污分流制改造，系统治理雨污错接、混接、漏接等问题。加强管网新建和提标改造，对于近期设施难以覆盖的地区，因地制宜建设分散污水处理设施，处理达标后排放。</w:t>
                  </w:r>
                </w:p>
                <w:p w14:paraId="73AB4340">
                  <w:pPr>
                    <w:pStyle w:val="206"/>
                    <w:spacing w:line="320" w:lineRule="atLeast"/>
                    <w:ind w:firstLine="0" w:firstLineChars="0"/>
                    <w:jc w:val="both"/>
                    <w:rPr>
                      <w:rFonts w:hint="eastAsia"/>
                    </w:rPr>
                  </w:pPr>
                  <w:r>
                    <w:rPr>
                      <w:rFonts w:hint="eastAsia"/>
                    </w:rPr>
                    <w:t>68深化工业污染治理，工业污染源全面达标排放，未达标排放的企业一律依法停产整治。</w:t>
                  </w:r>
                </w:p>
                <w:p w14:paraId="27A3B6C4">
                  <w:pPr>
                    <w:pStyle w:val="206"/>
                    <w:spacing w:line="320" w:lineRule="atLeast"/>
                    <w:ind w:firstLine="0" w:firstLineChars="0"/>
                    <w:jc w:val="both"/>
                    <w:rPr>
                      <w:rFonts w:hint="eastAsia"/>
                    </w:rPr>
                  </w:pPr>
                  <w:r>
                    <w:rPr>
                      <w:rFonts w:hint="eastAsia"/>
                    </w:rPr>
                    <w:t>75非煤矿山企业对产生扬尘的作业场所，应当按《安徽省非煤矿山管理条例》采取相应污染防治措施。</w:t>
                  </w:r>
                </w:p>
                <w:p w14:paraId="3F32D40E">
                  <w:pPr>
                    <w:pStyle w:val="206"/>
                    <w:spacing w:line="320" w:lineRule="atLeast"/>
                    <w:ind w:firstLine="0" w:firstLineChars="0"/>
                    <w:jc w:val="both"/>
                    <w:rPr>
                      <w:rFonts w:hint="eastAsia"/>
                    </w:rPr>
                  </w:pPr>
                  <w:r>
                    <w:rPr>
                      <w:rFonts w:hint="eastAsia"/>
                    </w:rPr>
                    <w:t>76建筑工程施工现场扬尘污染防治应做到工地周边围挡、物料堆放覆盖、路面硬化、土方开挖湿法作业、出入车辆清洗、渣土车辆密闭运输“六个百分之百”。具体要求执行《建筑工程施工和预拌混凝土生产扬尘污染防治标准》(试行)。</w:t>
                  </w:r>
                </w:p>
                <w:p w14:paraId="2E943EB6">
                  <w:pPr>
                    <w:pStyle w:val="206"/>
                    <w:spacing w:line="320" w:lineRule="atLeast"/>
                    <w:ind w:firstLine="0" w:firstLineChars="0"/>
                    <w:jc w:val="both"/>
                    <w:rPr>
                      <w:rFonts w:hint="eastAsia"/>
                    </w:rPr>
                  </w:pPr>
                  <w:r>
                    <w:rPr>
                      <w:rFonts w:hint="eastAsia"/>
                    </w:rPr>
                    <w:t>77裸露地面扬尘、道路扬尘、装卸扬尘控制具体要求从严执行《安徽省大气污染防治条例》和《安徽省打赢蓝天保卫战三年行动计划实施方案》等要求。</w:t>
                  </w:r>
                </w:p>
                <w:p w14:paraId="61427001">
                  <w:pPr>
                    <w:pStyle w:val="206"/>
                    <w:spacing w:line="320" w:lineRule="atLeast"/>
                    <w:ind w:firstLine="0" w:firstLineChars="0"/>
                    <w:jc w:val="both"/>
                    <w:rPr>
                      <w:rFonts w:hint="eastAsia"/>
                    </w:rPr>
                  </w:pPr>
                  <w:r>
                    <w:rPr>
                      <w:rFonts w:hint="eastAsia"/>
                    </w:rPr>
                    <w:t>19完善大气污染物排放总量控制制度，加强对工业烟尘、粉尘、城市扬尘和有毒有害空气污染物排放的协同控制。严格煤炭消费总量，增加清洁能源供给和使用，力争实现煤炭消费负增长。强化机动车尾气治理，优先发展公共交通，严禁秸秆露天焚烧，推进秸秆综合利用，全面推行“绿色施工”。</w:t>
                  </w:r>
                </w:p>
              </w:tc>
              <w:tc>
                <w:tcPr>
                  <w:tcW w:w="712" w:type="pct"/>
                  <w:noWrap w:val="0"/>
                  <w:vAlign w:val="center"/>
                </w:tcPr>
                <w:p w14:paraId="73D9CF84">
                  <w:pPr>
                    <w:pStyle w:val="206"/>
                    <w:spacing w:line="320" w:lineRule="atLeast"/>
                    <w:ind w:firstLine="0" w:firstLineChars="0"/>
                    <w:jc w:val="both"/>
                    <w:rPr>
                      <w:rFonts w:hint="eastAsia" w:eastAsia="宋体"/>
                      <w:lang w:eastAsia="zh-CN"/>
                    </w:rPr>
                  </w:pPr>
                  <w:r>
                    <w:rPr>
                      <w:rFonts w:hint="eastAsia"/>
                    </w:rPr>
                    <w:t>本项目使用煤矸石为原料，采用生物质燃料点火，不使用煤炭。污染物排放满足安</w:t>
                  </w:r>
                  <w:r>
                    <w:rPr>
                      <w:rFonts w:hint="eastAsia"/>
                      <w:color w:val="000000"/>
                    </w:rPr>
                    <w:t>徽省《砖瓦工业大气污染物排放标准》(DB34/4362-2023)相关标准</w:t>
                  </w:r>
                  <w:r>
                    <w:rPr>
                      <w:rFonts w:hint="eastAsia"/>
                      <w:color w:val="000000"/>
                      <w:lang w:eastAsia="zh-CN"/>
                    </w:rPr>
                    <w:t>。</w:t>
                  </w:r>
                </w:p>
              </w:tc>
              <w:tc>
                <w:tcPr>
                  <w:tcW w:w="476" w:type="pct"/>
                  <w:noWrap w:val="0"/>
                  <w:vAlign w:val="center"/>
                </w:tcPr>
                <w:p w14:paraId="5058B133">
                  <w:pPr>
                    <w:pStyle w:val="206"/>
                    <w:spacing w:line="320" w:lineRule="atLeast"/>
                    <w:ind w:firstLine="0" w:firstLineChars="0"/>
                  </w:pPr>
                  <w:r>
                    <w:rPr>
                      <w:rFonts w:hint="eastAsia"/>
                    </w:rPr>
                    <w:t>符合</w:t>
                  </w:r>
                </w:p>
              </w:tc>
            </w:tr>
          </w:tbl>
          <w:p w14:paraId="4069479F">
            <w:pPr>
              <w:rPr>
                <w:rFonts w:hint="eastAsia"/>
              </w:rPr>
            </w:pPr>
          </w:p>
          <w:p w14:paraId="3290A230">
            <w:pPr>
              <w:spacing w:line="480" w:lineRule="atLeast"/>
              <w:ind w:firstLine="480" w:firstLineChars="200"/>
              <w:rPr>
                <w:sz w:val="24"/>
                <w:szCs w:val="32"/>
              </w:rPr>
            </w:pPr>
            <w:r>
              <w:rPr>
                <w:rFonts w:hint="eastAsia"/>
                <w:sz w:val="24"/>
                <w:szCs w:val="32"/>
              </w:rPr>
              <w:t>(3)资源开放效率分区管控要求</w:t>
            </w:r>
          </w:p>
          <w:p w14:paraId="35BF792B">
            <w:pPr>
              <w:spacing w:line="480" w:lineRule="atLeast"/>
              <w:ind w:firstLine="480" w:firstLineChars="200"/>
              <w:rPr>
                <w:sz w:val="24"/>
                <w:szCs w:val="32"/>
              </w:rPr>
            </w:pPr>
            <w:r>
              <w:rPr>
                <w:rFonts w:hint="eastAsia"/>
                <w:sz w:val="24"/>
                <w:szCs w:val="32"/>
              </w:rPr>
              <w:t>项目用水来自市政供水管网，不涉及地下水开采，不会突破水资源利用上线；用电来自市政供电，不使用煤炭资源，不会突破煤炭资源；本项目在现有厂区内建设，不新增用地，不会突破土地资源利用上线。</w:t>
            </w:r>
          </w:p>
          <w:p w14:paraId="3E08D2B7">
            <w:pPr>
              <w:pStyle w:val="209"/>
              <w:autoSpaceDE/>
              <w:autoSpaceDN/>
              <w:spacing w:line="480" w:lineRule="atLeast"/>
              <w:rPr>
                <w:color w:val="auto"/>
                <w:sz w:val="24"/>
                <w:szCs w:val="28"/>
              </w:rPr>
            </w:pPr>
            <w:r>
              <w:rPr>
                <w:rFonts w:hint="eastAsia"/>
                <w:color w:val="auto"/>
                <w:sz w:val="24"/>
                <w:szCs w:val="28"/>
              </w:rPr>
              <w:t>对照安徽省“三线一单”公众服务平台，区域资源开发效率符合性分析如下：</w:t>
            </w:r>
          </w:p>
          <w:p w14:paraId="1D489C41">
            <w:pPr>
              <w:pStyle w:val="208"/>
              <w:rPr>
                <w:rFonts w:hint="eastAsia" w:ascii="黑体" w:hAnsi="黑体" w:eastAsia="黑体" w:cs="黑体"/>
                <w:b w:val="0"/>
                <w:bCs w:val="0"/>
                <w:sz w:val="24"/>
                <w:szCs w:val="24"/>
              </w:rPr>
            </w:pPr>
            <w:r>
              <w:rPr>
                <w:rFonts w:hint="eastAsia" w:ascii="黑体" w:hAnsi="黑体" w:eastAsia="黑体" w:cs="黑体"/>
                <w:b w:val="0"/>
                <w:bCs w:val="0"/>
                <w:sz w:val="24"/>
                <w:szCs w:val="24"/>
              </w:rPr>
              <w:t>表1-3与资源开放效率分区管控要求符合性分析一览表</w:t>
            </w: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5521"/>
              <w:gridCol w:w="1048"/>
              <w:gridCol w:w="800"/>
            </w:tblGrid>
            <w:tr w14:paraId="5F65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9" w:type="pct"/>
                  <w:noWrap w:val="0"/>
                  <w:vAlign w:val="center"/>
                </w:tcPr>
                <w:p w14:paraId="671482F6">
                  <w:pPr>
                    <w:pStyle w:val="206"/>
                    <w:spacing w:line="320" w:lineRule="atLeast"/>
                    <w:ind w:firstLine="0" w:firstLineChars="0"/>
                  </w:pPr>
                  <w:r>
                    <w:rPr>
                      <w:rFonts w:hint="eastAsia"/>
                    </w:rPr>
                    <w:t>管控类别</w:t>
                  </w:r>
                </w:p>
              </w:tc>
              <w:tc>
                <w:tcPr>
                  <w:tcW w:w="3385" w:type="pct"/>
                  <w:noWrap w:val="0"/>
                  <w:vAlign w:val="center"/>
                </w:tcPr>
                <w:p w14:paraId="270F8623">
                  <w:pPr>
                    <w:pStyle w:val="206"/>
                    <w:spacing w:line="320" w:lineRule="atLeast"/>
                    <w:ind w:firstLine="0" w:firstLineChars="0"/>
                  </w:pPr>
                  <w:r>
                    <w:rPr>
                      <w:rFonts w:hint="eastAsia"/>
                    </w:rPr>
                    <w:t>管控要求</w:t>
                  </w:r>
                </w:p>
              </w:tc>
              <w:tc>
                <w:tcPr>
                  <w:tcW w:w="643" w:type="pct"/>
                  <w:noWrap w:val="0"/>
                  <w:vAlign w:val="center"/>
                </w:tcPr>
                <w:p w14:paraId="4718F0D0">
                  <w:pPr>
                    <w:pStyle w:val="206"/>
                    <w:spacing w:line="320" w:lineRule="atLeast"/>
                    <w:ind w:firstLine="0" w:firstLineChars="0"/>
                  </w:pPr>
                  <w:r>
                    <w:rPr>
                      <w:rFonts w:hint="eastAsia"/>
                    </w:rPr>
                    <w:t>本项目建设情况</w:t>
                  </w:r>
                </w:p>
              </w:tc>
              <w:tc>
                <w:tcPr>
                  <w:tcW w:w="491" w:type="pct"/>
                  <w:noWrap w:val="0"/>
                  <w:vAlign w:val="center"/>
                </w:tcPr>
                <w:p w14:paraId="7011E0AA">
                  <w:pPr>
                    <w:pStyle w:val="206"/>
                    <w:spacing w:line="320" w:lineRule="atLeast"/>
                    <w:ind w:firstLine="0" w:firstLineChars="0"/>
                  </w:pPr>
                  <w:r>
                    <w:rPr>
                      <w:rFonts w:hint="eastAsia"/>
                    </w:rPr>
                    <w:t>符合性分析</w:t>
                  </w:r>
                </w:p>
              </w:tc>
            </w:tr>
            <w:tr w14:paraId="6D8B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7922D52C">
                  <w:pPr>
                    <w:pStyle w:val="206"/>
                    <w:spacing w:line="320" w:lineRule="atLeast"/>
                    <w:ind w:firstLine="0" w:firstLineChars="0"/>
                  </w:pPr>
                  <w:r>
                    <w:rPr>
                      <w:rFonts w:hint="eastAsia"/>
                    </w:rPr>
                    <w:t>区域资源开发效率</w:t>
                  </w:r>
                </w:p>
              </w:tc>
              <w:tc>
                <w:tcPr>
                  <w:tcW w:w="3385" w:type="pct"/>
                  <w:noWrap w:val="0"/>
                  <w:vAlign w:val="center"/>
                </w:tcPr>
                <w:p w14:paraId="0C45BC8C">
                  <w:pPr>
                    <w:pStyle w:val="206"/>
                    <w:spacing w:line="320" w:lineRule="atLeast"/>
                    <w:ind w:firstLine="0" w:firstLineChars="0"/>
                    <w:jc w:val="both"/>
                    <w:rPr>
                      <w:rFonts w:hint="eastAsia"/>
                    </w:rPr>
                  </w:pPr>
                  <w:r>
                    <w:rPr>
                      <w:rFonts w:hint="eastAsia"/>
                    </w:rPr>
                    <w:t>82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p w14:paraId="6DD647B2">
                  <w:pPr>
                    <w:pStyle w:val="206"/>
                    <w:spacing w:line="320" w:lineRule="atLeast"/>
                    <w:ind w:firstLine="0" w:firstLineChars="0"/>
                    <w:jc w:val="both"/>
                    <w:rPr>
                      <w:rFonts w:hint="eastAsia"/>
                    </w:rPr>
                  </w:pPr>
                  <w:r>
                    <w:rPr>
                      <w:rFonts w:hint="eastAsia"/>
                    </w:rPr>
                    <w:t>34按照省政府下达给区域各市的水资源利用总量及效率要求执行。</w:t>
                  </w:r>
                </w:p>
                <w:p w14:paraId="0D506F15">
                  <w:pPr>
                    <w:pStyle w:val="206"/>
                    <w:spacing w:line="320" w:lineRule="atLeast"/>
                    <w:ind w:firstLine="0" w:firstLineChars="0"/>
                    <w:jc w:val="both"/>
                    <w:rPr>
                      <w:rFonts w:hint="eastAsia"/>
                    </w:rPr>
                  </w:pPr>
                  <w:r>
                    <w:rPr>
                      <w:rFonts w:hint="eastAsia"/>
                    </w:rPr>
                    <w:t>37淮河流域地下水开采区应当依靠降雨、地下径流、河流和湖泊、水库渗漏等补给地下水。人工回灌补给地下水，不得恶化地下水质。、38按照省政府下达给区域各市能源利用总量及效率要求执行。</w:t>
                  </w:r>
                </w:p>
                <w:p w14:paraId="2766D565">
                  <w:pPr>
                    <w:pStyle w:val="206"/>
                    <w:spacing w:line="320" w:lineRule="atLeast"/>
                    <w:ind w:firstLine="0" w:firstLineChars="0"/>
                    <w:jc w:val="both"/>
                    <w:rPr>
                      <w:rFonts w:hint="eastAsia"/>
                    </w:rPr>
                  </w:pPr>
                  <w:r>
                    <w:rPr>
                      <w:rFonts w:hint="eastAsia"/>
                    </w:rPr>
                    <w:t>39按照省级清单中禁燃区要求执行。</w:t>
                  </w:r>
                </w:p>
                <w:p w14:paraId="586CB050">
                  <w:pPr>
                    <w:pStyle w:val="206"/>
                    <w:spacing w:line="320" w:lineRule="atLeast"/>
                    <w:ind w:firstLine="0" w:firstLineChars="0"/>
                    <w:jc w:val="both"/>
                    <w:rPr>
                      <w:rFonts w:hint="eastAsia"/>
                    </w:rPr>
                  </w:pPr>
                  <w:r>
                    <w:rPr>
                      <w:rFonts w:hint="eastAsia"/>
                    </w:rPr>
                    <w:t>40土地资源利用效率按照省政府下达给区域各市的要求执行。</w:t>
                  </w:r>
                </w:p>
                <w:p w14:paraId="329A7D23">
                  <w:pPr>
                    <w:pStyle w:val="206"/>
                    <w:spacing w:line="320" w:lineRule="atLeast"/>
                    <w:ind w:firstLine="0" w:firstLineChars="0"/>
                    <w:jc w:val="both"/>
                    <w:rPr>
                      <w:rFonts w:hint="eastAsia"/>
                    </w:rPr>
                  </w:pPr>
                  <w:r>
                    <w:rPr>
                      <w:rFonts w:hint="eastAsia"/>
                    </w:rPr>
                    <w:t>69到2025年，全市用水总量控制在23.02亿m</w:t>
                  </w:r>
                  <w:r>
                    <w:rPr>
                      <w:rFonts w:hint="eastAsia"/>
                      <w:vertAlign w:val="superscript"/>
                    </w:rPr>
                    <w:t>3</w:t>
                  </w:r>
                  <w:r>
                    <w:rPr>
                      <w:rFonts w:hint="eastAsia"/>
                    </w:rPr>
                    <w:t>以内，万元GDP用水量和万元工业增加值用水量分别比2020年下降18.5%和18%，规模以上工业用水重复利用率达到93%，全市农田灌溉水有效利用系数提高到0.60；全市新增县域节水型社会达标县(区)4个，新增3个省级节水型园区、10家节水型企业、3个节水型灌区、6家节水型高校。城镇公共供水管网漏损率下降到10%，非常规水利用率达到25%，非农业用水计量率达到100%，大中型灌区渠首计量率达到100%。、</w:t>
                  </w:r>
                </w:p>
                <w:p w14:paraId="20DA45B4">
                  <w:pPr>
                    <w:pStyle w:val="206"/>
                    <w:spacing w:line="320" w:lineRule="atLeast"/>
                    <w:ind w:firstLine="0" w:firstLineChars="0"/>
                    <w:jc w:val="both"/>
                    <w:rPr>
                      <w:rFonts w:hint="eastAsia"/>
                    </w:rPr>
                  </w:pPr>
                  <w:r>
                    <w:rPr>
                      <w:rFonts w:hint="eastAsia"/>
                    </w:rPr>
                    <w:t>702025年天然气占能源消费比重达到8%以上。2025年非化石能源占能源消费总量的10%以上。</w:t>
                  </w:r>
                </w:p>
                <w:p w14:paraId="44B7CA9F">
                  <w:pPr>
                    <w:pStyle w:val="206"/>
                    <w:spacing w:line="320" w:lineRule="atLeast"/>
                    <w:ind w:firstLine="0" w:firstLineChars="0"/>
                    <w:jc w:val="both"/>
                    <w:rPr>
                      <w:rFonts w:hint="eastAsia"/>
                    </w:rPr>
                  </w:pPr>
                  <w:r>
                    <w:rPr>
                      <w:rFonts w:hint="eastAsia"/>
                    </w:rPr>
                    <w:t>71控制煤炭消费总量，加快实施重点用能单位节能低碳行动和重点产业能效提升计划，严格执行高耗能行业产品能耗限额标准体系。推进煤电企业通过资产整合、股权投资等方式深度融合，提高煤炭就地转化率，提高煤电联营规模，推动电力、煤炭产业一体化协调发展。推进传统电力能源和电力新能源协调发展，建设智慧电厂，全面推行热电联产、冷热电联供模式，利用国际领先水平的清洁高效煤电成套设备，升级改造现役电厂发电设备和配套设施，全面提升电网智能化水平，提升电网接入和消纳能力。优化电力新能源项目布局，支持光伏发电、风电项目建设。严格实施行业内新建项目重点污染物排放等量或减量置换，煤炭、水泥等产能过剩行业实施重点污染物排放等量或减量置换。严格控制煤炭消费总量，落实煤炭消费减量替代与污染减排“双挂钩”制度，提高非化石能源消费比重，降低煤炭在能源总消费中比例。优化配置生产要素，发挥清洁能源市场规模优势和已有的能源产业基础优势，促进传统能源要素和新兴清洁能源要素的有机融合。、</w:t>
                  </w:r>
                </w:p>
                <w:p w14:paraId="28CECE8E">
                  <w:pPr>
                    <w:pStyle w:val="206"/>
                    <w:spacing w:line="320" w:lineRule="atLeast"/>
                    <w:ind w:firstLine="0" w:firstLineChars="0"/>
                    <w:jc w:val="both"/>
                    <w:rPr>
                      <w:rFonts w:hint="eastAsia"/>
                    </w:rPr>
                  </w:pPr>
                  <w:r>
                    <w:rPr>
                      <w:rFonts w:hint="eastAsia"/>
                    </w:rPr>
                    <w:t>73禁燃区内禁止燃用《高污染燃料目录》中的Ⅱ类燃料组合，即在禁燃区内，禁止使用除单台出力大于等于20蒸吨/小时的锅炉以外燃用的煤炭及其制品，及石油焦、油页岩、原油、重油、渣油、煤焦油。</w:t>
                  </w:r>
                </w:p>
                <w:p w14:paraId="1F1EF26F">
                  <w:pPr>
                    <w:pStyle w:val="206"/>
                    <w:spacing w:line="320" w:lineRule="atLeast"/>
                    <w:ind w:firstLine="0" w:firstLineChars="0"/>
                    <w:jc w:val="both"/>
                    <w:rPr>
                      <w:rFonts w:hint="eastAsia"/>
                    </w:rPr>
                  </w:pPr>
                  <w:r>
                    <w:rPr>
                      <w:rFonts w:hint="eastAsia"/>
                    </w:rPr>
                    <w:t>74禁燃区内禁止销售、燃用高污染燃料，不得新建、扩建燃用高污染燃料的锅炉、窑炉、炉灶等燃烧设施(集中供热、火电厂锅炉除外)。</w:t>
                  </w:r>
                </w:p>
                <w:p w14:paraId="56FA51A5">
                  <w:pPr>
                    <w:pStyle w:val="206"/>
                    <w:spacing w:line="320" w:lineRule="atLeast"/>
                    <w:ind w:firstLine="0" w:firstLineChars="0"/>
                    <w:jc w:val="both"/>
                    <w:rPr>
                      <w:rFonts w:hint="eastAsia"/>
                    </w:rPr>
                  </w:pPr>
                  <w:r>
                    <w:rPr>
                      <w:rFonts w:hint="eastAsia"/>
                    </w:rPr>
                    <w:t>75禁燃区内现有高污染燃料燃烧设施(集中供热、火电厂锅炉除外)，完成改用天然气、液化石油气、电等清洁能源，或改用城市集中供热。逾期未改用的，不得继续使用。</w:t>
                  </w:r>
                </w:p>
                <w:p w14:paraId="06958750">
                  <w:pPr>
                    <w:pStyle w:val="206"/>
                    <w:spacing w:line="320" w:lineRule="atLeast"/>
                    <w:ind w:firstLine="0" w:firstLineChars="0"/>
                    <w:jc w:val="both"/>
                    <w:rPr>
                      <w:rFonts w:hint="eastAsia"/>
                    </w:rPr>
                  </w:pPr>
                  <w:r>
                    <w:rPr>
                      <w:rFonts w:hint="eastAsia"/>
                    </w:rPr>
                    <w:t>76现有经济开发区等工业集中区应实施热电联产或集中供热改造，将工业企业纳入集中供热范围，逐步淘汰分散燃煤锅炉，核准审批新建热电联产项目要求关停的燃煤锅炉必须按期淘汰。</w:t>
                  </w:r>
                </w:p>
                <w:p w14:paraId="29E48A2F">
                  <w:pPr>
                    <w:pStyle w:val="206"/>
                    <w:spacing w:line="320" w:lineRule="atLeast"/>
                    <w:ind w:firstLine="0" w:firstLineChars="0"/>
                    <w:jc w:val="both"/>
                  </w:pPr>
                  <w:r>
                    <w:rPr>
                      <w:rFonts w:hint="eastAsia"/>
                    </w:rPr>
                    <w:t>77淮南市禁燃区范围：(一)寿县：寿春镇(不含城南防洪圈堤以南地区)，寿西湖农场，寿县工业园，寿县新桥国际产业园区，寿县蜀山现代产业园区。(二)凤台县：县城中心区域(东至淮河，西至凤蒙路-凤利路-南湖大道一线，南至淮河，北至淮阜铁路线)。(三)大通区：大通主城区(东至中兴路，西至居仁村，南至舜耕山，北至淮蚌铁路线)，九龙岗镇城区(东至镇东路，西至万向路，南至舜耕山，北至洞山东路)，国庆东路洛河段两侧500米范围内，国庆东路上窑段两侧500米范围内，大通工业园区。(四)田家庵区：东至田大路，西至与谢家集区交界处，南至舜耕山，北至淮河沿线。(五)谢家集区：东至沿矿路，西至东西部第二通道，南至谢李路环卫处、莲花市场一线，北至与八公山区交界处。(六)八公山区：东至水张铁路线(八公山镇至山王镇李嘴孜段)，西至东西部第二通道，南至常山路，北至东西部第二通道与淮凤路交界处。(七)潘集区：东至齐云山路，西至西外环路，南至珠江路，北至滨河路。(八)毛集实验区：东至丁家沟，西至合淮阜高速连接线，南至焦岗湖大道，北至102省道范围内及焦岗湖景区。(九)淮南经济技术开发区：东至中兴路高压走廊-洛九路，西至田大路，南至洞山东路，北至淮河大坝。(十)淮南高新技术产业开发区：全部辖区。(十一)八公山风景名胜区、舜耕山风景区、上窑国家森林公园：全部辖区。78烟花爆竹禁放区域：田家庵区、谢家集区、八公山区、大通区行政区域内禁止燃放烟花爆竹。空气重污染黄色、橙色、红色预警期间，本市行政区域内禁止燃放烟花爆竹。禁放地点：田家庵区、谢家集区、八公山区、大通区行政区域外，</w:t>
                  </w:r>
                </w:p>
              </w:tc>
              <w:tc>
                <w:tcPr>
                  <w:tcW w:w="643" w:type="pct"/>
                  <w:noWrap w:val="0"/>
                  <w:vAlign w:val="center"/>
                </w:tcPr>
                <w:p w14:paraId="2F9B7F62">
                  <w:pPr>
                    <w:pStyle w:val="206"/>
                    <w:spacing w:line="320" w:lineRule="atLeast"/>
                    <w:ind w:firstLine="0" w:firstLineChars="0"/>
                    <w:jc w:val="both"/>
                    <w:rPr>
                      <w:rFonts w:hint="eastAsia" w:eastAsia="宋体"/>
                      <w:lang w:eastAsia="zh-CN"/>
                    </w:rPr>
                  </w:pPr>
                  <w:r>
                    <w:t>项目用水来自市政供水管网，不涉及地下水开采</w:t>
                  </w:r>
                  <w:r>
                    <w:rPr>
                      <w:rFonts w:hint="eastAsia"/>
                    </w:rPr>
                    <w:t>；</w:t>
                  </w:r>
                  <w:r>
                    <w:t>用电来自市政供电，不使用煤炭资源，不会突破煤炭资源；本项目在现有厂区内建设，不新增用地</w:t>
                  </w:r>
                  <w:r>
                    <w:rPr>
                      <w:rFonts w:hint="eastAsia"/>
                      <w:lang w:eastAsia="zh-CN"/>
                    </w:rPr>
                    <w:t>。</w:t>
                  </w:r>
                </w:p>
              </w:tc>
              <w:tc>
                <w:tcPr>
                  <w:tcW w:w="491" w:type="pct"/>
                  <w:noWrap w:val="0"/>
                  <w:vAlign w:val="center"/>
                </w:tcPr>
                <w:p w14:paraId="6FA2D781">
                  <w:pPr>
                    <w:pStyle w:val="206"/>
                    <w:spacing w:line="320" w:lineRule="atLeast"/>
                    <w:ind w:firstLine="0" w:firstLineChars="0"/>
                  </w:pPr>
                  <w:r>
                    <w:rPr>
                      <w:rFonts w:hint="eastAsia"/>
                    </w:rPr>
                    <w:t>符合</w:t>
                  </w:r>
                </w:p>
              </w:tc>
            </w:tr>
          </w:tbl>
          <w:p w14:paraId="20B77712">
            <w:pPr>
              <w:pStyle w:val="209"/>
              <w:autoSpaceDE/>
              <w:autoSpaceDN/>
              <w:rPr>
                <w:rFonts w:hint="eastAsia"/>
                <w:color w:val="auto"/>
                <w:sz w:val="24"/>
                <w:szCs w:val="28"/>
              </w:rPr>
            </w:pPr>
            <w:r>
              <w:rPr>
                <w:rFonts w:hint="eastAsia"/>
                <w:color w:val="auto"/>
                <w:sz w:val="24"/>
                <w:szCs w:val="28"/>
              </w:rPr>
              <w:t>(4)环境风险管控要求</w:t>
            </w:r>
          </w:p>
          <w:p w14:paraId="460C96EC">
            <w:pPr>
              <w:pStyle w:val="209"/>
              <w:autoSpaceDE/>
              <w:autoSpaceDN/>
              <w:rPr>
                <w:color w:val="auto"/>
                <w:sz w:val="24"/>
                <w:szCs w:val="28"/>
              </w:rPr>
            </w:pPr>
            <w:r>
              <w:rPr>
                <w:rFonts w:hint="eastAsia"/>
                <w:color w:val="auto"/>
                <w:sz w:val="24"/>
                <w:szCs w:val="28"/>
              </w:rPr>
              <w:t>对照安徽省“三线一单”公众服务平台，环境风险管控要求符合性分析如下：</w:t>
            </w:r>
          </w:p>
          <w:p w14:paraId="35D28D89">
            <w:pPr>
              <w:pStyle w:val="208"/>
              <w:rPr>
                <w:rFonts w:hint="eastAsia" w:ascii="黑体" w:hAnsi="黑体" w:eastAsia="黑体" w:cs="黑体"/>
                <w:b w:val="0"/>
                <w:bCs w:val="0"/>
                <w:sz w:val="24"/>
                <w:szCs w:val="24"/>
              </w:rPr>
            </w:pPr>
            <w:r>
              <w:rPr>
                <w:rFonts w:hint="eastAsia" w:ascii="黑体" w:hAnsi="黑体" w:eastAsia="黑体" w:cs="黑体"/>
                <w:b w:val="0"/>
                <w:bCs w:val="0"/>
                <w:sz w:val="24"/>
                <w:szCs w:val="24"/>
              </w:rPr>
              <w:t>表1-4与环境风险管控要求符合性分析一览表</w:t>
            </w: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5521"/>
              <w:gridCol w:w="1048"/>
              <w:gridCol w:w="800"/>
            </w:tblGrid>
            <w:tr w14:paraId="69DF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9" w:type="pct"/>
                  <w:noWrap w:val="0"/>
                  <w:vAlign w:val="center"/>
                </w:tcPr>
                <w:p w14:paraId="30489F69">
                  <w:pPr>
                    <w:pStyle w:val="206"/>
                    <w:spacing w:line="320" w:lineRule="atLeast"/>
                    <w:ind w:firstLine="0" w:firstLineChars="0"/>
                  </w:pPr>
                  <w:r>
                    <w:rPr>
                      <w:rFonts w:hint="eastAsia"/>
                    </w:rPr>
                    <w:t>管控类别</w:t>
                  </w:r>
                </w:p>
              </w:tc>
              <w:tc>
                <w:tcPr>
                  <w:tcW w:w="3385" w:type="pct"/>
                  <w:noWrap w:val="0"/>
                  <w:vAlign w:val="center"/>
                </w:tcPr>
                <w:p w14:paraId="45C27D2D">
                  <w:pPr>
                    <w:pStyle w:val="206"/>
                    <w:spacing w:line="320" w:lineRule="atLeast"/>
                    <w:ind w:firstLine="0" w:firstLineChars="0"/>
                  </w:pPr>
                  <w:r>
                    <w:rPr>
                      <w:rFonts w:hint="eastAsia"/>
                    </w:rPr>
                    <w:t>管控要求</w:t>
                  </w:r>
                </w:p>
              </w:tc>
              <w:tc>
                <w:tcPr>
                  <w:tcW w:w="643" w:type="pct"/>
                  <w:noWrap w:val="0"/>
                  <w:vAlign w:val="center"/>
                </w:tcPr>
                <w:p w14:paraId="099B3401">
                  <w:pPr>
                    <w:pStyle w:val="206"/>
                    <w:spacing w:line="320" w:lineRule="atLeast"/>
                    <w:ind w:firstLine="0" w:firstLineChars="0"/>
                  </w:pPr>
                  <w:r>
                    <w:rPr>
                      <w:rFonts w:hint="eastAsia"/>
                    </w:rPr>
                    <w:t>本项目建设情况</w:t>
                  </w:r>
                </w:p>
              </w:tc>
              <w:tc>
                <w:tcPr>
                  <w:tcW w:w="491" w:type="pct"/>
                  <w:noWrap w:val="0"/>
                  <w:vAlign w:val="center"/>
                </w:tcPr>
                <w:p w14:paraId="3D29A8D8">
                  <w:pPr>
                    <w:pStyle w:val="206"/>
                    <w:spacing w:line="320" w:lineRule="atLeast"/>
                    <w:ind w:firstLine="0" w:firstLineChars="0"/>
                  </w:pPr>
                  <w:r>
                    <w:rPr>
                      <w:rFonts w:hint="eastAsia"/>
                    </w:rPr>
                    <w:t>符合性分析</w:t>
                  </w:r>
                </w:p>
              </w:tc>
            </w:tr>
            <w:tr w14:paraId="5776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51E98DEE">
                  <w:pPr>
                    <w:pStyle w:val="206"/>
                    <w:spacing w:line="320" w:lineRule="atLeast"/>
                    <w:ind w:firstLine="0" w:firstLineChars="0"/>
                  </w:pPr>
                  <w:r>
                    <w:rPr>
                      <w:rFonts w:hint="eastAsia"/>
                    </w:rPr>
                    <w:t>区域资源开发效率</w:t>
                  </w:r>
                </w:p>
              </w:tc>
              <w:tc>
                <w:tcPr>
                  <w:tcW w:w="3385" w:type="pct"/>
                  <w:noWrap w:val="0"/>
                  <w:vAlign w:val="center"/>
                </w:tcPr>
                <w:p w14:paraId="03B3D12D">
                  <w:pPr>
                    <w:pStyle w:val="206"/>
                    <w:spacing w:line="320" w:lineRule="atLeast"/>
                    <w:ind w:firstLine="0" w:firstLineChars="0"/>
                    <w:jc w:val="both"/>
                    <w:rPr>
                      <w:rFonts w:hint="eastAsia"/>
                    </w:rPr>
                  </w:pPr>
                  <w:r>
                    <w:rPr>
                      <w:rFonts w:hint="eastAsia"/>
                    </w:rPr>
                    <w:t>78以化工园区、尾矿库、冶炼企业等为重点，严格落实企业生态环境风险防范主体责任。</w:t>
                  </w:r>
                </w:p>
                <w:p w14:paraId="78B04D23">
                  <w:pPr>
                    <w:pStyle w:val="206"/>
                    <w:spacing w:line="320" w:lineRule="atLeast"/>
                    <w:ind w:firstLine="0" w:firstLineChars="0"/>
                    <w:jc w:val="both"/>
                    <w:rPr>
                      <w:rFonts w:hint="eastAsia"/>
                    </w:rPr>
                  </w:pPr>
                  <w:r>
                    <w:rPr>
                      <w:rFonts w:hint="eastAsia"/>
                    </w:rPr>
                    <w:t>79对使用有毒有害化学物质或在生产过程中排放有毒有害物质的企业，全面实施强制性清洁生产审核，严格执行产品质量标准中有毒有害化学物质的含量限值，加强农药、石化、涂料、印染、医药等行业新污染物环境风险管控。</w:t>
                  </w:r>
                </w:p>
                <w:p w14:paraId="481EA5B1">
                  <w:pPr>
                    <w:pStyle w:val="206"/>
                    <w:spacing w:line="320" w:lineRule="atLeast"/>
                    <w:ind w:firstLine="0" w:firstLineChars="0"/>
                    <w:jc w:val="both"/>
                    <w:rPr>
                      <w:rFonts w:hint="eastAsia"/>
                    </w:rPr>
                  </w:pPr>
                  <w:r>
                    <w:rPr>
                      <w:rFonts w:hint="eastAsia"/>
                    </w:rPr>
                    <w:t>26饮用水源受到污染可能威胁供水安全的，生态环境行政主管部门应当责令有关排污单位采取停止排放水污染物等措施，并通报饮用水供水单位和住房城乡建设、卫生健康、水行政等部门；跨行政区域的，还应当通报相关人民政府。</w:t>
                  </w:r>
                </w:p>
                <w:p w14:paraId="6C74A361">
                  <w:pPr>
                    <w:pStyle w:val="206"/>
                    <w:spacing w:line="320" w:lineRule="atLeast"/>
                    <w:ind w:firstLine="0" w:firstLineChars="0"/>
                    <w:jc w:val="both"/>
                    <w:rPr>
                      <w:rFonts w:hint="eastAsia"/>
                    </w:rPr>
                  </w:pPr>
                  <w:r>
                    <w:rPr>
                      <w:rFonts w:hint="eastAsia"/>
                    </w:rPr>
                    <w:t>29创新跨区域生态保护与环境治理，完善环境污染联防联控机制和预警应急体系，推行环境信息共享，建立健全跨部门、跨区域突发环境事件应急响应机制，建立环保信用评价、信息强制性披露、严惩重罚等制度和环评会商、联合执法、预警应急的区域联动机制，实现统一规划、统一标准、统一环评、统一监测、统一执法。充分发挥现有淮河流域水资源保护机构的作用，强化水质跨界断面的监测和考核，协调推进上中下游水资源保护与水污染防治工作。</w:t>
                  </w:r>
                </w:p>
                <w:p w14:paraId="26C79F9E">
                  <w:pPr>
                    <w:pStyle w:val="206"/>
                    <w:spacing w:line="320" w:lineRule="atLeast"/>
                    <w:ind w:firstLine="0" w:firstLineChars="0"/>
                    <w:jc w:val="both"/>
                    <w:rPr>
                      <w:rFonts w:hint="eastAsia"/>
                    </w:rPr>
                  </w:pPr>
                  <w:r>
                    <w:rPr>
                      <w:rFonts w:hint="eastAsia"/>
                    </w:rPr>
                    <w:t>30排污单位发生事故或者其他突发性事件，造成或者可能造成水污染事故的，应当立即启动本单位的应急方案，采取隔离等应急措施，防止水污染物进入水体，并向事故发生地的县级以上人民政府或者生态环境行政主管部门报告。</w:t>
                  </w:r>
                </w:p>
                <w:p w14:paraId="3C6DD3B0">
                  <w:pPr>
                    <w:pStyle w:val="206"/>
                    <w:spacing w:line="320" w:lineRule="atLeast"/>
                    <w:ind w:firstLine="0" w:firstLineChars="0"/>
                    <w:jc w:val="both"/>
                    <w:rPr>
                      <w:rFonts w:hint="eastAsia"/>
                    </w:rPr>
                  </w:pPr>
                  <w:r>
                    <w:rPr>
                      <w:rFonts w:hint="eastAsia"/>
                    </w:rPr>
                    <w:t>32生态环境行政主管部门和有关部门接到水污染事故报告后，应当及时向本级人民政府报告，并抄送有关部门。同时应当做好下列工作：(一)立即通知下游可能受到危害的地方生态环境行政主管部门和其他有关部门，并同时向上级主管部门报告；(二)采取措施，减轻或者消除污染；(三)对事故可能影响的水域进行监测；(四)及时进行调查处理；(五)按规定向同级人民政府和上一级主管部门报告调查情况和处理意见。</w:t>
                  </w:r>
                </w:p>
                <w:p w14:paraId="1FB8A07C">
                  <w:pPr>
                    <w:pStyle w:val="206"/>
                    <w:spacing w:line="320" w:lineRule="atLeast"/>
                    <w:ind w:firstLine="0" w:firstLineChars="0"/>
                    <w:jc w:val="both"/>
                    <w:rPr>
                      <w:rFonts w:hint="eastAsia"/>
                    </w:rPr>
                  </w:pPr>
                  <w:r>
                    <w:rPr>
                      <w:rFonts w:hint="eastAsia"/>
                    </w:rPr>
                    <w:t>61严控行业新增产能。在规划和建设项目环境影响评价中，强化土壤环境调查，增加对土壤环境影响的评价内容，明确防范土壤污染具体措施，纳入排污许可管理。对排放重点重金属的重点行业，要严控增量、减少存量，新增产能和淘汰产能实行“等量置换”或“减量置换”。对涉重金属重点行业新建、改(扩)建项目实行新增重金属污染物排放等量或倍量替代，对区域重金属排放量继续上升的地区，停止审批新增重金属污染物排放的建设项目。落实重金属相关行业规范条件，禁止新建落后产能项目，严禁产能严重过剩行业新增产能建设项目。禁止向涉重金属相关行业落后产能和产能过剩行业供应土地。</w:t>
                  </w:r>
                </w:p>
                <w:p w14:paraId="3F74BF0B">
                  <w:pPr>
                    <w:pStyle w:val="206"/>
                    <w:spacing w:line="320" w:lineRule="atLeast"/>
                    <w:ind w:firstLine="0" w:firstLineChars="0"/>
                    <w:jc w:val="both"/>
                    <w:rPr>
                      <w:rFonts w:hint="eastAsia"/>
                    </w:rPr>
                  </w:pPr>
                  <w:r>
                    <w:rPr>
                      <w:rFonts w:hint="eastAsia"/>
                    </w:rPr>
                    <w:t>62新建、升级工业集聚区应同步规划、建设污水、垃圾集中处理等污染治理设施。</w:t>
                  </w:r>
                </w:p>
                <w:p w14:paraId="59DFC7BD">
                  <w:pPr>
                    <w:pStyle w:val="206"/>
                    <w:spacing w:line="320" w:lineRule="atLeast"/>
                    <w:ind w:firstLine="0" w:firstLineChars="0"/>
                    <w:jc w:val="both"/>
                    <w:rPr>
                      <w:rFonts w:hint="eastAsia"/>
                    </w:rPr>
                  </w:pPr>
                  <w:r>
                    <w:rPr>
                      <w:rFonts w:hint="eastAsia"/>
                    </w:rPr>
                    <w:t>63严厉打击环境违法行为。重点打击私设暗管或利用渗井、渗坑等排放、倾倒含有毒有害污染物废水、含病原体污水，监测数据弄虚作假，不正常使用水污染物处理设施，或者未经批准拆除、闲置水污染物处理设施等环境违法行为。严肃查处建设项目未批先建、边批边建、批建不符、久试不验等违法违规行为。</w:t>
                  </w:r>
                </w:p>
                <w:p w14:paraId="6217E0AD">
                  <w:pPr>
                    <w:pStyle w:val="206"/>
                    <w:spacing w:line="320" w:lineRule="atLeast"/>
                    <w:ind w:firstLine="0" w:firstLineChars="0"/>
                    <w:jc w:val="both"/>
                    <w:rPr>
                      <w:rFonts w:hint="eastAsia"/>
                    </w:rPr>
                  </w:pPr>
                  <w:r>
                    <w:rPr>
                      <w:rFonts w:hint="eastAsia"/>
                    </w:rPr>
                    <w:t>65将水环境污染事故应急响应纳入突发事件应急管理体系，制定和完善水污染事故应急预案，落实责任主体，明确应对措施，定期开展应急演练。</w:t>
                  </w:r>
                </w:p>
                <w:p w14:paraId="404A9FE7">
                  <w:pPr>
                    <w:pStyle w:val="206"/>
                    <w:spacing w:line="320" w:lineRule="atLeast"/>
                    <w:ind w:firstLine="0" w:firstLineChars="0"/>
                    <w:jc w:val="both"/>
                    <w:rPr>
                      <w:rFonts w:hint="eastAsia"/>
                    </w:rPr>
                  </w:pPr>
                  <w:r>
                    <w:rPr>
                      <w:rFonts w:hint="eastAsia"/>
                    </w:rPr>
                    <w:t>66落实工业企业环境风险防范主体责任，以石油、化工、涉重金属等企业为重点，合理布设企业生产设施，强化工业企业应急导流槽、事故调蓄池、应急闸坝等事故排水收集截留设施以及事故水输送设施建设,合理设置消防事故水池。以沿江有色金属、化工园区及危险化学品码头为重点，强化工业园区环境风险防范。加强园区内工业废水的分类分质处理和监控，开展工业园区污水处理厂综合毒性试点监测。切实做好尾矿库环境风险隐患排查，重点针对雨污分流系统、渗滤液收集设施等，摸清尾矿库污染防治措施落实情况，坚决守住环境安全底线，确保不发生环境污染事件</w:t>
                  </w:r>
                </w:p>
                <w:p w14:paraId="6016DC23">
                  <w:pPr>
                    <w:pStyle w:val="206"/>
                    <w:spacing w:line="320" w:lineRule="atLeast"/>
                    <w:ind w:firstLine="0" w:firstLineChars="0"/>
                    <w:jc w:val="both"/>
                  </w:pPr>
                  <w:r>
                    <w:rPr>
                      <w:rFonts w:hint="eastAsia"/>
                    </w:rPr>
                    <w:t>68加强对矿产资源开发利用活动的辐射安全监管，在开发前应开展原矿石铀系、钍系等放射性核素检测。</w:t>
                  </w:r>
                </w:p>
              </w:tc>
              <w:tc>
                <w:tcPr>
                  <w:tcW w:w="643" w:type="pct"/>
                  <w:noWrap w:val="0"/>
                  <w:vAlign w:val="center"/>
                </w:tcPr>
                <w:p w14:paraId="3625C3CC">
                  <w:pPr>
                    <w:pStyle w:val="206"/>
                    <w:spacing w:line="320" w:lineRule="atLeast"/>
                    <w:ind w:firstLine="0" w:firstLineChars="0"/>
                    <w:jc w:val="both"/>
                    <w:rPr>
                      <w:rFonts w:hint="eastAsia" w:eastAsia="宋体"/>
                      <w:lang w:eastAsia="zh-CN"/>
                    </w:rPr>
                  </w:pPr>
                  <w:r>
                    <w:t>项目用水来自市政供水管网，不涉及地下水开采</w:t>
                  </w:r>
                  <w:r>
                    <w:rPr>
                      <w:rFonts w:hint="eastAsia"/>
                    </w:rPr>
                    <w:t>；</w:t>
                  </w:r>
                  <w:r>
                    <w:t>用电来自市政供电，不使用煤炭资源，不会突破煤炭资源；本项目在现有厂区内建设，不新增用地</w:t>
                  </w:r>
                  <w:r>
                    <w:rPr>
                      <w:rFonts w:hint="eastAsia"/>
                      <w:lang w:eastAsia="zh-CN"/>
                    </w:rPr>
                    <w:t>。</w:t>
                  </w:r>
                </w:p>
              </w:tc>
              <w:tc>
                <w:tcPr>
                  <w:tcW w:w="491" w:type="pct"/>
                  <w:noWrap w:val="0"/>
                  <w:vAlign w:val="center"/>
                </w:tcPr>
                <w:p w14:paraId="2712738D">
                  <w:pPr>
                    <w:pStyle w:val="206"/>
                    <w:spacing w:line="320" w:lineRule="atLeast"/>
                    <w:ind w:firstLine="0" w:firstLineChars="0"/>
                  </w:pPr>
                  <w:r>
                    <w:rPr>
                      <w:rFonts w:hint="eastAsia"/>
                    </w:rPr>
                    <w:t>符合</w:t>
                  </w:r>
                </w:p>
              </w:tc>
            </w:tr>
          </w:tbl>
          <w:p w14:paraId="427A7657">
            <w:pPr>
              <w:pStyle w:val="209"/>
              <w:autoSpaceDE/>
              <w:autoSpaceDN/>
              <w:rPr>
                <w:rFonts w:hint="eastAsia"/>
                <w:color w:val="auto"/>
                <w:sz w:val="24"/>
                <w:szCs w:val="28"/>
              </w:rPr>
            </w:pPr>
          </w:p>
          <w:p w14:paraId="648F1EC1">
            <w:pPr>
              <w:pStyle w:val="10"/>
              <w:spacing w:line="480" w:lineRule="exact"/>
              <w:ind w:firstLine="480" w:firstLineChars="200"/>
              <w:jc w:val="both"/>
              <w:rPr>
                <w:rFonts w:hint="eastAsia"/>
                <w:b/>
                <w:szCs w:val="24"/>
              </w:rPr>
            </w:pPr>
            <w:r>
              <w:rPr>
                <w:rFonts w:hint="eastAsia"/>
              </w:rPr>
              <w:t>综上所述，本项目的建设符合生态环境分区管控要求。</w:t>
            </w:r>
          </w:p>
          <w:p w14:paraId="28C2B29B">
            <w:pPr>
              <w:pStyle w:val="10"/>
              <w:spacing w:line="480" w:lineRule="exact"/>
              <w:ind w:firstLine="480" w:firstLineChars="200"/>
              <w:jc w:val="both"/>
              <w:rPr>
                <w:rFonts w:hint="eastAsia" w:ascii="黑体" w:hAnsi="黑体" w:eastAsia="黑体" w:cs="黑体"/>
                <w:bCs/>
                <w:szCs w:val="24"/>
              </w:rPr>
            </w:pPr>
            <w:r>
              <w:rPr>
                <w:rFonts w:hint="eastAsia" w:ascii="黑体" w:hAnsi="黑体" w:eastAsia="黑体" w:cs="黑体"/>
                <w:bCs/>
                <w:szCs w:val="24"/>
              </w:rPr>
              <w:t>4、与其他相关政策符合性分析</w:t>
            </w:r>
          </w:p>
          <w:p w14:paraId="2D4580C5">
            <w:pPr>
              <w:pStyle w:val="10"/>
              <w:spacing w:line="480" w:lineRule="exact"/>
              <w:ind w:firstLine="480" w:firstLineChars="200"/>
              <w:jc w:val="both"/>
              <w:rPr>
                <w:szCs w:val="24"/>
              </w:rPr>
            </w:pPr>
            <w:r>
              <w:rPr>
                <w:szCs w:val="24"/>
              </w:rPr>
              <w:t>本项目的政策相符性分析汇总见表</w:t>
            </w:r>
            <w:r>
              <w:rPr>
                <w:rFonts w:hint="eastAsia"/>
                <w:szCs w:val="24"/>
              </w:rPr>
              <w:t>1-4</w:t>
            </w:r>
            <w:r>
              <w:rPr>
                <w:szCs w:val="24"/>
              </w:rPr>
              <w:t>。</w:t>
            </w:r>
          </w:p>
          <w:p w14:paraId="6B5C2CA8">
            <w:pPr>
              <w:pStyle w:val="10"/>
              <w:spacing w:line="480" w:lineRule="exact"/>
              <w:jc w:val="center"/>
              <w:rPr>
                <w:rFonts w:hint="eastAsia" w:ascii="黑体" w:hAnsi="黑体" w:eastAsia="黑体" w:cs="黑体"/>
                <w:bCs/>
                <w:szCs w:val="24"/>
              </w:rPr>
            </w:pPr>
            <w:r>
              <w:rPr>
                <w:rFonts w:hint="eastAsia" w:ascii="黑体" w:hAnsi="黑体" w:eastAsia="黑体" w:cs="黑体"/>
                <w:bCs/>
                <w:szCs w:val="24"/>
              </w:rPr>
              <w:t>表1-4项目实施的政策相符性分析一览表</w:t>
            </w:r>
          </w:p>
          <w:tbl>
            <w:tblPr>
              <w:tblStyle w:val="38"/>
              <w:tblW w:w="82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3"/>
              <w:gridCol w:w="4819"/>
              <w:gridCol w:w="1856"/>
              <w:gridCol w:w="620"/>
            </w:tblGrid>
            <w:tr w14:paraId="6CAF9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943" w:type="dxa"/>
                  <w:noWrap w:val="0"/>
                  <w:vAlign w:val="center"/>
                </w:tcPr>
                <w:p w14:paraId="65ACD587">
                  <w:pPr>
                    <w:pStyle w:val="205"/>
                    <w:spacing w:line="320" w:lineRule="atLeast"/>
                    <w:jc w:val="center"/>
                    <w:rPr>
                      <w:rFonts w:ascii="Times New Roman" w:hAnsi="Times New Roman" w:cs="Times New Roman"/>
                    </w:rPr>
                  </w:pPr>
                  <w:r>
                    <w:rPr>
                      <w:rFonts w:ascii="Times New Roman" w:hAnsi="Times New Roman" w:cs="Times New Roman"/>
                      <w:b/>
                      <w:bCs/>
                      <w:spacing w:val="-5"/>
                    </w:rPr>
                    <w:t>名称</w:t>
                  </w:r>
                </w:p>
              </w:tc>
              <w:tc>
                <w:tcPr>
                  <w:tcW w:w="4819" w:type="dxa"/>
                  <w:noWrap w:val="0"/>
                  <w:vAlign w:val="center"/>
                </w:tcPr>
                <w:p w14:paraId="125A8581">
                  <w:pPr>
                    <w:pStyle w:val="205"/>
                    <w:spacing w:line="320" w:lineRule="atLeast"/>
                    <w:jc w:val="center"/>
                    <w:rPr>
                      <w:rFonts w:ascii="Times New Roman" w:hAnsi="Times New Roman" w:cs="Times New Roman"/>
                    </w:rPr>
                  </w:pPr>
                  <w:r>
                    <w:rPr>
                      <w:rFonts w:ascii="Times New Roman" w:hAnsi="Times New Roman" w:cs="Times New Roman"/>
                      <w:b/>
                      <w:bCs/>
                      <w:spacing w:val="-4"/>
                    </w:rPr>
                    <w:t>文件要求</w:t>
                  </w:r>
                </w:p>
              </w:tc>
              <w:tc>
                <w:tcPr>
                  <w:tcW w:w="1856" w:type="dxa"/>
                  <w:noWrap w:val="0"/>
                  <w:vAlign w:val="center"/>
                </w:tcPr>
                <w:p w14:paraId="5054A344">
                  <w:pPr>
                    <w:pStyle w:val="205"/>
                    <w:spacing w:line="320" w:lineRule="atLeast"/>
                    <w:jc w:val="center"/>
                    <w:rPr>
                      <w:rFonts w:ascii="Times New Roman" w:hAnsi="Times New Roman" w:cs="Times New Roman"/>
                    </w:rPr>
                  </w:pPr>
                  <w:r>
                    <w:rPr>
                      <w:rFonts w:ascii="Times New Roman" w:hAnsi="Times New Roman" w:cs="Times New Roman"/>
                      <w:b/>
                      <w:bCs/>
                      <w:spacing w:val="-4"/>
                    </w:rPr>
                    <w:t>本项目情况</w:t>
                  </w:r>
                </w:p>
              </w:tc>
              <w:tc>
                <w:tcPr>
                  <w:tcW w:w="620" w:type="dxa"/>
                  <w:noWrap w:val="0"/>
                  <w:vAlign w:val="center"/>
                </w:tcPr>
                <w:p w14:paraId="692A3197">
                  <w:pPr>
                    <w:pStyle w:val="205"/>
                    <w:spacing w:line="320" w:lineRule="atLeast"/>
                    <w:jc w:val="center"/>
                    <w:rPr>
                      <w:rFonts w:ascii="Times New Roman" w:hAnsi="Times New Roman" w:cs="Times New Roman"/>
                    </w:rPr>
                  </w:pPr>
                  <w:r>
                    <w:rPr>
                      <w:rFonts w:ascii="Times New Roman" w:hAnsi="Times New Roman" w:cs="Times New Roman"/>
                      <w:b/>
                      <w:bCs/>
                      <w:spacing w:val="-5"/>
                    </w:rPr>
                    <w:t>符合性</w:t>
                  </w:r>
                </w:p>
              </w:tc>
            </w:tr>
            <w:tr w14:paraId="553FF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4" w:hRule="atLeast"/>
              </w:trPr>
              <w:tc>
                <w:tcPr>
                  <w:tcW w:w="943" w:type="dxa"/>
                  <w:vMerge w:val="restart"/>
                  <w:noWrap w:val="0"/>
                  <w:vAlign w:val="center"/>
                </w:tcPr>
                <w:p w14:paraId="29C4516D">
                  <w:pPr>
                    <w:pStyle w:val="205"/>
                    <w:spacing w:line="320" w:lineRule="atLeast"/>
                    <w:rPr>
                      <w:rFonts w:ascii="Times New Roman" w:hAnsi="Times New Roman" w:cs="Times New Roman"/>
                      <w:lang w:eastAsia="zh-CN"/>
                    </w:rPr>
                  </w:pPr>
                  <w:r>
                    <w:rPr>
                      <w:rFonts w:ascii="Times New Roman" w:hAnsi="Times New Roman" w:cs="Times New Roman"/>
                      <w:spacing w:val="-5"/>
                      <w:lang w:eastAsia="zh-CN"/>
                    </w:rPr>
                    <w:t>《安徽</w:t>
                  </w:r>
                  <w:r>
                    <w:rPr>
                      <w:rFonts w:ascii="Times New Roman" w:hAnsi="Times New Roman" w:cs="Times New Roman"/>
                      <w:spacing w:val="-3"/>
                      <w:lang w:eastAsia="zh-CN"/>
                    </w:rPr>
                    <w:t>省</w:t>
                  </w:r>
                  <w:r>
                    <w:rPr>
                      <w:rFonts w:ascii="Times New Roman" w:hAnsi="Times New Roman" w:eastAsia="Times New Roman" w:cs="Times New Roman"/>
                      <w:spacing w:val="-3"/>
                      <w:lang w:eastAsia="zh-CN"/>
                    </w:rPr>
                    <w:t>2022</w:t>
                  </w:r>
                  <w:r>
                    <w:rPr>
                      <w:rFonts w:ascii="Times New Roman" w:hAnsi="Times New Roman" w:cs="Times New Roman"/>
                      <w:spacing w:val="-3"/>
                      <w:lang w:eastAsia="zh-CN"/>
                    </w:rPr>
                    <w:t>年大气污染防</w:t>
                  </w:r>
                </w:p>
                <w:p w14:paraId="4A6B3E87">
                  <w:pPr>
                    <w:pStyle w:val="205"/>
                    <w:spacing w:line="320" w:lineRule="atLeast"/>
                    <w:rPr>
                      <w:rFonts w:ascii="Times New Roman" w:hAnsi="Times New Roman" w:cs="Times New Roman"/>
                      <w:lang w:eastAsia="zh-CN"/>
                    </w:rPr>
                  </w:pPr>
                  <w:r>
                    <w:rPr>
                      <w:rFonts w:ascii="Times New Roman" w:hAnsi="Times New Roman" w:cs="Times New Roman"/>
                      <w:spacing w:val="-3"/>
                      <w:lang w:eastAsia="zh-CN"/>
                    </w:rPr>
                    <w:t>治工作</w:t>
                  </w:r>
                  <w:r>
                    <w:rPr>
                      <w:rFonts w:ascii="Times New Roman" w:hAnsi="Times New Roman" w:cs="Times New Roman"/>
                      <w:spacing w:val="-20"/>
                      <w:lang w:eastAsia="zh-CN"/>
                    </w:rPr>
                    <w:t>要点》</w:t>
                  </w:r>
                  <w:r>
                    <w:rPr>
                      <w:rFonts w:ascii="Times New Roman" w:hAnsi="Times New Roman" w:eastAsia="Times New Roman" w:cs="Times New Roman"/>
                      <w:spacing w:val="-20"/>
                      <w:lang w:eastAsia="zh-CN"/>
                    </w:rPr>
                    <w:t>(</w:t>
                  </w:r>
                  <w:r>
                    <w:rPr>
                      <w:rFonts w:ascii="Times New Roman" w:hAnsi="Times New Roman" w:cs="Times New Roman"/>
                      <w:spacing w:val="-20"/>
                      <w:lang w:eastAsia="zh-CN"/>
                    </w:rPr>
                    <w:t>安</w:t>
                  </w:r>
                  <w:r>
                    <w:rPr>
                      <w:rFonts w:ascii="Times New Roman" w:hAnsi="Times New Roman" w:cs="Times New Roman"/>
                      <w:spacing w:val="-2"/>
                      <w:lang w:eastAsia="zh-CN"/>
                    </w:rPr>
                    <w:t>环委办</w:t>
                  </w:r>
                  <w:r>
                    <w:rPr>
                      <w:rFonts w:ascii="Times New Roman" w:hAnsi="Times New Roman" w:eastAsia="Times New Roman" w:cs="Times New Roman"/>
                      <w:spacing w:val="-3"/>
                      <w:lang w:eastAsia="zh-CN"/>
                    </w:rPr>
                    <w:t>[2022]37</w:t>
                  </w:r>
                  <w:r>
                    <w:rPr>
                      <w:rFonts w:ascii="Times New Roman" w:hAnsi="Times New Roman" w:cs="Times New Roman"/>
                      <w:spacing w:val="-5"/>
                      <w:lang w:eastAsia="zh-CN"/>
                    </w:rPr>
                    <w:t>号</w:t>
                  </w:r>
                  <w:r>
                    <w:rPr>
                      <w:rFonts w:ascii="Times New Roman" w:hAnsi="Times New Roman" w:eastAsia="Times New Roman" w:cs="Times New Roman"/>
                      <w:spacing w:val="-5"/>
                      <w:lang w:eastAsia="zh-CN"/>
                    </w:rPr>
                    <w:t>)</w:t>
                  </w:r>
                  <w:r>
                    <w:rPr>
                      <w:rFonts w:ascii="Times New Roman" w:hAnsi="Times New Roman" w:cs="Times New Roman"/>
                      <w:spacing w:val="-5"/>
                      <w:lang w:eastAsia="zh-CN"/>
                    </w:rPr>
                    <w:t>》</w:t>
                  </w:r>
                </w:p>
              </w:tc>
              <w:tc>
                <w:tcPr>
                  <w:tcW w:w="4819" w:type="dxa"/>
                  <w:noWrap w:val="0"/>
                  <w:vAlign w:val="center"/>
                </w:tcPr>
                <w:p w14:paraId="6B206FB0">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积极发展清洁能源。坚持实施“增气减煤”，提</w:t>
                  </w:r>
                  <w:r>
                    <w:rPr>
                      <w:rFonts w:ascii="Times New Roman" w:hAnsi="Times New Roman" w:cs="Times New Roman"/>
                      <w:spacing w:val="-5"/>
                      <w:lang w:eastAsia="zh-CN"/>
                    </w:rPr>
                    <w:t>升供应侧非化石能源比重，提高消费侧电力比重，</w:t>
                  </w:r>
                  <w:r>
                    <w:rPr>
                      <w:rFonts w:ascii="Times New Roman" w:hAnsi="Times New Roman" w:cs="Times New Roman"/>
                      <w:spacing w:val="-7"/>
                      <w:lang w:eastAsia="zh-CN"/>
                    </w:rPr>
                    <w:t>增加天然气供应量、优化天然气使用，</w:t>
                  </w:r>
                  <w:r>
                    <w:rPr>
                      <w:rFonts w:ascii="Times New Roman" w:hAnsi="Times New Roman" w:eastAsia="Times New Roman" w:cs="Times New Roman"/>
                      <w:spacing w:val="-7"/>
                      <w:lang w:eastAsia="zh-CN"/>
                    </w:rPr>
                    <w:t>2022</w:t>
                  </w:r>
                  <w:r>
                    <w:rPr>
                      <w:rFonts w:ascii="Times New Roman" w:hAnsi="Times New Roman" w:cs="Times New Roman"/>
                      <w:spacing w:val="-7"/>
                      <w:lang w:eastAsia="zh-CN"/>
                    </w:rPr>
                    <w:t>年底</w:t>
                  </w:r>
                  <w:r>
                    <w:rPr>
                      <w:rFonts w:ascii="Times New Roman" w:hAnsi="Times New Roman" w:cs="Times New Roman"/>
                      <w:spacing w:val="-4"/>
                      <w:lang w:eastAsia="zh-CN"/>
                    </w:rPr>
                    <w:t>前，新增电能替代电量</w:t>
                  </w:r>
                  <w:r>
                    <w:rPr>
                      <w:rFonts w:ascii="Times New Roman" w:hAnsi="Times New Roman" w:eastAsia="Times New Roman" w:cs="Times New Roman"/>
                      <w:spacing w:val="-4"/>
                      <w:lang w:eastAsia="zh-CN"/>
                    </w:rPr>
                    <w:t>60</w:t>
                  </w:r>
                  <w:r>
                    <w:rPr>
                      <w:rFonts w:ascii="Times New Roman" w:hAnsi="Times New Roman" w:cs="Times New Roman"/>
                      <w:spacing w:val="-4"/>
                      <w:lang w:eastAsia="zh-CN"/>
                    </w:rPr>
                    <w:t>亿千瓦时，天然气供气规模达</w:t>
                  </w:r>
                  <w:r>
                    <w:rPr>
                      <w:rFonts w:ascii="Times New Roman" w:hAnsi="Times New Roman" w:eastAsia="Times New Roman" w:cs="Times New Roman"/>
                      <w:spacing w:val="-4"/>
                      <w:lang w:eastAsia="zh-CN"/>
                    </w:rPr>
                    <w:t>76</w:t>
                  </w:r>
                  <w:r>
                    <w:rPr>
                      <w:rFonts w:ascii="Times New Roman" w:hAnsi="Times New Roman" w:cs="Times New Roman"/>
                      <w:spacing w:val="-4"/>
                      <w:lang w:eastAsia="zh-CN"/>
                    </w:rPr>
                    <w:t>亿立方米。持续推进以煤为燃料的工业</w:t>
                  </w:r>
                  <w:r>
                    <w:rPr>
                      <w:rFonts w:ascii="Times New Roman" w:hAnsi="Times New Roman" w:cs="Times New Roman"/>
                      <w:spacing w:val="-1"/>
                      <w:lang w:eastAsia="zh-CN"/>
                    </w:rPr>
                    <w:t>炉窑清洁燃料替代改造，提高以电代煤、以气代煤比例。推进现有机组实施清洁能源替代、功能转换，积极争取“外电入皖”。实施可再生能源替代行动，加快建设新型能源供应系统，因地制</w:t>
                  </w:r>
                  <w:r>
                    <w:rPr>
                      <w:rFonts w:ascii="Times New Roman" w:hAnsi="Times New Roman" w:cs="Times New Roman"/>
                      <w:spacing w:val="-5"/>
                      <w:lang w:eastAsia="zh-CN"/>
                    </w:rPr>
                    <w:t>宜开发风电与光伏发电，鼓励建设风能、太阳能、</w:t>
                  </w:r>
                  <w:r>
                    <w:rPr>
                      <w:rFonts w:ascii="Times New Roman" w:hAnsi="Times New Roman" w:cs="Times New Roman"/>
                      <w:spacing w:val="-1"/>
                      <w:lang w:eastAsia="zh-CN"/>
                    </w:rPr>
                    <w:t>生物质能等新能源项目，推进生物燃料乙醇项目</w:t>
                  </w:r>
                  <w:r>
                    <w:rPr>
                      <w:rFonts w:ascii="Times New Roman" w:hAnsi="Times New Roman" w:cs="Times New Roman"/>
                      <w:spacing w:val="-8"/>
                      <w:lang w:eastAsia="zh-CN"/>
                    </w:rPr>
                    <w:t>改造提升。</w:t>
                  </w:r>
                </w:p>
              </w:tc>
              <w:tc>
                <w:tcPr>
                  <w:tcW w:w="1856" w:type="dxa"/>
                  <w:noWrap w:val="0"/>
                  <w:vAlign w:val="center"/>
                </w:tcPr>
                <w:p w14:paraId="137EC57B">
                  <w:pPr>
                    <w:pStyle w:val="205"/>
                    <w:spacing w:line="320" w:lineRule="atLeast"/>
                    <w:rPr>
                      <w:rFonts w:ascii="Times New Roman" w:hAnsi="Times New Roman" w:cs="Times New Roman"/>
                      <w:lang w:eastAsia="zh-CN"/>
                    </w:rPr>
                  </w:pPr>
                  <w:r>
                    <w:rPr>
                      <w:rFonts w:ascii="Times New Roman" w:hAnsi="Times New Roman" w:cs="Times New Roman"/>
                      <w:spacing w:val="-2"/>
                      <w:lang w:eastAsia="zh-CN"/>
                    </w:rPr>
                    <w:t>本项目</w:t>
                  </w:r>
                  <w:r>
                    <w:rPr>
                      <w:rFonts w:ascii="Times New Roman" w:hAnsi="Times New Roman" w:cs="Times New Roman"/>
                      <w:color w:val="000000"/>
                      <w:spacing w:val="-2"/>
                      <w:lang w:eastAsia="zh-CN"/>
                    </w:rPr>
                    <w:t>使用电作为能</w:t>
                  </w:r>
                  <w:r>
                    <w:rPr>
                      <w:rFonts w:ascii="Times New Roman" w:hAnsi="Times New Roman" w:cs="Times New Roman"/>
                      <w:color w:val="000000"/>
                      <w:spacing w:val="-1"/>
                      <w:lang w:eastAsia="zh-CN"/>
                    </w:rPr>
                    <w:t>源，</w:t>
                  </w:r>
                  <w:r>
                    <w:rPr>
                      <w:rFonts w:hint="eastAsia" w:ascii="Times New Roman" w:hAnsi="Times New Roman" w:cs="Times New Roman"/>
                      <w:color w:val="000000"/>
                      <w:spacing w:val="-1"/>
                      <w:lang w:val="en-US" w:eastAsia="zh-CN"/>
                    </w:rPr>
                    <w:t>采用生物质燃料进行点火，</w:t>
                  </w:r>
                  <w:r>
                    <w:rPr>
                      <w:rFonts w:ascii="Times New Roman" w:hAnsi="Times New Roman" w:cs="Times New Roman"/>
                      <w:color w:val="000000"/>
                      <w:spacing w:val="-1"/>
                      <w:lang w:eastAsia="zh-CN"/>
                    </w:rPr>
                    <w:t>不涉及煤炭</w:t>
                  </w:r>
                  <w:r>
                    <w:rPr>
                      <w:rFonts w:ascii="Times New Roman" w:hAnsi="Times New Roman" w:cs="Times New Roman"/>
                      <w:color w:val="000000"/>
                      <w:spacing w:val="-3"/>
                      <w:lang w:eastAsia="zh-CN"/>
                    </w:rPr>
                    <w:t>使用</w:t>
                  </w:r>
                  <w:r>
                    <w:rPr>
                      <w:rFonts w:hint="eastAsia" w:ascii="Times New Roman" w:hAnsi="Times New Roman" w:cs="Times New Roman"/>
                      <w:color w:val="000000"/>
                      <w:spacing w:val="-3"/>
                      <w:lang w:eastAsia="zh-CN"/>
                    </w:rPr>
                    <w:t>。</w:t>
                  </w:r>
                </w:p>
              </w:tc>
              <w:tc>
                <w:tcPr>
                  <w:tcW w:w="620" w:type="dxa"/>
                  <w:noWrap w:val="0"/>
                  <w:vAlign w:val="center"/>
                </w:tcPr>
                <w:p w14:paraId="08C316B3">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10F7B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0" w:hRule="atLeast"/>
              </w:trPr>
              <w:tc>
                <w:tcPr>
                  <w:tcW w:w="943" w:type="dxa"/>
                  <w:vMerge w:val="continue"/>
                  <w:noWrap w:val="0"/>
                  <w:vAlign w:val="center"/>
                </w:tcPr>
                <w:p w14:paraId="3EE614DE">
                  <w:pPr>
                    <w:spacing w:line="320" w:lineRule="atLeast"/>
                    <w:jc w:val="center"/>
                  </w:pPr>
                </w:p>
              </w:tc>
              <w:tc>
                <w:tcPr>
                  <w:tcW w:w="4819" w:type="dxa"/>
                  <w:noWrap w:val="0"/>
                  <w:vAlign w:val="center"/>
                </w:tcPr>
                <w:p w14:paraId="1C68DDA9">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加快产业结构转型升级。严格执行《产业结构调整指导目录》《产业发展与转移指导目录》，落实国家产业结构调整指导目录中碳排放控制要</w:t>
                  </w:r>
                  <w:r>
                    <w:rPr>
                      <w:rFonts w:ascii="Times New Roman" w:hAnsi="Times New Roman" w:cs="Times New Roman"/>
                      <w:spacing w:val="-5"/>
                      <w:lang w:eastAsia="zh-CN"/>
                    </w:rPr>
                    <w:t>求。有序开展产业承接和重点行业省内调整优化，</w:t>
                  </w:r>
                  <w:r>
                    <w:rPr>
                      <w:rFonts w:ascii="Times New Roman" w:hAnsi="Times New Roman" w:cs="Times New Roman"/>
                      <w:spacing w:val="-1"/>
                      <w:lang w:eastAsia="zh-CN"/>
                    </w:rPr>
                    <w:t>高水平打造皖北承接产业转移集聚区。全面排查</w:t>
                  </w:r>
                  <w:r>
                    <w:rPr>
                      <w:rFonts w:ascii="Times New Roman" w:hAnsi="Times New Roman" w:cs="Times New Roman"/>
                      <w:lang w:eastAsia="zh-CN"/>
                    </w:rPr>
                    <w:t>“两高”项目，实施清单管理、分类处置、动态</w:t>
                  </w:r>
                  <w:r>
                    <w:rPr>
                      <w:rFonts w:ascii="Times New Roman" w:hAnsi="Times New Roman" w:cs="Times New Roman"/>
                      <w:spacing w:val="-1"/>
                      <w:lang w:eastAsia="zh-CN"/>
                    </w:rPr>
                    <w:t>监控，对不符合规定的坚决停批停建，科学稳妥推进符合要求的拟建项目。依法依规淘汰落后产能和化解过剩产能，严禁新增钢铁、焦化、水泥</w:t>
                  </w:r>
                  <w:r>
                    <w:rPr>
                      <w:rFonts w:ascii="Times New Roman" w:hAnsi="Times New Roman" w:cs="Times New Roman"/>
                      <w:spacing w:val="-3"/>
                      <w:lang w:eastAsia="zh-CN"/>
                    </w:rPr>
                    <w:t>熟料、平板玻璃、电解铝等产能。</w:t>
                  </w:r>
                </w:p>
              </w:tc>
              <w:tc>
                <w:tcPr>
                  <w:tcW w:w="1856" w:type="dxa"/>
                  <w:noWrap w:val="0"/>
                  <w:vAlign w:val="center"/>
                </w:tcPr>
                <w:p w14:paraId="406B8BC8">
                  <w:pPr>
                    <w:pStyle w:val="205"/>
                    <w:spacing w:line="320" w:lineRule="atLeast"/>
                    <w:rPr>
                      <w:rFonts w:ascii="Times New Roman" w:hAnsi="Times New Roman" w:cs="Times New Roman"/>
                      <w:lang w:eastAsia="zh-CN"/>
                    </w:rPr>
                  </w:pPr>
                  <w:r>
                    <w:rPr>
                      <w:rFonts w:ascii="Times New Roman" w:hAnsi="Times New Roman" w:cs="Times New Roman"/>
                      <w:spacing w:val="-2"/>
                      <w:lang w:eastAsia="zh-CN"/>
                    </w:rPr>
                    <w:t>本项目不属于限制类和淘汰类项目，可视为允许类；不属于“两高”项目，不属于钢铁、焦化、</w:t>
                  </w:r>
                  <w:r>
                    <w:rPr>
                      <w:rFonts w:ascii="Times New Roman" w:hAnsi="Times New Roman" w:cs="Times New Roman"/>
                      <w:spacing w:val="-3"/>
                      <w:lang w:eastAsia="zh-CN"/>
                    </w:rPr>
                    <w:t>水泥熟料、平板</w:t>
                  </w:r>
                  <w:r>
                    <w:rPr>
                      <w:rFonts w:ascii="Times New Roman" w:hAnsi="Times New Roman" w:cs="Times New Roman"/>
                      <w:spacing w:val="-2"/>
                      <w:lang w:eastAsia="zh-CN"/>
                    </w:rPr>
                    <w:t>玻璃、电解铝等</w:t>
                  </w:r>
                  <w:r>
                    <w:rPr>
                      <w:rFonts w:ascii="Times New Roman" w:hAnsi="Times New Roman" w:cs="Times New Roman"/>
                      <w:spacing w:val="15"/>
                      <w:lang w:eastAsia="zh-CN"/>
                    </w:rPr>
                    <w:t>产能过剩项目</w:t>
                  </w:r>
                  <w:r>
                    <w:rPr>
                      <w:rFonts w:hint="eastAsia" w:ascii="Times New Roman" w:hAnsi="Times New Roman" w:cs="Times New Roman"/>
                      <w:spacing w:val="15"/>
                      <w:lang w:eastAsia="zh-CN"/>
                    </w:rPr>
                    <w:t>。</w:t>
                  </w:r>
                </w:p>
              </w:tc>
              <w:tc>
                <w:tcPr>
                  <w:tcW w:w="620" w:type="dxa"/>
                  <w:noWrap w:val="0"/>
                  <w:vAlign w:val="center"/>
                </w:tcPr>
                <w:p w14:paraId="7B1277E2">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09531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943" w:type="dxa"/>
                  <w:vMerge w:val="restart"/>
                  <w:noWrap w:val="0"/>
                  <w:vAlign w:val="center"/>
                </w:tcPr>
                <w:p w14:paraId="4B23F02A">
                  <w:pPr>
                    <w:pStyle w:val="205"/>
                    <w:spacing w:line="320" w:lineRule="atLeast"/>
                    <w:ind w:firstLine="91"/>
                    <w:jc w:val="center"/>
                    <w:rPr>
                      <w:rFonts w:ascii="Times New Roman" w:hAnsi="Times New Roman" w:cs="Times New Roman"/>
                      <w:lang w:eastAsia="zh-CN"/>
                    </w:rPr>
                  </w:pPr>
                  <w:r>
                    <w:rPr>
                      <w:rFonts w:ascii="Times New Roman" w:hAnsi="Times New Roman" w:cs="Times New Roman"/>
                      <w:spacing w:val="-7"/>
                      <w:lang w:eastAsia="zh-CN"/>
                    </w:rPr>
                    <w:t>《淮南</w:t>
                  </w:r>
                  <w:r>
                    <w:rPr>
                      <w:rFonts w:ascii="Times New Roman" w:hAnsi="Times New Roman" w:cs="Times New Roman"/>
                      <w:spacing w:val="-8"/>
                      <w:lang w:eastAsia="zh-CN"/>
                    </w:rPr>
                    <w:t>市“十四</w:t>
                  </w:r>
                  <w:r>
                    <w:rPr>
                      <w:rFonts w:ascii="Times New Roman" w:hAnsi="Times New Roman" w:cs="Times New Roman"/>
                      <w:spacing w:val="-6"/>
                      <w:lang w:eastAsia="zh-CN"/>
                    </w:rPr>
                    <w:t>五”生态</w:t>
                  </w:r>
                </w:p>
                <w:p w14:paraId="60980EFE">
                  <w:pPr>
                    <w:pStyle w:val="205"/>
                    <w:spacing w:line="320" w:lineRule="atLeast"/>
                    <w:jc w:val="center"/>
                    <w:rPr>
                      <w:rFonts w:ascii="Times New Roman" w:hAnsi="Times New Roman" w:cs="Times New Roman"/>
                      <w:lang w:eastAsia="zh-CN"/>
                    </w:rPr>
                  </w:pPr>
                  <w:r>
                    <w:rPr>
                      <w:rFonts w:ascii="Times New Roman" w:hAnsi="Times New Roman" w:cs="Times New Roman"/>
                      <w:spacing w:val="-2"/>
                      <w:lang w:eastAsia="zh-CN"/>
                    </w:rPr>
                    <w:t>环境保</w:t>
                  </w:r>
                  <w:r>
                    <w:rPr>
                      <w:rFonts w:ascii="Times New Roman" w:hAnsi="Times New Roman" w:cs="Times New Roman"/>
                      <w:spacing w:val="-4"/>
                      <w:lang w:eastAsia="zh-CN"/>
                    </w:rPr>
                    <w:t>护规划》</w:t>
                  </w:r>
                  <w:r>
                    <w:rPr>
                      <w:rFonts w:ascii="Times New Roman" w:hAnsi="Times New Roman" w:cs="Times New Roman"/>
                      <w:spacing w:val="-6"/>
                      <w:lang w:eastAsia="zh-CN"/>
                    </w:rPr>
                    <w:t>的通知</w:t>
                  </w:r>
                  <w:r>
                    <w:rPr>
                      <w:rFonts w:ascii="Times New Roman" w:hAnsi="Times New Roman" w:eastAsia="Times New Roman" w:cs="Times New Roman"/>
                      <w:spacing w:val="-3"/>
                      <w:lang w:eastAsia="zh-CN"/>
                    </w:rPr>
                    <w:t>(</w:t>
                  </w:r>
                  <w:r>
                    <w:rPr>
                      <w:rFonts w:ascii="Times New Roman" w:hAnsi="Times New Roman" w:cs="Times New Roman"/>
                      <w:spacing w:val="-3"/>
                      <w:lang w:eastAsia="zh-CN"/>
                    </w:rPr>
                    <w:t>淮环通</w:t>
                  </w:r>
                </w:p>
                <w:p w14:paraId="5488E203">
                  <w:pPr>
                    <w:spacing w:line="320" w:lineRule="atLeast"/>
                    <w:jc w:val="center"/>
                    <w:rPr>
                      <w:rFonts w:eastAsia="Times New Roman"/>
                      <w:szCs w:val="21"/>
                    </w:rPr>
                  </w:pPr>
                  <w:r>
                    <w:rPr>
                      <w:rFonts w:eastAsia="Times New Roman"/>
                      <w:spacing w:val="-2"/>
                      <w:szCs w:val="21"/>
                    </w:rPr>
                    <w:t>[2022]46</w:t>
                  </w:r>
                </w:p>
                <w:p w14:paraId="176277C7">
                  <w:pPr>
                    <w:pStyle w:val="205"/>
                    <w:spacing w:line="320" w:lineRule="atLeast"/>
                    <w:jc w:val="center"/>
                    <w:rPr>
                      <w:rFonts w:ascii="Times New Roman" w:hAnsi="Times New Roman" w:eastAsia="Times New Roman" w:cs="Times New Roman"/>
                    </w:rPr>
                  </w:pPr>
                  <w:r>
                    <w:rPr>
                      <w:rFonts w:ascii="Times New Roman" w:hAnsi="Times New Roman" w:cs="Times New Roman"/>
                      <w:spacing w:val="-7"/>
                    </w:rPr>
                    <w:t>号</w:t>
                  </w:r>
                  <w:r>
                    <w:rPr>
                      <w:rFonts w:ascii="Times New Roman" w:hAnsi="Times New Roman" w:eastAsia="Times New Roman" w:cs="Times New Roman"/>
                      <w:spacing w:val="-7"/>
                    </w:rPr>
                    <w:t>)</w:t>
                  </w:r>
                </w:p>
              </w:tc>
              <w:tc>
                <w:tcPr>
                  <w:tcW w:w="4819" w:type="dxa"/>
                  <w:noWrap w:val="0"/>
                  <w:vAlign w:val="center"/>
                </w:tcPr>
                <w:p w14:paraId="1B2BDE48">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控制煤炭消费总量，加快实施重点用能单位节能低碳行动和重点产业能效提升计划，严格执行高耗能行业产品能耗限额标准体系</w:t>
                  </w:r>
                </w:p>
              </w:tc>
              <w:tc>
                <w:tcPr>
                  <w:tcW w:w="1856" w:type="dxa"/>
                  <w:noWrap w:val="0"/>
                  <w:vAlign w:val="center"/>
                </w:tcPr>
                <w:p w14:paraId="1C6B5FB8">
                  <w:pPr>
                    <w:pStyle w:val="205"/>
                    <w:spacing w:line="320" w:lineRule="atLeast"/>
                    <w:rPr>
                      <w:rFonts w:ascii="Times New Roman" w:hAnsi="Times New Roman" w:cs="Times New Roman"/>
                      <w:lang w:eastAsia="zh-CN"/>
                    </w:rPr>
                  </w:pPr>
                  <w:r>
                    <w:rPr>
                      <w:rFonts w:ascii="Times New Roman" w:hAnsi="Times New Roman" w:cs="Times New Roman"/>
                      <w:spacing w:val="-2"/>
                      <w:lang w:eastAsia="zh-CN"/>
                    </w:rPr>
                    <w:t>本项目不使用煤</w:t>
                  </w:r>
                  <w:r>
                    <w:rPr>
                      <w:rFonts w:ascii="Times New Roman" w:hAnsi="Times New Roman" w:cs="Times New Roman"/>
                      <w:spacing w:val="-3"/>
                      <w:lang w:eastAsia="zh-CN"/>
                    </w:rPr>
                    <w:t>炭燃料</w:t>
                  </w:r>
                  <w:r>
                    <w:rPr>
                      <w:rFonts w:hint="eastAsia" w:ascii="Times New Roman" w:hAnsi="Times New Roman" w:cs="Times New Roman"/>
                      <w:spacing w:val="-3"/>
                      <w:lang w:eastAsia="zh-CN"/>
                    </w:rPr>
                    <w:t>。</w:t>
                  </w:r>
                </w:p>
              </w:tc>
              <w:tc>
                <w:tcPr>
                  <w:tcW w:w="620" w:type="dxa"/>
                  <w:noWrap w:val="0"/>
                  <w:vAlign w:val="center"/>
                </w:tcPr>
                <w:p w14:paraId="446CE32C">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17FEF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1" w:hRule="atLeast"/>
              </w:trPr>
              <w:tc>
                <w:tcPr>
                  <w:tcW w:w="943" w:type="dxa"/>
                  <w:vMerge w:val="continue"/>
                  <w:noWrap w:val="0"/>
                  <w:vAlign w:val="center"/>
                </w:tcPr>
                <w:p w14:paraId="3F66D77F">
                  <w:pPr>
                    <w:spacing w:line="320" w:lineRule="atLeast"/>
                    <w:jc w:val="center"/>
                  </w:pPr>
                </w:p>
              </w:tc>
              <w:tc>
                <w:tcPr>
                  <w:tcW w:w="4819" w:type="dxa"/>
                  <w:noWrap w:val="0"/>
                  <w:vAlign w:val="center"/>
                </w:tcPr>
                <w:p w14:paraId="2C8CE8BF">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严格落实城市规划及园区规划，优化工业企业布局，推进工业用地园区化集中安排，推进工业企</w:t>
                  </w:r>
                  <w:r>
                    <w:rPr>
                      <w:rFonts w:ascii="Times New Roman" w:hAnsi="Times New Roman" w:cs="Times New Roman"/>
                      <w:spacing w:val="-2"/>
                      <w:lang w:eastAsia="zh-CN"/>
                    </w:rPr>
                    <w:t>业搬迁入园区</w:t>
                  </w:r>
                </w:p>
              </w:tc>
              <w:tc>
                <w:tcPr>
                  <w:tcW w:w="1856" w:type="dxa"/>
                  <w:noWrap w:val="0"/>
                  <w:vAlign w:val="center"/>
                </w:tcPr>
                <w:p w14:paraId="59349D42">
                  <w:pPr>
                    <w:pStyle w:val="205"/>
                    <w:spacing w:line="320" w:lineRule="atLeast"/>
                    <w:rPr>
                      <w:rFonts w:ascii="Times New Roman" w:hAnsi="Times New Roman" w:cs="Times New Roman"/>
                      <w:lang w:eastAsia="zh-CN"/>
                    </w:rPr>
                  </w:pPr>
                  <w:r>
                    <w:rPr>
                      <w:rFonts w:ascii="Times New Roman" w:hAnsi="Times New Roman" w:cs="Times New Roman"/>
                      <w:spacing w:val="-2"/>
                      <w:lang w:eastAsia="zh-CN"/>
                    </w:rPr>
                    <w:t>本项目位于凤台县古</w:t>
                  </w:r>
                  <w:r>
                    <w:rPr>
                      <w:rFonts w:ascii="Times New Roman" w:hAnsi="Times New Roman" w:cs="Times New Roman"/>
                      <w:color w:val="000000"/>
                      <w:spacing w:val="-2"/>
                      <w:lang w:eastAsia="zh-CN"/>
                    </w:rPr>
                    <w:t>店乡</w:t>
                  </w:r>
                  <w:r>
                    <w:rPr>
                      <w:rFonts w:ascii="Times New Roman" w:hAnsi="Times New Roman" w:cs="Times New Roman"/>
                      <w:color w:val="000000"/>
                      <w:spacing w:val="-5"/>
                      <w:lang w:eastAsia="zh-CN"/>
                    </w:rPr>
                    <w:t>，用地性质为</w:t>
                  </w:r>
                  <w:r>
                    <w:rPr>
                      <w:rFonts w:hint="eastAsia" w:ascii="Times New Roman" w:hAnsi="Times New Roman" w:cs="Times New Roman"/>
                      <w:color w:val="000000"/>
                      <w:spacing w:val="-5"/>
                      <w:lang w:val="en-US" w:eastAsia="zh-CN"/>
                    </w:rPr>
                    <w:t>建设</w:t>
                  </w:r>
                  <w:r>
                    <w:rPr>
                      <w:rFonts w:ascii="Times New Roman" w:hAnsi="Times New Roman" w:cs="Times New Roman"/>
                      <w:color w:val="000000"/>
                      <w:spacing w:val="-3"/>
                      <w:lang w:eastAsia="zh-CN"/>
                    </w:rPr>
                    <w:t>用地</w:t>
                  </w:r>
                  <w:r>
                    <w:rPr>
                      <w:rFonts w:hint="eastAsia" w:ascii="Times New Roman" w:hAnsi="Times New Roman" w:cs="Times New Roman"/>
                      <w:color w:val="000000"/>
                      <w:spacing w:val="-3"/>
                      <w:lang w:eastAsia="zh-CN"/>
                    </w:rPr>
                    <w:t>。</w:t>
                  </w:r>
                </w:p>
              </w:tc>
              <w:tc>
                <w:tcPr>
                  <w:tcW w:w="620" w:type="dxa"/>
                  <w:noWrap w:val="0"/>
                  <w:vAlign w:val="center"/>
                </w:tcPr>
                <w:p w14:paraId="6D4FD367">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34886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2" w:hRule="atLeast"/>
              </w:trPr>
              <w:tc>
                <w:tcPr>
                  <w:tcW w:w="943" w:type="dxa"/>
                  <w:vMerge w:val="restart"/>
                  <w:noWrap w:val="0"/>
                  <w:vAlign w:val="center"/>
                </w:tcPr>
                <w:p w14:paraId="60F5E9F6">
                  <w:pPr>
                    <w:pStyle w:val="205"/>
                    <w:spacing w:line="320" w:lineRule="atLeast"/>
                    <w:jc w:val="center"/>
                    <w:rPr>
                      <w:rFonts w:ascii="Times New Roman" w:hAnsi="Times New Roman" w:cs="Times New Roman"/>
                      <w:lang w:eastAsia="zh-CN"/>
                    </w:rPr>
                  </w:pPr>
                  <w:r>
                    <w:rPr>
                      <w:rFonts w:ascii="Times New Roman" w:hAnsi="Times New Roman" w:cs="Times New Roman"/>
                      <w:spacing w:val="-3"/>
                      <w:lang w:eastAsia="zh-CN"/>
                    </w:rPr>
                    <w:t>关于开展深入打好重</w:t>
                  </w:r>
                  <w:r>
                    <w:rPr>
                      <w:rFonts w:ascii="Times New Roman" w:hAnsi="Times New Roman" w:cs="Times New Roman"/>
                      <w:spacing w:val="-4"/>
                      <w:lang w:eastAsia="zh-CN"/>
                    </w:rPr>
                    <w:t>污染天</w:t>
                  </w:r>
                  <w:r>
                    <w:rPr>
                      <w:rFonts w:ascii="Times New Roman" w:hAnsi="Times New Roman" w:cs="Times New Roman"/>
                      <w:spacing w:val="-10"/>
                      <w:lang w:eastAsia="zh-CN"/>
                    </w:rPr>
                    <w:t>气消除、</w:t>
                  </w:r>
                  <w:r>
                    <w:rPr>
                      <w:rFonts w:ascii="Times New Roman" w:hAnsi="Times New Roman" w:cs="Times New Roman"/>
                      <w:spacing w:val="29"/>
                      <w:lang w:eastAsia="zh-CN"/>
                    </w:rPr>
                    <w:t>臭氧污</w:t>
                  </w:r>
                  <w:r>
                    <w:rPr>
                      <w:rFonts w:ascii="Times New Roman" w:hAnsi="Times New Roman" w:cs="Times New Roman"/>
                      <w:spacing w:val="-3"/>
                      <w:lang w:eastAsia="zh-CN"/>
                    </w:rPr>
                    <w:t>染防治和柴油货车污</w:t>
                  </w:r>
                </w:p>
                <w:p w14:paraId="44540A84">
                  <w:pPr>
                    <w:pStyle w:val="205"/>
                    <w:spacing w:line="320" w:lineRule="atLeast"/>
                    <w:jc w:val="center"/>
                    <w:rPr>
                      <w:rFonts w:ascii="Times New Roman" w:hAnsi="Times New Roman" w:cs="Times New Roman"/>
                      <w:lang w:eastAsia="zh-CN"/>
                    </w:rPr>
                  </w:pPr>
                  <w:r>
                    <w:rPr>
                      <w:rFonts w:ascii="Times New Roman" w:hAnsi="Times New Roman" w:cs="Times New Roman"/>
                      <w:spacing w:val="-3"/>
                      <w:lang w:eastAsia="zh-CN"/>
                    </w:rPr>
                    <w:t>染治理攻坚战行动的</w:t>
                  </w:r>
                  <w:r>
                    <w:rPr>
                      <w:rFonts w:ascii="Times New Roman" w:hAnsi="Times New Roman" w:cs="Times New Roman"/>
                      <w:spacing w:val="-6"/>
                      <w:lang w:eastAsia="zh-CN"/>
                    </w:rPr>
                    <w:t>通知(皖</w:t>
                  </w:r>
                </w:p>
                <w:p w14:paraId="356FB720">
                  <w:pPr>
                    <w:pStyle w:val="205"/>
                    <w:spacing w:line="320" w:lineRule="atLeast"/>
                    <w:jc w:val="center"/>
                    <w:rPr>
                      <w:rFonts w:ascii="Times New Roman" w:hAnsi="Times New Roman" w:cs="Times New Roman"/>
                    </w:rPr>
                  </w:pPr>
                  <w:r>
                    <w:rPr>
                      <w:rFonts w:ascii="Times New Roman" w:hAnsi="Times New Roman" w:cs="Times New Roman"/>
                      <w:spacing w:val="-3"/>
                    </w:rPr>
                    <w:t>环发</w:t>
                  </w:r>
                  <w:r>
                    <w:rPr>
                      <w:rFonts w:ascii="Times New Roman" w:hAnsi="Times New Roman" w:cs="Times New Roman"/>
                      <w:spacing w:val="-6"/>
                    </w:rPr>
                    <w:t>〔</w:t>
                  </w:r>
                  <w:r>
                    <w:rPr>
                      <w:rFonts w:ascii="Times New Roman" w:hAnsi="Times New Roman" w:eastAsia="Times New Roman" w:cs="Times New Roman"/>
                      <w:spacing w:val="-6"/>
                    </w:rPr>
                    <w:t>2023</w:t>
                  </w:r>
                  <w:r>
                    <w:rPr>
                      <w:rFonts w:ascii="Times New Roman" w:hAnsi="Times New Roman" w:cs="Times New Roman"/>
                      <w:spacing w:val="-6"/>
                    </w:rPr>
                    <w:t>〕</w:t>
                  </w:r>
                  <w:r>
                    <w:rPr>
                      <w:rFonts w:ascii="Times New Roman" w:hAnsi="Times New Roman" w:eastAsia="Times New Roman" w:cs="Times New Roman"/>
                      <w:spacing w:val="-10"/>
                    </w:rPr>
                    <w:t>18</w:t>
                  </w:r>
                  <w:r>
                    <w:rPr>
                      <w:rFonts w:ascii="Times New Roman" w:hAnsi="Times New Roman" w:cs="Times New Roman"/>
                      <w:spacing w:val="-10"/>
                    </w:rPr>
                    <w:t>号)</w:t>
                  </w:r>
                </w:p>
              </w:tc>
              <w:tc>
                <w:tcPr>
                  <w:tcW w:w="4819" w:type="dxa"/>
                  <w:noWrap w:val="0"/>
                  <w:vAlign w:val="center"/>
                </w:tcPr>
                <w:p w14:paraId="6F2EB848">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实施工业炉窑清洁能源替代，大力推进电能替代煤炭，积极稳妥推进以气代煤，禁止企业新建自</w:t>
                  </w:r>
                  <w:r>
                    <w:rPr>
                      <w:rFonts w:ascii="Times New Roman" w:hAnsi="Times New Roman" w:cs="Times New Roman"/>
                      <w:spacing w:val="-2"/>
                      <w:lang w:eastAsia="zh-CN"/>
                    </w:rPr>
                    <w:t>备燃煤设施，原则上不再建设热源性燃煤设施。</w:t>
                  </w:r>
                </w:p>
                <w:p w14:paraId="5F9F0F3A">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到</w:t>
                  </w:r>
                  <w:r>
                    <w:rPr>
                      <w:rFonts w:ascii="Times New Roman" w:hAnsi="Times New Roman" w:eastAsia="Times New Roman" w:cs="Times New Roman"/>
                      <w:spacing w:val="-1"/>
                      <w:lang w:eastAsia="zh-CN"/>
                    </w:rPr>
                    <w:t>2025</w:t>
                  </w:r>
                  <w:r>
                    <w:rPr>
                      <w:rFonts w:ascii="Times New Roman" w:hAnsi="Times New Roman" w:cs="Times New Roman"/>
                      <w:spacing w:val="-1"/>
                      <w:lang w:eastAsia="zh-CN"/>
                    </w:rPr>
                    <w:t>年底，全省煤炭消费量完成国家下达的控制目标任务，散煤基本清零，基本完成以煤为燃</w:t>
                  </w:r>
                  <w:r>
                    <w:rPr>
                      <w:rFonts w:ascii="Times New Roman" w:hAnsi="Times New Roman" w:cs="Times New Roman"/>
                      <w:spacing w:val="-3"/>
                      <w:lang w:eastAsia="zh-CN"/>
                    </w:rPr>
                    <w:t>料的工业炉窑清洁燃料替代改造。</w:t>
                  </w:r>
                </w:p>
              </w:tc>
              <w:tc>
                <w:tcPr>
                  <w:tcW w:w="1856" w:type="dxa"/>
                  <w:noWrap w:val="0"/>
                  <w:vAlign w:val="center"/>
                </w:tcPr>
                <w:p w14:paraId="1DE166E4">
                  <w:pPr>
                    <w:pStyle w:val="205"/>
                    <w:spacing w:line="320" w:lineRule="atLeast"/>
                    <w:rPr>
                      <w:rFonts w:hint="eastAsia" w:ascii="Times New Roman" w:hAnsi="Times New Roman" w:cs="Times New Roman"/>
                      <w:lang w:eastAsia="zh-CN"/>
                    </w:rPr>
                  </w:pPr>
                  <w:r>
                    <w:rPr>
                      <w:rFonts w:ascii="Times New Roman" w:hAnsi="Times New Roman" w:cs="Times New Roman"/>
                      <w:spacing w:val="-2"/>
                      <w:lang w:eastAsia="zh-CN"/>
                    </w:rPr>
                    <w:t>项目</w:t>
                  </w:r>
                  <w:r>
                    <w:rPr>
                      <w:rFonts w:hint="eastAsia" w:ascii="Times New Roman" w:hAnsi="Times New Roman" w:cs="Times New Roman"/>
                      <w:spacing w:val="-2"/>
                      <w:lang w:eastAsia="zh-CN"/>
                    </w:rPr>
                    <w:t>主要能源为</w:t>
                  </w:r>
                  <w:r>
                    <w:rPr>
                      <w:rFonts w:ascii="Times New Roman" w:hAnsi="Times New Roman" w:cs="Times New Roman"/>
                      <w:spacing w:val="-2"/>
                      <w:lang w:eastAsia="zh-CN"/>
                    </w:rPr>
                    <w:t>电</w:t>
                  </w:r>
                  <w:r>
                    <w:rPr>
                      <w:rFonts w:hint="eastAsia" w:ascii="Times New Roman" w:hAnsi="Times New Roman" w:cs="Times New Roman"/>
                      <w:spacing w:val="-2"/>
                      <w:lang w:eastAsia="zh-CN"/>
                    </w:rPr>
                    <w:t>能</w:t>
                  </w:r>
                  <w:r>
                    <w:rPr>
                      <w:rFonts w:ascii="Times New Roman" w:hAnsi="Times New Roman" w:cs="Times New Roman"/>
                      <w:spacing w:val="-2"/>
                      <w:lang w:eastAsia="zh-CN"/>
                    </w:rPr>
                    <w:t>，不使用</w:t>
                  </w:r>
                  <w:r>
                    <w:rPr>
                      <w:rFonts w:hint="eastAsia" w:ascii="Times New Roman" w:hAnsi="Times New Roman" w:cs="Times New Roman"/>
                      <w:spacing w:val="-2"/>
                      <w:lang w:eastAsia="zh-CN"/>
                    </w:rPr>
                    <w:t>燃煤。</w:t>
                  </w:r>
                </w:p>
              </w:tc>
              <w:tc>
                <w:tcPr>
                  <w:tcW w:w="620" w:type="dxa"/>
                  <w:noWrap w:val="0"/>
                  <w:vAlign w:val="center"/>
                </w:tcPr>
                <w:p w14:paraId="49FC2A18">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47B0F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6" w:hRule="atLeast"/>
              </w:trPr>
              <w:tc>
                <w:tcPr>
                  <w:tcW w:w="943" w:type="dxa"/>
                  <w:vMerge w:val="continue"/>
                  <w:noWrap w:val="0"/>
                  <w:vAlign w:val="center"/>
                </w:tcPr>
                <w:p w14:paraId="0F354299">
                  <w:pPr>
                    <w:spacing w:line="320" w:lineRule="atLeast"/>
                    <w:jc w:val="center"/>
                  </w:pPr>
                </w:p>
              </w:tc>
              <w:tc>
                <w:tcPr>
                  <w:tcW w:w="4819" w:type="dxa"/>
                  <w:noWrap w:val="0"/>
                  <w:vAlign w:val="center"/>
                </w:tcPr>
                <w:p w14:paraId="1B0113E0">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深化锅炉、发电机组大气污染物减排，推动</w:t>
                  </w:r>
                  <w:r>
                    <w:rPr>
                      <w:rFonts w:ascii="Times New Roman" w:hAnsi="Times New Roman" w:eastAsia="Times New Roman" w:cs="Times New Roman"/>
                      <w:spacing w:val="-1"/>
                      <w:lang w:eastAsia="zh-CN"/>
                    </w:rPr>
                    <w:t>2025</w:t>
                  </w:r>
                  <w:r>
                    <w:rPr>
                      <w:rFonts w:ascii="Times New Roman" w:hAnsi="Times New Roman" w:cs="Times New Roman"/>
                      <w:spacing w:val="-1"/>
                      <w:lang w:eastAsia="zh-CN"/>
                    </w:rPr>
                    <w:t>年底前所有在用燃煤锅炉和建成区生物质锅炉完</w:t>
                  </w:r>
                  <w:r>
                    <w:rPr>
                      <w:rFonts w:ascii="Times New Roman" w:hAnsi="Times New Roman" w:cs="Times New Roman"/>
                      <w:spacing w:val="-3"/>
                      <w:lang w:eastAsia="zh-CN"/>
                    </w:rPr>
                    <w:t>成超低排放改造，新</w:t>
                  </w:r>
                  <w:r>
                    <w:rPr>
                      <w:rFonts w:ascii="Times New Roman" w:hAnsi="Times New Roman" w:eastAsia="Times New Roman" w:cs="Times New Roman"/>
                      <w:spacing w:val="-3"/>
                      <w:lang w:eastAsia="zh-CN"/>
                    </w:rPr>
                    <w:t>(</w:t>
                  </w:r>
                  <w:r>
                    <w:rPr>
                      <w:rFonts w:ascii="Times New Roman" w:hAnsi="Times New Roman" w:cs="Times New Roman"/>
                      <w:spacing w:val="-3"/>
                      <w:lang w:eastAsia="zh-CN"/>
                    </w:rPr>
                    <w:t>改、扩</w:t>
                  </w:r>
                  <w:r>
                    <w:rPr>
                      <w:rFonts w:ascii="Times New Roman" w:hAnsi="Times New Roman" w:eastAsia="Times New Roman" w:cs="Times New Roman"/>
                      <w:spacing w:val="-3"/>
                      <w:lang w:eastAsia="zh-CN"/>
                    </w:rPr>
                    <w:t>)</w:t>
                  </w:r>
                  <w:r>
                    <w:rPr>
                      <w:rFonts w:ascii="Times New Roman" w:hAnsi="Times New Roman" w:cs="Times New Roman"/>
                      <w:spacing w:val="-3"/>
                      <w:lang w:eastAsia="zh-CN"/>
                    </w:rPr>
                    <w:t>建生物质锅炉应按照</w:t>
                  </w:r>
                  <w:r>
                    <w:rPr>
                      <w:rFonts w:ascii="Times New Roman" w:hAnsi="Times New Roman" w:cs="Times New Roman"/>
                      <w:spacing w:val="-1"/>
                      <w:lang w:eastAsia="zh-CN"/>
                    </w:rPr>
                    <w:t>超低排放标准设计建设并稳定达标排放，焦化企业使用干熄焦</w:t>
                  </w:r>
                  <w:r>
                    <w:rPr>
                      <w:rFonts w:ascii="Times New Roman" w:hAnsi="Times New Roman" w:eastAsia="Times New Roman" w:cs="Times New Roman"/>
                      <w:spacing w:val="-1"/>
                      <w:lang w:eastAsia="zh-CN"/>
                    </w:rPr>
                    <w:t>;</w:t>
                  </w:r>
                  <w:r>
                    <w:rPr>
                      <w:rFonts w:ascii="Times New Roman" w:hAnsi="Times New Roman" w:cs="Times New Roman"/>
                      <w:spacing w:val="-1"/>
                      <w:lang w:eastAsia="zh-CN"/>
                    </w:rPr>
                    <w:t>皖北城市现役火电机组原则上完成超净改造或稳定达到超净排放标准，推动</w:t>
                  </w:r>
                  <w:r>
                    <w:rPr>
                      <w:rFonts w:ascii="Times New Roman" w:hAnsi="Times New Roman" w:eastAsia="Times New Roman" w:cs="Times New Roman"/>
                      <w:spacing w:val="-1"/>
                      <w:lang w:eastAsia="zh-CN"/>
                    </w:rPr>
                    <w:t>30</w:t>
                  </w:r>
                  <w:r>
                    <w:rPr>
                      <w:rFonts w:ascii="Times New Roman" w:hAnsi="Times New Roman" w:cs="Times New Roman"/>
                      <w:spacing w:val="-1"/>
                      <w:lang w:eastAsia="zh-CN"/>
                    </w:rPr>
                    <w:t>万千瓦以下符合条件的常规燃煤机组转为应急备用机组，秋冬季期间优先启用完成超低排放改造的应</w:t>
                  </w:r>
                  <w:r>
                    <w:rPr>
                      <w:rFonts w:ascii="Times New Roman" w:hAnsi="Times New Roman" w:cs="Times New Roman"/>
                      <w:spacing w:val="-7"/>
                      <w:lang w:eastAsia="zh-CN"/>
                    </w:rPr>
                    <w:t>急备用机组。</w:t>
                  </w:r>
                </w:p>
              </w:tc>
              <w:tc>
                <w:tcPr>
                  <w:tcW w:w="1856" w:type="dxa"/>
                  <w:noWrap w:val="0"/>
                  <w:vAlign w:val="center"/>
                </w:tcPr>
                <w:p w14:paraId="390A59E3">
                  <w:pPr>
                    <w:pStyle w:val="205"/>
                    <w:spacing w:line="320" w:lineRule="atLeast"/>
                    <w:rPr>
                      <w:rFonts w:ascii="Times New Roman" w:hAnsi="Times New Roman" w:cs="Times New Roman"/>
                      <w:lang w:eastAsia="zh-CN"/>
                    </w:rPr>
                  </w:pPr>
                  <w:r>
                    <w:rPr>
                      <w:rFonts w:ascii="Times New Roman" w:hAnsi="Times New Roman" w:cs="Times New Roman"/>
                      <w:spacing w:val="-2"/>
                      <w:lang w:eastAsia="zh-CN"/>
                    </w:rPr>
                    <w:t>项目</w:t>
                  </w:r>
                  <w:r>
                    <w:rPr>
                      <w:rFonts w:hint="eastAsia" w:ascii="Times New Roman" w:hAnsi="Times New Roman" w:cs="Times New Roman"/>
                      <w:spacing w:val="-2"/>
                      <w:lang w:eastAsia="zh-CN"/>
                    </w:rPr>
                    <w:t>主要能源为</w:t>
                  </w:r>
                  <w:r>
                    <w:rPr>
                      <w:rFonts w:ascii="Times New Roman" w:hAnsi="Times New Roman" w:cs="Times New Roman"/>
                      <w:spacing w:val="-2"/>
                      <w:lang w:eastAsia="zh-CN"/>
                    </w:rPr>
                    <w:t>电</w:t>
                  </w:r>
                  <w:r>
                    <w:rPr>
                      <w:rFonts w:hint="eastAsia" w:ascii="Times New Roman" w:hAnsi="Times New Roman" w:cs="Times New Roman"/>
                      <w:spacing w:val="-2"/>
                      <w:lang w:eastAsia="zh-CN"/>
                    </w:rPr>
                    <w:t>能</w:t>
                  </w:r>
                  <w:r>
                    <w:rPr>
                      <w:rFonts w:ascii="Times New Roman" w:hAnsi="Times New Roman" w:cs="Times New Roman"/>
                      <w:spacing w:val="-2"/>
                      <w:lang w:eastAsia="zh-CN"/>
                    </w:rPr>
                    <w:t>，不使用</w:t>
                  </w:r>
                  <w:r>
                    <w:rPr>
                      <w:rFonts w:hint="eastAsia" w:ascii="Times New Roman" w:hAnsi="Times New Roman" w:cs="Times New Roman"/>
                      <w:spacing w:val="-2"/>
                      <w:lang w:eastAsia="zh-CN"/>
                    </w:rPr>
                    <w:t>燃煤，生物质燃料仅用于点火。</w:t>
                  </w:r>
                </w:p>
              </w:tc>
              <w:tc>
                <w:tcPr>
                  <w:tcW w:w="620" w:type="dxa"/>
                  <w:noWrap w:val="0"/>
                  <w:vAlign w:val="center"/>
                </w:tcPr>
                <w:p w14:paraId="55E49D44">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7F9BD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4" w:hRule="atLeast"/>
              </w:trPr>
              <w:tc>
                <w:tcPr>
                  <w:tcW w:w="943" w:type="dxa"/>
                  <w:vMerge w:val="restart"/>
                  <w:noWrap w:val="0"/>
                  <w:vAlign w:val="center"/>
                </w:tcPr>
                <w:p w14:paraId="77517F37">
                  <w:pPr>
                    <w:pStyle w:val="205"/>
                    <w:spacing w:line="320" w:lineRule="atLeast"/>
                    <w:ind w:firstLine="92"/>
                    <w:jc w:val="center"/>
                    <w:rPr>
                      <w:rFonts w:ascii="Times New Roman" w:hAnsi="Times New Roman" w:cs="Times New Roman"/>
                      <w:lang w:eastAsia="zh-CN"/>
                    </w:rPr>
                  </w:pPr>
                  <w:r>
                    <w:rPr>
                      <w:rFonts w:ascii="Times New Roman" w:hAnsi="Times New Roman" w:cs="Times New Roman"/>
                      <w:spacing w:val="-7"/>
                      <w:lang w:eastAsia="zh-CN"/>
                    </w:rPr>
                    <w:t>《安徽</w:t>
                  </w:r>
                  <w:r>
                    <w:rPr>
                      <w:rFonts w:ascii="Times New Roman" w:hAnsi="Times New Roman" w:cs="Times New Roman"/>
                      <w:spacing w:val="27"/>
                      <w:lang w:eastAsia="zh-CN"/>
                    </w:rPr>
                    <w:t>省淮河流域水污染防</w:t>
                  </w:r>
                  <w:r>
                    <w:rPr>
                      <w:rFonts w:ascii="Times New Roman" w:hAnsi="Times New Roman" w:cs="Times New Roman"/>
                      <w:spacing w:val="-6"/>
                      <w:lang w:eastAsia="zh-CN"/>
                    </w:rPr>
                    <w:t>治条例》</w:t>
                  </w:r>
                </w:p>
              </w:tc>
              <w:tc>
                <w:tcPr>
                  <w:tcW w:w="4819" w:type="dxa"/>
                  <w:noWrap w:val="0"/>
                  <w:vAlign w:val="center"/>
                </w:tcPr>
                <w:p w14:paraId="52FA0A84">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第十三条：禁止在淮河流域新建化学制浆造纸企业和印染、制革、化工、电镀、酿造等污染严重</w:t>
                  </w:r>
                  <w:r>
                    <w:rPr>
                      <w:rFonts w:ascii="Times New Roman" w:hAnsi="Times New Roman" w:cs="Times New Roman"/>
                      <w:spacing w:val="-2"/>
                      <w:lang w:eastAsia="zh-CN"/>
                    </w:rPr>
                    <w:t>的小型企业。严格限制在淮河流域新建印染、制</w:t>
                  </w:r>
                  <w:r>
                    <w:rPr>
                      <w:rFonts w:ascii="Times New Roman" w:hAnsi="Times New Roman" w:cs="Times New Roman"/>
                      <w:spacing w:val="-1"/>
                      <w:lang w:eastAsia="zh-CN"/>
                    </w:rPr>
                    <w:t>革、化工、电镀、酿造等大中型项目或者其他污染严重的项目；建设该类项目的，应当事前征得省人民政府生态环境行政主管部门的同意，并按</w:t>
                  </w:r>
                  <w:r>
                    <w:rPr>
                      <w:rFonts w:ascii="Times New Roman" w:hAnsi="Times New Roman" w:cs="Times New Roman"/>
                      <w:spacing w:val="-4"/>
                      <w:lang w:eastAsia="zh-CN"/>
                    </w:rPr>
                    <w:t>规定办理有关手续。</w:t>
                  </w:r>
                </w:p>
              </w:tc>
              <w:tc>
                <w:tcPr>
                  <w:tcW w:w="1856" w:type="dxa"/>
                  <w:noWrap w:val="0"/>
                  <w:vAlign w:val="center"/>
                </w:tcPr>
                <w:p w14:paraId="18B610EC">
                  <w:pPr>
                    <w:pStyle w:val="205"/>
                    <w:spacing w:line="320" w:lineRule="atLeast"/>
                    <w:rPr>
                      <w:rFonts w:ascii="Times New Roman" w:hAnsi="Times New Roman" w:cs="Times New Roman"/>
                      <w:lang w:eastAsia="zh-CN"/>
                    </w:rPr>
                  </w:pPr>
                  <w:r>
                    <w:rPr>
                      <w:rFonts w:ascii="Times New Roman" w:hAnsi="Times New Roman" w:cs="Times New Roman"/>
                      <w:spacing w:val="-2"/>
                      <w:lang w:eastAsia="zh-CN"/>
                    </w:rPr>
                    <w:t>本项目不属于化学制浆造纸企业</w:t>
                  </w:r>
                  <w:r>
                    <w:rPr>
                      <w:rFonts w:ascii="Times New Roman" w:hAnsi="Times New Roman" w:cs="Times New Roman"/>
                      <w:spacing w:val="-5"/>
                      <w:lang w:eastAsia="zh-CN"/>
                    </w:rPr>
                    <w:t>和印染、制革、</w:t>
                  </w:r>
                  <w:r>
                    <w:rPr>
                      <w:rFonts w:ascii="Times New Roman" w:hAnsi="Times New Roman" w:cs="Times New Roman"/>
                      <w:spacing w:val="-2"/>
                      <w:lang w:eastAsia="zh-CN"/>
                    </w:rPr>
                    <w:t>化工、电镀、酿</w:t>
                  </w:r>
                  <w:r>
                    <w:rPr>
                      <w:rFonts w:ascii="Times New Roman" w:hAnsi="Times New Roman" w:cs="Times New Roman"/>
                      <w:spacing w:val="-1"/>
                      <w:lang w:eastAsia="zh-CN"/>
                    </w:rPr>
                    <w:t>造等污染严重的</w:t>
                  </w:r>
                  <w:r>
                    <w:rPr>
                      <w:rFonts w:ascii="Times New Roman" w:hAnsi="Times New Roman" w:cs="Times New Roman"/>
                      <w:spacing w:val="-10"/>
                      <w:lang w:eastAsia="zh-CN"/>
                    </w:rPr>
                    <w:t>企业。</w:t>
                  </w:r>
                </w:p>
              </w:tc>
              <w:tc>
                <w:tcPr>
                  <w:tcW w:w="620" w:type="dxa"/>
                  <w:noWrap w:val="0"/>
                  <w:vAlign w:val="center"/>
                </w:tcPr>
                <w:p w14:paraId="64390582">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260D0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5" w:hRule="atLeast"/>
              </w:trPr>
              <w:tc>
                <w:tcPr>
                  <w:tcW w:w="943" w:type="dxa"/>
                  <w:vMerge w:val="continue"/>
                  <w:noWrap w:val="0"/>
                  <w:vAlign w:val="center"/>
                </w:tcPr>
                <w:p w14:paraId="7D8F772F">
                  <w:pPr>
                    <w:spacing w:line="320" w:lineRule="atLeast"/>
                    <w:jc w:val="center"/>
                  </w:pPr>
                </w:p>
              </w:tc>
              <w:tc>
                <w:tcPr>
                  <w:tcW w:w="4819" w:type="dxa"/>
                  <w:noWrap w:val="0"/>
                  <w:vAlign w:val="center"/>
                </w:tcPr>
                <w:p w14:paraId="552E233D">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第十四条：新建、改建、扩建直接或者间接向水体排放污染物的建设项目和其他水上设施，应当依法进行环境影响评价。建设项目的水污染防治设施，应当符合经批准或者备案的环境影响评价</w:t>
                  </w:r>
                  <w:r>
                    <w:rPr>
                      <w:rFonts w:ascii="Times New Roman" w:hAnsi="Times New Roman" w:cs="Times New Roman"/>
                      <w:spacing w:val="-6"/>
                      <w:lang w:eastAsia="zh-CN"/>
                    </w:rPr>
                    <w:t>文件的要求，并与主体工程同时设计、同时施工、</w:t>
                  </w:r>
                  <w:r>
                    <w:rPr>
                      <w:rFonts w:ascii="Times New Roman" w:hAnsi="Times New Roman" w:cs="Times New Roman"/>
                      <w:spacing w:val="-2"/>
                      <w:lang w:eastAsia="zh-CN"/>
                    </w:rPr>
                    <w:t>同时投入使用。新建、扩建、改建项目，除执行</w:t>
                  </w:r>
                  <w:r>
                    <w:rPr>
                      <w:rFonts w:ascii="Times New Roman" w:hAnsi="Times New Roman" w:cs="Times New Roman"/>
                      <w:spacing w:val="-1"/>
                      <w:lang w:eastAsia="zh-CN"/>
                    </w:rPr>
                    <w:t>前款规定外，还应当遵守下列规定</w:t>
                  </w:r>
                  <w:r>
                    <w:rPr>
                      <w:rFonts w:ascii="Times New Roman" w:hAnsi="Times New Roman" w:cs="Times New Roman"/>
                      <w:lang w:eastAsia="zh-CN"/>
                    </w:rPr>
                    <w:t>：(</w:t>
                  </w:r>
                  <w:r>
                    <w:rPr>
                      <w:rFonts w:ascii="Times New Roman" w:hAnsi="Times New Roman" w:cs="Times New Roman"/>
                      <w:spacing w:val="-1"/>
                      <w:lang w:eastAsia="zh-CN"/>
                    </w:rPr>
                    <w:t>一)新建项目的选址应符合城市总体规划，避开饮用水水源地和对环境有特殊要求的功能区</w:t>
                  </w:r>
                </w:p>
              </w:tc>
              <w:tc>
                <w:tcPr>
                  <w:tcW w:w="1856" w:type="dxa"/>
                  <w:vMerge w:val="restart"/>
                  <w:noWrap w:val="0"/>
                  <w:vAlign w:val="center"/>
                </w:tcPr>
                <w:p w14:paraId="6FCF547F">
                  <w:pPr>
                    <w:pStyle w:val="205"/>
                    <w:spacing w:line="320" w:lineRule="atLeast"/>
                    <w:ind w:firstLine="1"/>
                    <w:rPr>
                      <w:rFonts w:ascii="Times New Roman" w:hAnsi="Times New Roman" w:cs="Times New Roman"/>
                      <w:lang w:eastAsia="zh-CN"/>
                    </w:rPr>
                  </w:pPr>
                  <w:r>
                    <w:rPr>
                      <w:rFonts w:ascii="Times New Roman" w:hAnsi="Times New Roman" w:cs="Times New Roman"/>
                      <w:spacing w:val="3"/>
                      <w:lang w:eastAsia="zh-CN"/>
                    </w:rPr>
                    <w:t>本</w:t>
                  </w:r>
                  <w:r>
                    <w:rPr>
                      <w:rFonts w:ascii="Times New Roman" w:hAnsi="Times New Roman" w:cs="Times New Roman"/>
                      <w:color w:val="000000"/>
                      <w:spacing w:val="3"/>
                      <w:lang w:eastAsia="zh-CN"/>
                    </w:rPr>
                    <w:t>项目实行雨污分流，雨水排入</w:t>
                  </w:r>
                  <w:r>
                    <w:rPr>
                      <w:rFonts w:hint="eastAsia" w:ascii="Times New Roman" w:hAnsi="Times New Roman" w:cs="Times New Roman"/>
                      <w:color w:val="000000"/>
                      <w:spacing w:val="3"/>
                      <w:lang w:val="en-US" w:eastAsia="zh-CN"/>
                    </w:rPr>
                    <w:t>周边水体</w:t>
                  </w:r>
                  <w:r>
                    <w:rPr>
                      <w:rFonts w:ascii="Times New Roman" w:hAnsi="Times New Roman" w:cs="Times New Roman"/>
                      <w:color w:val="000000"/>
                      <w:spacing w:val="3"/>
                      <w:lang w:eastAsia="zh-CN"/>
                    </w:rPr>
                    <w:t>；拟建项目环保措施符合国家规定标准，且与主体工程同时设</w:t>
                  </w:r>
                  <w:r>
                    <w:rPr>
                      <w:rFonts w:ascii="Times New Roman" w:hAnsi="Times New Roman" w:cs="Times New Roman"/>
                      <w:color w:val="000000"/>
                      <w:spacing w:val="-1"/>
                      <w:lang w:eastAsia="zh-CN"/>
                    </w:rPr>
                    <w:t>计、同时施工、</w:t>
                  </w:r>
                  <w:r>
                    <w:rPr>
                      <w:rFonts w:ascii="Times New Roman" w:hAnsi="Times New Roman" w:cs="Times New Roman"/>
                      <w:color w:val="000000"/>
                      <w:spacing w:val="3"/>
                      <w:lang w:eastAsia="zh-CN"/>
                    </w:rPr>
                    <w:t>同时投入生产和</w:t>
                  </w:r>
                  <w:r>
                    <w:rPr>
                      <w:rFonts w:ascii="Times New Roman" w:hAnsi="Times New Roman" w:cs="Times New Roman"/>
                      <w:color w:val="000000"/>
                      <w:spacing w:val="-9"/>
                      <w:lang w:eastAsia="zh-CN"/>
                    </w:rPr>
                    <w:t>使用。</w:t>
                  </w:r>
                </w:p>
              </w:tc>
              <w:tc>
                <w:tcPr>
                  <w:tcW w:w="620" w:type="dxa"/>
                  <w:noWrap w:val="0"/>
                  <w:vAlign w:val="center"/>
                </w:tcPr>
                <w:p w14:paraId="24EBB4AA">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3F52A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943" w:type="dxa"/>
                  <w:vMerge w:val="continue"/>
                  <w:noWrap w:val="0"/>
                  <w:vAlign w:val="center"/>
                </w:tcPr>
                <w:p w14:paraId="1FF52473">
                  <w:pPr>
                    <w:spacing w:line="320" w:lineRule="atLeast"/>
                    <w:jc w:val="center"/>
                  </w:pPr>
                </w:p>
              </w:tc>
              <w:tc>
                <w:tcPr>
                  <w:tcW w:w="4819" w:type="dxa"/>
                  <w:noWrap w:val="0"/>
                  <w:vAlign w:val="center"/>
                </w:tcPr>
                <w:p w14:paraId="40ABCE9E">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第十六条：在淮河流域城市公共排水设施覆盖区</w:t>
                  </w:r>
                </w:p>
                <w:p w14:paraId="053FA5FB">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域内，应当实行雨水、污水分流；排水户应当将</w:t>
                  </w:r>
                </w:p>
                <w:p w14:paraId="6D2A0B87">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雨水、污水分别排入公共雨水、污水管网及其附</w:t>
                  </w:r>
                </w:p>
                <w:p w14:paraId="2031DFF6">
                  <w:pPr>
                    <w:pStyle w:val="205"/>
                    <w:spacing w:line="320" w:lineRule="atLeast"/>
                    <w:rPr>
                      <w:rFonts w:ascii="Times New Roman" w:hAnsi="Times New Roman" w:cs="Times New Roman"/>
                      <w:lang w:eastAsia="zh-CN"/>
                    </w:rPr>
                  </w:pPr>
                  <w:r>
                    <w:rPr>
                      <w:rFonts w:ascii="Times New Roman" w:hAnsi="Times New Roman" w:cs="Times New Roman"/>
                      <w:spacing w:val="-6"/>
                      <w:lang w:eastAsia="zh-CN"/>
                    </w:rPr>
                    <w:t>属设施。现有排水设施未实行雨水、污水分流的，</w:t>
                  </w:r>
                </w:p>
                <w:p w14:paraId="5BB7B9BB">
                  <w:pPr>
                    <w:pStyle w:val="205"/>
                    <w:spacing w:line="320" w:lineRule="atLeast"/>
                    <w:rPr>
                      <w:rFonts w:ascii="Times New Roman" w:hAnsi="Times New Roman" w:cs="Times New Roman"/>
                      <w:lang w:eastAsia="zh-CN"/>
                    </w:rPr>
                  </w:pPr>
                  <w:r>
                    <w:rPr>
                      <w:rFonts w:ascii="Times New Roman" w:hAnsi="Times New Roman" w:cs="Times New Roman"/>
                      <w:spacing w:val="-3"/>
                      <w:lang w:eastAsia="zh-CN"/>
                    </w:rPr>
                    <w:t>应当编制规划，进行分流改造。</w:t>
                  </w:r>
                </w:p>
              </w:tc>
              <w:tc>
                <w:tcPr>
                  <w:tcW w:w="1856" w:type="dxa"/>
                  <w:vMerge w:val="continue"/>
                  <w:noWrap w:val="0"/>
                  <w:vAlign w:val="center"/>
                </w:tcPr>
                <w:p w14:paraId="1047C2B5">
                  <w:pPr>
                    <w:pStyle w:val="205"/>
                    <w:spacing w:line="320" w:lineRule="atLeast"/>
                    <w:ind w:firstLine="2"/>
                    <w:rPr>
                      <w:rFonts w:ascii="Times New Roman" w:hAnsi="Times New Roman" w:cs="Times New Roman"/>
                      <w:lang w:eastAsia="zh-CN"/>
                    </w:rPr>
                  </w:pPr>
                </w:p>
              </w:tc>
              <w:tc>
                <w:tcPr>
                  <w:tcW w:w="620" w:type="dxa"/>
                  <w:noWrap w:val="0"/>
                  <w:vAlign w:val="center"/>
                </w:tcPr>
                <w:p w14:paraId="369BE77C">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4BFDD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43" w:type="dxa"/>
                  <w:vMerge w:val="restart"/>
                  <w:noWrap w:val="0"/>
                  <w:vAlign w:val="center"/>
                </w:tcPr>
                <w:p w14:paraId="61D10854">
                  <w:pPr>
                    <w:pStyle w:val="205"/>
                    <w:spacing w:line="320" w:lineRule="atLeast"/>
                    <w:ind w:firstLine="96"/>
                    <w:jc w:val="center"/>
                    <w:rPr>
                      <w:rFonts w:ascii="Times New Roman" w:hAnsi="Times New Roman" w:cs="Times New Roman"/>
                      <w:lang w:eastAsia="zh-CN"/>
                    </w:rPr>
                  </w:pPr>
                  <w:r>
                    <w:rPr>
                      <w:rFonts w:ascii="Times New Roman" w:hAnsi="Times New Roman" w:cs="Times New Roman"/>
                      <w:spacing w:val="-6"/>
                      <w:lang w:eastAsia="zh-CN"/>
                    </w:rPr>
                    <w:t>《长江</w:t>
                  </w:r>
                  <w:r>
                    <w:rPr>
                      <w:rFonts w:ascii="Times New Roman" w:hAnsi="Times New Roman" w:cs="Times New Roman"/>
                      <w:spacing w:val="29"/>
                      <w:lang w:eastAsia="zh-CN"/>
                    </w:rPr>
                    <w:t>经济带发展负面清单</w:t>
                  </w:r>
                  <w:r>
                    <w:rPr>
                      <w:rFonts w:ascii="Times New Roman" w:hAnsi="Times New Roman" w:cs="Times New Roman"/>
                      <w:spacing w:val="-9"/>
                      <w:lang w:eastAsia="zh-CN"/>
                    </w:rPr>
                    <w:t>指南(试</w:t>
                  </w:r>
                  <w:r>
                    <w:rPr>
                      <w:rFonts w:ascii="Times New Roman" w:hAnsi="Times New Roman" w:cs="Times New Roman"/>
                      <w:spacing w:val="-5"/>
                      <w:lang w:eastAsia="zh-CN"/>
                    </w:rPr>
                    <w:t>行，</w:t>
                  </w:r>
                  <w:r>
                    <w:rPr>
                      <w:rFonts w:ascii="Times New Roman" w:hAnsi="Times New Roman" w:eastAsia="Times New Roman" w:cs="Times New Roman"/>
                      <w:spacing w:val="-5"/>
                      <w:lang w:eastAsia="zh-CN"/>
                    </w:rPr>
                    <w:t>2022</w:t>
                  </w:r>
                  <w:r>
                    <w:rPr>
                      <w:rFonts w:ascii="Times New Roman" w:hAnsi="Times New Roman" w:cs="Times New Roman"/>
                      <w:spacing w:val="-5"/>
                      <w:lang w:eastAsia="zh-CN"/>
                    </w:rPr>
                    <w:t>年版)》</w:t>
                  </w:r>
                </w:p>
              </w:tc>
              <w:tc>
                <w:tcPr>
                  <w:tcW w:w="4819" w:type="dxa"/>
                  <w:noWrap w:val="0"/>
                  <w:vAlign w:val="center"/>
                </w:tcPr>
                <w:p w14:paraId="501DE5D9">
                  <w:pPr>
                    <w:pStyle w:val="205"/>
                    <w:spacing w:line="320" w:lineRule="atLeast"/>
                    <w:ind w:hanging="3"/>
                    <w:rPr>
                      <w:rFonts w:ascii="Times New Roman" w:hAnsi="Times New Roman" w:cs="Times New Roman"/>
                      <w:lang w:eastAsia="zh-CN"/>
                    </w:rPr>
                  </w:pPr>
                  <w:r>
                    <w:rPr>
                      <w:rFonts w:ascii="Times New Roman" w:hAnsi="Times New Roman" w:cs="Times New Roman"/>
                      <w:spacing w:val="3"/>
                      <w:lang w:eastAsia="zh-CN"/>
                    </w:rPr>
                    <w:t>禁止在自然保护区核心区、缓冲区的岸线和河段范围内投资建设旅游和生产经营项目。禁止在风景名胜区核心景区的岸线和河段范围内投资建设</w:t>
                  </w:r>
                  <w:r>
                    <w:rPr>
                      <w:rFonts w:ascii="Times New Roman" w:hAnsi="Times New Roman" w:cs="Times New Roman"/>
                      <w:spacing w:val="-1"/>
                      <w:lang w:eastAsia="zh-CN"/>
                    </w:rPr>
                    <w:t>与风景名胜资源保护无关的项目</w:t>
                  </w:r>
                </w:p>
              </w:tc>
              <w:tc>
                <w:tcPr>
                  <w:tcW w:w="1856" w:type="dxa"/>
                  <w:noWrap w:val="0"/>
                  <w:vAlign w:val="center"/>
                </w:tcPr>
                <w:p w14:paraId="38A18C6F">
                  <w:pPr>
                    <w:pStyle w:val="205"/>
                    <w:spacing w:line="320" w:lineRule="atLeast"/>
                    <w:ind w:firstLine="1"/>
                    <w:rPr>
                      <w:rFonts w:ascii="Times New Roman" w:hAnsi="Times New Roman" w:cs="Times New Roman"/>
                      <w:lang w:eastAsia="zh-CN"/>
                    </w:rPr>
                  </w:pPr>
                  <w:r>
                    <w:rPr>
                      <w:rFonts w:ascii="Times New Roman" w:hAnsi="Times New Roman" w:cs="Times New Roman"/>
                      <w:spacing w:val="3"/>
                      <w:lang w:eastAsia="zh-CN"/>
                    </w:rPr>
                    <w:t>本项目不在自然</w:t>
                  </w:r>
                  <w:r>
                    <w:rPr>
                      <w:rFonts w:ascii="Times New Roman" w:hAnsi="Times New Roman" w:cs="Times New Roman"/>
                      <w:spacing w:val="-1"/>
                      <w:lang w:eastAsia="zh-CN"/>
                    </w:rPr>
                    <w:t>保护区核心区、</w:t>
                  </w:r>
                  <w:r>
                    <w:rPr>
                      <w:rFonts w:ascii="Times New Roman" w:hAnsi="Times New Roman" w:cs="Times New Roman"/>
                      <w:spacing w:val="3"/>
                      <w:lang w:eastAsia="zh-CN"/>
                    </w:rPr>
                    <w:t>缓冲区的岸线和</w:t>
                  </w:r>
                  <w:r>
                    <w:rPr>
                      <w:rFonts w:ascii="Times New Roman" w:hAnsi="Times New Roman" w:cs="Times New Roman"/>
                      <w:spacing w:val="-2"/>
                      <w:lang w:eastAsia="zh-CN"/>
                    </w:rPr>
                    <w:t>河段范围内</w:t>
                  </w:r>
                  <w:r>
                    <w:rPr>
                      <w:rFonts w:hint="eastAsia" w:ascii="Times New Roman" w:hAnsi="Times New Roman" w:cs="Times New Roman"/>
                      <w:spacing w:val="-2"/>
                      <w:lang w:eastAsia="zh-CN"/>
                    </w:rPr>
                    <w:t>。</w:t>
                  </w:r>
                </w:p>
              </w:tc>
              <w:tc>
                <w:tcPr>
                  <w:tcW w:w="620" w:type="dxa"/>
                  <w:noWrap w:val="0"/>
                  <w:vAlign w:val="center"/>
                </w:tcPr>
                <w:p w14:paraId="0EDF522F">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0B34B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943" w:type="dxa"/>
                  <w:vMerge w:val="continue"/>
                  <w:noWrap w:val="0"/>
                  <w:vAlign w:val="center"/>
                </w:tcPr>
                <w:p w14:paraId="1C3F4F53">
                  <w:pPr>
                    <w:spacing w:line="320" w:lineRule="atLeast"/>
                    <w:jc w:val="center"/>
                  </w:pPr>
                </w:p>
              </w:tc>
              <w:tc>
                <w:tcPr>
                  <w:tcW w:w="4819" w:type="dxa"/>
                  <w:noWrap w:val="0"/>
                  <w:vAlign w:val="center"/>
                </w:tcPr>
                <w:p w14:paraId="0E5BCC25">
                  <w:pPr>
                    <w:pStyle w:val="205"/>
                    <w:spacing w:line="320" w:lineRule="atLeast"/>
                    <w:rPr>
                      <w:rFonts w:ascii="Times New Roman" w:hAnsi="Times New Roman" w:cs="Times New Roman"/>
                      <w:lang w:eastAsia="zh-CN"/>
                    </w:rPr>
                  </w:pPr>
                  <w:r>
                    <w:rPr>
                      <w:rFonts w:ascii="Times New Roman" w:hAnsi="Times New Roman" w:cs="Times New Roman"/>
                      <w:spacing w:val="1"/>
                      <w:lang w:eastAsia="zh-CN"/>
                    </w:rPr>
                    <w:t>禁止在饮用水水源一级保护区的岸线和河段范围内新建、改建、扩建与供水设施和保护水源无关的项目，以及网箱养殖、畜禽养殖、旅游等可能污染饮用水水体的投资建设项目。禁止在饮用水</w:t>
                  </w:r>
                  <w:r>
                    <w:rPr>
                      <w:rFonts w:ascii="Times New Roman" w:hAnsi="Times New Roman" w:cs="Times New Roman"/>
                      <w:spacing w:val="-6"/>
                      <w:lang w:eastAsia="zh-CN"/>
                    </w:rPr>
                    <w:t>水源二级保护区的岸线和河段范围内新建、改建、</w:t>
                  </w:r>
                  <w:r>
                    <w:rPr>
                      <w:rFonts w:ascii="Times New Roman" w:hAnsi="Times New Roman" w:cs="Times New Roman"/>
                      <w:spacing w:val="-5"/>
                      <w:lang w:eastAsia="zh-CN"/>
                    </w:rPr>
                    <w:t>扩建排放污染物的投资建设项目。</w:t>
                  </w:r>
                </w:p>
              </w:tc>
              <w:tc>
                <w:tcPr>
                  <w:tcW w:w="1856" w:type="dxa"/>
                  <w:noWrap w:val="0"/>
                  <w:vAlign w:val="center"/>
                </w:tcPr>
                <w:p w14:paraId="31F598A7">
                  <w:pPr>
                    <w:pStyle w:val="205"/>
                    <w:spacing w:line="320" w:lineRule="atLeast"/>
                    <w:rPr>
                      <w:rFonts w:ascii="Times New Roman" w:hAnsi="Times New Roman" w:cs="Times New Roman"/>
                      <w:lang w:eastAsia="zh-CN"/>
                    </w:rPr>
                  </w:pPr>
                  <w:r>
                    <w:rPr>
                      <w:rFonts w:ascii="Times New Roman" w:hAnsi="Times New Roman" w:cs="Times New Roman"/>
                      <w:spacing w:val="3"/>
                      <w:lang w:eastAsia="zh-CN"/>
                    </w:rPr>
                    <w:t>本项目不涉及饮</w:t>
                  </w:r>
                  <w:r>
                    <w:rPr>
                      <w:rFonts w:ascii="Times New Roman" w:hAnsi="Times New Roman" w:cs="Times New Roman"/>
                      <w:spacing w:val="-2"/>
                      <w:lang w:eastAsia="zh-CN"/>
                    </w:rPr>
                    <w:t>用水水源一级、</w:t>
                  </w:r>
                  <w:r>
                    <w:rPr>
                      <w:rFonts w:ascii="Times New Roman" w:hAnsi="Times New Roman" w:cs="Times New Roman"/>
                      <w:spacing w:val="3"/>
                      <w:lang w:eastAsia="zh-CN"/>
                    </w:rPr>
                    <w:t>二级保护区的岸</w:t>
                  </w:r>
                  <w:r>
                    <w:rPr>
                      <w:rFonts w:ascii="Times New Roman" w:hAnsi="Times New Roman" w:cs="Times New Roman"/>
                      <w:spacing w:val="-2"/>
                      <w:lang w:eastAsia="zh-CN"/>
                    </w:rPr>
                    <w:t>线和河段</w:t>
                  </w:r>
                  <w:r>
                    <w:rPr>
                      <w:rFonts w:hint="eastAsia" w:ascii="Times New Roman" w:hAnsi="Times New Roman" w:cs="Times New Roman"/>
                      <w:spacing w:val="-2"/>
                      <w:lang w:eastAsia="zh-CN"/>
                    </w:rPr>
                    <w:t>。</w:t>
                  </w:r>
                </w:p>
              </w:tc>
              <w:tc>
                <w:tcPr>
                  <w:tcW w:w="620" w:type="dxa"/>
                  <w:noWrap w:val="0"/>
                  <w:vAlign w:val="center"/>
                </w:tcPr>
                <w:p w14:paraId="0497FFE9">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63365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continue"/>
                  <w:noWrap w:val="0"/>
                  <w:vAlign w:val="center"/>
                </w:tcPr>
                <w:p w14:paraId="56B14DBB">
                  <w:pPr>
                    <w:spacing w:line="320" w:lineRule="atLeast"/>
                    <w:jc w:val="center"/>
                  </w:pPr>
                </w:p>
              </w:tc>
              <w:tc>
                <w:tcPr>
                  <w:tcW w:w="4819" w:type="dxa"/>
                  <w:noWrap w:val="0"/>
                  <w:vAlign w:val="center"/>
                </w:tcPr>
                <w:p w14:paraId="65A48C77">
                  <w:pPr>
                    <w:pStyle w:val="205"/>
                    <w:spacing w:line="320" w:lineRule="atLeast"/>
                    <w:rPr>
                      <w:rFonts w:ascii="Times New Roman" w:hAnsi="Times New Roman" w:cs="Times New Roman"/>
                      <w:lang w:eastAsia="zh-CN"/>
                    </w:rPr>
                  </w:pPr>
                  <w:r>
                    <w:rPr>
                      <w:rFonts w:ascii="Times New Roman" w:hAnsi="Times New Roman" w:cs="Times New Roman"/>
                      <w:spacing w:val="-6"/>
                      <w:lang w:eastAsia="zh-CN"/>
                    </w:rPr>
                    <w:t>禁止在合规园区外新建、扩建钢铁、石化、化工、</w:t>
                  </w:r>
                  <w:r>
                    <w:rPr>
                      <w:rFonts w:ascii="Times New Roman" w:hAnsi="Times New Roman" w:cs="Times New Roman"/>
                      <w:spacing w:val="-5"/>
                      <w:lang w:eastAsia="zh-CN"/>
                    </w:rPr>
                    <w:t>焦化、建材、有色、制浆造纸等高污染项目。</w:t>
                  </w:r>
                </w:p>
              </w:tc>
              <w:tc>
                <w:tcPr>
                  <w:tcW w:w="1856" w:type="dxa"/>
                  <w:noWrap w:val="0"/>
                  <w:vAlign w:val="center"/>
                </w:tcPr>
                <w:p w14:paraId="42F7EDB8">
                  <w:pPr>
                    <w:pStyle w:val="205"/>
                    <w:spacing w:line="320" w:lineRule="atLeast"/>
                    <w:ind w:hanging="18"/>
                    <w:rPr>
                      <w:rFonts w:ascii="Times New Roman" w:hAnsi="Times New Roman" w:cs="Times New Roman"/>
                      <w:lang w:eastAsia="zh-CN"/>
                    </w:rPr>
                  </w:pPr>
                  <w:r>
                    <w:rPr>
                      <w:rFonts w:ascii="Times New Roman" w:hAnsi="Times New Roman" w:cs="Times New Roman"/>
                      <w:spacing w:val="3"/>
                      <w:lang w:eastAsia="zh-CN"/>
                    </w:rPr>
                    <w:t>本项目不属于其</w:t>
                  </w:r>
                  <w:r>
                    <w:rPr>
                      <w:rFonts w:ascii="Times New Roman" w:hAnsi="Times New Roman" w:cs="Times New Roman"/>
                      <w:lang w:eastAsia="zh-CN"/>
                    </w:rPr>
                    <w:t>中所列高污染项</w:t>
                  </w:r>
                  <w:r>
                    <w:rPr>
                      <w:rFonts w:ascii="Times New Roman" w:hAnsi="Times New Roman" w:cs="Times New Roman"/>
                      <w:spacing w:val="-15"/>
                      <w:lang w:eastAsia="zh-CN"/>
                    </w:rPr>
                    <w:t>目。</w:t>
                  </w:r>
                </w:p>
              </w:tc>
              <w:tc>
                <w:tcPr>
                  <w:tcW w:w="620" w:type="dxa"/>
                  <w:noWrap w:val="0"/>
                  <w:vAlign w:val="center"/>
                </w:tcPr>
                <w:p w14:paraId="0A289DFD">
                  <w:pPr>
                    <w:pStyle w:val="205"/>
                    <w:spacing w:line="320" w:lineRule="atLeast"/>
                    <w:jc w:val="center"/>
                    <w:rPr>
                      <w:rFonts w:ascii="Times New Roman" w:hAnsi="Times New Roman" w:cs="Times New Roman"/>
                    </w:rPr>
                  </w:pPr>
                  <w:r>
                    <w:rPr>
                      <w:rFonts w:ascii="Times New Roman" w:hAnsi="Times New Roman" w:cs="Times New Roman"/>
                      <w:spacing w:val="-3"/>
                    </w:rPr>
                    <w:t>符合</w:t>
                  </w:r>
                </w:p>
              </w:tc>
            </w:tr>
            <w:tr w14:paraId="2F7D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restart"/>
                  <w:noWrap w:val="0"/>
                  <w:vAlign w:val="center"/>
                </w:tcPr>
                <w:p w14:paraId="43BEEF62">
                  <w:pPr>
                    <w:spacing w:line="320" w:lineRule="atLeast"/>
                    <w:jc w:val="center"/>
                  </w:pPr>
                  <w:r>
                    <w:t>《工业炉窑大气污染综合治理方案》(环大气〔2019〕56号)</w:t>
                  </w:r>
                </w:p>
              </w:tc>
              <w:tc>
                <w:tcPr>
                  <w:tcW w:w="4819" w:type="dxa"/>
                  <w:noWrap w:val="0"/>
                  <w:vAlign w:val="center"/>
                </w:tcPr>
                <w:p w14:paraId="61EAE60C">
                  <w:pPr>
                    <w:pStyle w:val="205"/>
                    <w:spacing w:line="320" w:lineRule="atLeast"/>
                    <w:rPr>
                      <w:rFonts w:ascii="Times New Roman" w:hAnsi="Times New Roman" w:cs="Times New Roman"/>
                      <w:spacing w:val="-6"/>
                      <w:lang w:eastAsia="zh-CN"/>
                    </w:rPr>
                  </w:pPr>
                  <w:r>
                    <w:rPr>
                      <w:rFonts w:ascii="Times New Roman" w:hAnsi="Times New Roman" w:cs="Times New Roman"/>
                      <w:spacing w:val="-6"/>
                      <w:lang w:eastAsia="zh-CN"/>
                    </w:rPr>
                    <w:t>(一)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w:t>
                  </w:r>
                </w:p>
                <w:p w14:paraId="48FC4319">
                  <w:pPr>
                    <w:pStyle w:val="205"/>
                    <w:spacing w:line="320" w:lineRule="atLeast"/>
                    <w:rPr>
                      <w:rFonts w:ascii="Times New Roman" w:hAnsi="Times New Roman" w:cs="Times New Roman"/>
                      <w:spacing w:val="-6"/>
                      <w:lang w:eastAsia="zh-CN"/>
                    </w:rPr>
                  </w:pPr>
                  <w:r>
                    <w:rPr>
                      <w:rFonts w:ascii="Times New Roman" w:hAnsi="Times New Roman" w:cs="Times New Roman"/>
                      <w:spacing w:val="-6"/>
                      <w:lang w:eastAsia="zh-CN"/>
                    </w:rPr>
                    <w:t>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tc>
              <w:tc>
                <w:tcPr>
                  <w:tcW w:w="1856" w:type="dxa"/>
                  <w:noWrap w:val="0"/>
                  <w:vAlign w:val="center"/>
                </w:tcPr>
                <w:p w14:paraId="50896005">
                  <w:pPr>
                    <w:pStyle w:val="205"/>
                    <w:spacing w:line="320" w:lineRule="atLeast"/>
                    <w:ind w:hanging="18"/>
                    <w:rPr>
                      <w:rFonts w:ascii="Times New Roman" w:hAnsi="Times New Roman" w:cs="Times New Roman"/>
                      <w:spacing w:val="3"/>
                      <w:lang w:eastAsia="zh-CN"/>
                    </w:rPr>
                  </w:pPr>
                  <w:r>
                    <w:rPr>
                      <w:rFonts w:ascii="Times New Roman" w:hAnsi="Times New Roman" w:cs="Times New Roman"/>
                      <w:spacing w:val="3"/>
                      <w:lang w:eastAsia="zh-CN"/>
                    </w:rPr>
                    <w:t>本项目为改</w:t>
                  </w:r>
                  <w:r>
                    <w:rPr>
                      <w:rFonts w:hint="eastAsia" w:ascii="Times New Roman" w:hAnsi="Times New Roman" w:cs="Times New Roman"/>
                      <w:spacing w:val="3"/>
                      <w:lang w:eastAsia="zh-CN"/>
                    </w:rPr>
                    <w:t>扩</w:t>
                  </w:r>
                  <w:r>
                    <w:rPr>
                      <w:rFonts w:ascii="Times New Roman" w:hAnsi="Times New Roman" w:cs="Times New Roman"/>
                      <w:spacing w:val="3"/>
                      <w:lang w:eastAsia="zh-CN"/>
                    </w:rPr>
                    <w:t>建项目，改建内容主要包括升级改造旋转窑主体结构</w:t>
                  </w:r>
                  <w:r>
                    <w:rPr>
                      <w:rFonts w:ascii="Times New Roman" w:hAnsi="Times New Roman" w:cs="Times New Roman"/>
                      <w:color w:val="000000"/>
                      <w:spacing w:val="3"/>
                      <w:lang w:eastAsia="zh-CN"/>
                    </w:rPr>
                    <w:t>，</w:t>
                  </w:r>
                  <w:r>
                    <w:rPr>
                      <w:rFonts w:ascii="Times New Roman" w:hAnsi="Times New Roman" w:cs="Times New Roman"/>
                      <w:spacing w:val="3"/>
                      <w:lang w:eastAsia="zh-CN"/>
                    </w:rPr>
                    <w:t>提高自动化生产水平</w:t>
                  </w:r>
                  <w:r>
                    <w:rPr>
                      <w:rFonts w:hint="eastAsia" w:ascii="Times New Roman" w:hAnsi="Times New Roman" w:cs="Times New Roman"/>
                      <w:spacing w:val="3"/>
                      <w:lang w:eastAsia="zh-CN"/>
                    </w:rPr>
                    <w:t>，新增3000万煤矸石烧结砖生产能力。</w:t>
                  </w:r>
                </w:p>
              </w:tc>
              <w:tc>
                <w:tcPr>
                  <w:tcW w:w="620" w:type="dxa"/>
                  <w:noWrap w:val="0"/>
                  <w:vAlign w:val="center"/>
                </w:tcPr>
                <w:p w14:paraId="3C1F0C9A">
                  <w:pPr>
                    <w:pStyle w:val="205"/>
                    <w:spacing w:line="320" w:lineRule="atLeast"/>
                    <w:jc w:val="center"/>
                    <w:rPr>
                      <w:rFonts w:ascii="Times New Roman" w:hAnsi="Times New Roman" w:cs="Times New Roman"/>
                      <w:spacing w:val="-3"/>
                      <w:lang w:eastAsia="zh-CN"/>
                    </w:rPr>
                  </w:pPr>
                  <w:r>
                    <w:rPr>
                      <w:rFonts w:ascii="Times New Roman" w:hAnsi="Times New Roman" w:cs="Times New Roman"/>
                      <w:spacing w:val="-3"/>
                      <w:lang w:eastAsia="zh-CN"/>
                    </w:rPr>
                    <w:t>符合</w:t>
                  </w:r>
                </w:p>
              </w:tc>
            </w:tr>
            <w:tr w14:paraId="68551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continue"/>
                  <w:noWrap w:val="0"/>
                  <w:vAlign w:val="center"/>
                </w:tcPr>
                <w:p w14:paraId="4E205F4E">
                  <w:pPr>
                    <w:spacing w:line="320" w:lineRule="atLeast"/>
                    <w:jc w:val="center"/>
                  </w:pPr>
                </w:p>
              </w:tc>
              <w:tc>
                <w:tcPr>
                  <w:tcW w:w="4819" w:type="dxa"/>
                  <w:noWrap w:val="0"/>
                  <w:vAlign w:val="center"/>
                </w:tcPr>
                <w:p w14:paraId="49B5AA7A">
                  <w:pPr>
                    <w:pStyle w:val="205"/>
                    <w:spacing w:line="320" w:lineRule="atLeast"/>
                    <w:rPr>
                      <w:rFonts w:ascii="Times New Roman" w:hAnsi="Times New Roman" w:cs="Times New Roman"/>
                      <w:spacing w:val="-6"/>
                      <w:lang w:eastAsia="zh-CN"/>
                    </w:rPr>
                  </w:pPr>
                  <w:r>
                    <w:rPr>
                      <w:rFonts w:ascii="Times New Roman" w:hAnsi="Times New Roman" w:cs="Times New Roman"/>
                      <w:spacing w:val="-6"/>
                      <w:lang w:eastAsia="zh-CN"/>
                    </w:rPr>
                    <w:t>(二)</w:t>
                  </w:r>
                  <w:r>
                    <w:rPr>
                      <w:rFonts w:ascii="Times New Roman" w:hAnsi="Times New Roman" w:cs="Times New Roman"/>
                      <w:spacing w:val="-6"/>
                    </w:rPr>
                    <w:t>加快燃料清洁低碳化替代。</w:t>
                  </w:r>
                  <w:r>
                    <w:rPr>
                      <w:rFonts w:ascii="Times New Roman" w:hAnsi="Times New Roman" w:cs="Times New Roman"/>
                      <w:spacing w:val="-6"/>
                      <w:lang w:eastAsia="zh-CN"/>
                    </w:rPr>
                    <w:t>对以煤、石油焦、渣油、重油等为燃料的工业炉窑，加快使用清洁低碳能源以及利用工厂余热、电厂热力等进行替代。重点区域禁止掺烧高硫石油焦(硫含量大于3%)。玻璃行业全面禁止掺烧高硫石油焦。</w:t>
                  </w:r>
                </w:p>
              </w:tc>
              <w:tc>
                <w:tcPr>
                  <w:tcW w:w="1856" w:type="dxa"/>
                  <w:noWrap w:val="0"/>
                  <w:vAlign w:val="center"/>
                </w:tcPr>
                <w:p w14:paraId="1A40CBA9">
                  <w:pPr>
                    <w:pStyle w:val="205"/>
                    <w:spacing w:line="320" w:lineRule="atLeast"/>
                    <w:ind w:hanging="18"/>
                    <w:rPr>
                      <w:rFonts w:ascii="Times New Roman" w:hAnsi="Times New Roman" w:cs="Times New Roman"/>
                      <w:spacing w:val="3"/>
                      <w:lang w:eastAsia="zh-CN"/>
                    </w:rPr>
                  </w:pPr>
                  <w:r>
                    <w:rPr>
                      <w:rFonts w:ascii="Times New Roman" w:hAnsi="Times New Roman" w:cs="Times New Roman"/>
                      <w:spacing w:val="3"/>
                      <w:lang w:eastAsia="zh-CN"/>
                    </w:rPr>
                    <w:t>本项目利用煤矸石为燃料</w:t>
                  </w:r>
                </w:p>
              </w:tc>
              <w:tc>
                <w:tcPr>
                  <w:tcW w:w="620" w:type="dxa"/>
                  <w:noWrap w:val="0"/>
                  <w:vAlign w:val="center"/>
                </w:tcPr>
                <w:p w14:paraId="6E7BEF53">
                  <w:pPr>
                    <w:pStyle w:val="205"/>
                    <w:spacing w:line="320" w:lineRule="atLeast"/>
                    <w:jc w:val="center"/>
                    <w:rPr>
                      <w:rFonts w:ascii="Times New Roman" w:hAnsi="Times New Roman" w:cs="Times New Roman"/>
                      <w:spacing w:val="-3"/>
                      <w:lang w:eastAsia="zh-CN"/>
                    </w:rPr>
                  </w:pPr>
                </w:p>
              </w:tc>
            </w:tr>
            <w:tr w14:paraId="2D778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continue"/>
                  <w:noWrap w:val="0"/>
                  <w:vAlign w:val="center"/>
                </w:tcPr>
                <w:p w14:paraId="17CDB951">
                  <w:pPr>
                    <w:spacing w:line="320" w:lineRule="atLeast"/>
                    <w:jc w:val="center"/>
                  </w:pPr>
                </w:p>
              </w:tc>
              <w:tc>
                <w:tcPr>
                  <w:tcW w:w="4819" w:type="dxa"/>
                  <w:noWrap w:val="0"/>
                  <w:vAlign w:val="center"/>
                </w:tcPr>
                <w:p w14:paraId="336DA48F">
                  <w:pPr>
                    <w:pStyle w:val="205"/>
                    <w:spacing w:line="320" w:lineRule="atLeast"/>
                    <w:rPr>
                      <w:rFonts w:ascii="Times New Roman" w:hAnsi="Times New Roman" w:cs="Times New Roman"/>
                      <w:spacing w:val="-6"/>
                      <w:lang w:eastAsia="zh-CN"/>
                    </w:rPr>
                  </w:pPr>
                  <w:r>
                    <w:rPr>
                      <w:rFonts w:ascii="Times New Roman" w:hAnsi="Times New Roman" w:cs="Times New Roman"/>
                      <w:spacing w:val="-6"/>
                      <w:lang w:eastAsia="zh-CN"/>
                    </w:rPr>
                    <w:t>(三)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p w14:paraId="3C5534EE">
                  <w:pPr>
                    <w:pStyle w:val="205"/>
                    <w:spacing w:line="320" w:lineRule="atLeast"/>
                    <w:ind w:firstLine="396" w:firstLineChars="200"/>
                    <w:rPr>
                      <w:rFonts w:ascii="Times New Roman" w:hAnsi="Times New Roman" w:cs="Times New Roman"/>
                      <w:spacing w:val="-6"/>
                      <w:lang w:eastAsia="zh-CN"/>
                    </w:rPr>
                  </w:pPr>
                  <w:r>
                    <w:rPr>
                      <w:rFonts w:ascii="Times New Roman" w:hAnsi="Times New Roman" w:cs="Times New Roman"/>
                      <w:spacing w:val="-6"/>
                      <w:lang w:eastAsia="zh-CN"/>
                    </w:rPr>
                    <w:t>暂未制订行业排放标准的工业炉窑，包括铸造，日用玻璃，玻璃纤维、耐火材料、石灰、矿物棉等建材行业，钨、工业硅、金属冶炼废渣(灰)二次提取等有色金属行业，氮肥、电石、无机磷、活性炭等化工行业，应参照相关行业已出台的标准，全面加大污染治理力度，铸造行业烧结、高炉工序污染排放控制按照钢铁行业相关标准要求执行；重点区域原则上按照颗粒物、二氧化硫、氮氧化物排放限值分别不高于30、200、300毫克/立方米实施改造，其中，日用玻璃、玻璃棉氮氧化物排放限值不高于400毫克/立方米；已制定更严格地方排放标准的地区，执行地方排放标准。</w:t>
                  </w:r>
                </w:p>
              </w:tc>
              <w:tc>
                <w:tcPr>
                  <w:tcW w:w="1856" w:type="dxa"/>
                  <w:noWrap w:val="0"/>
                  <w:vAlign w:val="center"/>
                </w:tcPr>
                <w:p w14:paraId="3D0FA527">
                  <w:pPr>
                    <w:pStyle w:val="205"/>
                    <w:spacing w:line="320" w:lineRule="atLeast"/>
                    <w:ind w:hanging="18"/>
                    <w:rPr>
                      <w:rFonts w:ascii="Times New Roman" w:hAnsi="Times New Roman" w:cs="Times New Roman"/>
                      <w:spacing w:val="3"/>
                      <w:lang w:eastAsia="zh-CN"/>
                    </w:rPr>
                  </w:pPr>
                  <w:r>
                    <w:rPr>
                      <w:rFonts w:ascii="Times New Roman" w:hAnsi="Times New Roman" w:cs="Times New Roman"/>
                      <w:spacing w:val="3"/>
                      <w:lang w:eastAsia="zh-CN"/>
                    </w:rPr>
                    <w:t>本项目在原有废气基础上升级废气处理设施，</w:t>
                  </w:r>
                  <w:r>
                    <w:rPr>
                      <w:rFonts w:hint="eastAsia" w:ascii="Times New Roman" w:hAnsi="Times New Roman" w:cs="Times New Roman"/>
                      <w:spacing w:val="3"/>
                      <w:lang w:val="en-US" w:eastAsia="zh-CN"/>
                    </w:rPr>
                    <w:t>采用</w:t>
                  </w:r>
                  <w:r>
                    <w:rPr>
                      <w:rFonts w:hint="eastAsia" w:ascii="Times New Roman" w:hAnsi="Times New Roman" w:cs="Times New Roman"/>
                      <w:spacing w:val="3"/>
                      <w:lang w:eastAsia="zh-CN"/>
                    </w:rPr>
                    <w:t>新型负压排潮</w:t>
                  </w:r>
                  <w:r>
                    <w:rPr>
                      <w:rFonts w:hint="eastAsia" w:ascii="Times New Roman" w:hAnsi="Times New Roman" w:cs="Times New Roman"/>
                      <w:spacing w:val="3"/>
                      <w:lang w:val="en-US" w:eastAsia="zh-CN"/>
                    </w:rPr>
                    <w:t>技术，废气收集后经</w:t>
                  </w:r>
                  <w:r>
                    <w:rPr>
                      <w:rFonts w:ascii="Times New Roman" w:hAnsi="Times New Roman" w:cs="Times New Roman"/>
                      <w:spacing w:val="3"/>
                      <w:lang w:eastAsia="zh-CN"/>
                    </w:rPr>
                    <w:t>“</w:t>
                  </w:r>
                  <w:r>
                    <w:rPr>
                      <w:rFonts w:hint="eastAsia" w:ascii="Times New Roman" w:hAnsi="Times New Roman" w:cs="Times New Roman"/>
                      <w:spacing w:val="3"/>
                      <w:lang w:val="en-US" w:eastAsia="zh-CN"/>
                    </w:rPr>
                    <w:t>SNCR+</w:t>
                  </w:r>
                  <w:r>
                    <w:rPr>
                      <w:rFonts w:ascii="Times New Roman" w:hAnsi="Times New Roman" w:cs="Times New Roman"/>
                      <w:spacing w:val="3"/>
                      <w:lang w:eastAsia="zh-CN"/>
                    </w:rPr>
                    <w:t>石灰石-石膏法+湿电除尘”废气处理工艺，可满足安徽省《砖瓦工业大气污染物排放标准》(DB34/4362-2023)相关限值要求</w:t>
                  </w:r>
                </w:p>
              </w:tc>
              <w:tc>
                <w:tcPr>
                  <w:tcW w:w="620" w:type="dxa"/>
                  <w:noWrap w:val="0"/>
                  <w:vAlign w:val="center"/>
                </w:tcPr>
                <w:p w14:paraId="0B16036D">
                  <w:pPr>
                    <w:pStyle w:val="205"/>
                    <w:spacing w:line="320" w:lineRule="atLeast"/>
                    <w:jc w:val="center"/>
                    <w:rPr>
                      <w:rFonts w:ascii="Times New Roman" w:hAnsi="Times New Roman" w:cs="Times New Roman"/>
                      <w:spacing w:val="-3"/>
                      <w:lang w:eastAsia="zh-CN"/>
                    </w:rPr>
                  </w:pPr>
                </w:p>
              </w:tc>
            </w:tr>
            <w:tr w14:paraId="7D99D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continue"/>
                  <w:noWrap w:val="0"/>
                  <w:vAlign w:val="center"/>
                </w:tcPr>
                <w:p w14:paraId="7A85488E">
                  <w:pPr>
                    <w:spacing w:line="320" w:lineRule="atLeast"/>
                    <w:jc w:val="center"/>
                  </w:pPr>
                </w:p>
              </w:tc>
              <w:tc>
                <w:tcPr>
                  <w:tcW w:w="4819" w:type="dxa"/>
                  <w:noWrap w:val="0"/>
                  <w:vAlign w:val="center"/>
                </w:tcPr>
                <w:p w14:paraId="4F6E15AC">
                  <w:pPr>
                    <w:pStyle w:val="205"/>
                    <w:spacing w:line="320" w:lineRule="atLeast"/>
                    <w:rPr>
                      <w:rFonts w:ascii="Times New Roman" w:hAnsi="Times New Roman" w:cs="Times New Roman"/>
                      <w:spacing w:val="-6"/>
                      <w:lang w:eastAsia="zh-CN"/>
                    </w:rPr>
                  </w:pPr>
                  <w:r>
                    <w:rPr>
                      <w:rFonts w:ascii="Times New Roman" w:hAnsi="Times New Roman" w:cs="Times New Roman"/>
                      <w:spacing w:val="-6"/>
                      <w:lang w:eastAsia="zh-CN"/>
                    </w:rPr>
                    <w:t>全面加强无组织排放管理。严格控制工业炉窑生产工艺过程及相关物料储存、输送等无组织排放，在保障生产安全的前提下，采取密闭、封闭等有效措施(见附件5)，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1856" w:type="dxa"/>
                  <w:noWrap w:val="0"/>
                  <w:vAlign w:val="center"/>
                </w:tcPr>
                <w:p w14:paraId="4FC51E06">
                  <w:pPr>
                    <w:pStyle w:val="205"/>
                    <w:spacing w:line="320" w:lineRule="atLeast"/>
                    <w:ind w:hanging="18"/>
                    <w:rPr>
                      <w:rFonts w:ascii="Times New Roman" w:hAnsi="Times New Roman" w:cs="Times New Roman"/>
                      <w:spacing w:val="3"/>
                      <w:lang w:eastAsia="zh-CN"/>
                    </w:rPr>
                  </w:pPr>
                  <w:r>
                    <w:rPr>
                      <w:rFonts w:hint="eastAsia" w:ascii="Times New Roman" w:hAnsi="Times New Roman" w:cs="Times New Roman"/>
                      <w:spacing w:val="3"/>
                      <w:lang w:eastAsia="zh-CN"/>
                    </w:rPr>
                    <w:t>项目原料贮存于封闭原料库内，并配备喷雾抑尘设施。物料输送采用封闭皮带进行输送。</w:t>
                  </w:r>
                </w:p>
              </w:tc>
              <w:tc>
                <w:tcPr>
                  <w:tcW w:w="620" w:type="dxa"/>
                  <w:noWrap w:val="0"/>
                  <w:vAlign w:val="center"/>
                </w:tcPr>
                <w:p w14:paraId="4C8F18FD">
                  <w:pPr>
                    <w:pStyle w:val="205"/>
                    <w:spacing w:line="320" w:lineRule="atLeast"/>
                    <w:jc w:val="center"/>
                    <w:rPr>
                      <w:rFonts w:ascii="Times New Roman" w:hAnsi="Times New Roman" w:cs="Times New Roman"/>
                      <w:spacing w:val="-3"/>
                      <w:lang w:eastAsia="zh-CN"/>
                    </w:rPr>
                  </w:pPr>
                </w:p>
              </w:tc>
            </w:tr>
            <w:tr w14:paraId="6C346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restart"/>
                  <w:noWrap w:val="0"/>
                  <w:vAlign w:val="center"/>
                </w:tcPr>
                <w:p w14:paraId="66D26B3A">
                  <w:pPr>
                    <w:spacing w:line="320" w:lineRule="atLeast"/>
                    <w:jc w:val="center"/>
                  </w:pPr>
                  <w:r>
                    <w:t>《淮南市煤电工业固废物综合利用发展规划(2019—2021年)》(淮府办〔2019〕19号)</w:t>
                  </w:r>
                </w:p>
              </w:tc>
              <w:tc>
                <w:tcPr>
                  <w:tcW w:w="4819" w:type="dxa"/>
                  <w:noWrap w:val="0"/>
                  <w:vAlign w:val="center"/>
                </w:tcPr>
                <w:p w14:paraId="399362AA">
                  <w:pPr>
                    <w:spacing w:line="276" w:lineRule="auto"/>
                    <w:rPr>
                      <w:spacing w:val="-6"/>
                    </w:rPr>
                  </w:pPr>
                  <w:r>
                    <w:rPr>
                      <w:szCs w:val="21"/>
                      <w:shd w:val="clear" w:color="auto" w:fill="FFFFFF"/>
                    </w:rPr>
                    <w:t>重点发展技术：含白矸(硬岩)和黑矸(可燃煤矸石)的混杂煤矸石大规模低成本分选技术；煤矸石烧结砖、透水砖及烧结陶粒技术；煅烧混凝土骨料、制作水泥混合材、混凝土掺合料以及多种工业固废物掺配综合利用技术；煤矸石生产高强陶粒及装配式建筑构件等高附加值利用技术；煤矸石烧制彩瓦、陶瓷制品、防火材料、耐火材料、保温材料等技术；煤矸石生产土壤调理剂、矿(岩)棉、无机复合肥、微晶材料、白炭黑(填料)等高精尖综合利用技术。</w:t>
                  </w:r>
                </w:p>
              </w:tc>
              <w:tc>
                <w:tcPr>
                  <w:tcW w:w="1856" w:type="dxa"/>
                  <w:noWrap w:val="0"/>
                  <w:vAlign w:val="center"/>
                </w:tcPr>
                <w:p w14:paraId="4157804A">
                  <w:pPr>
                    <w:spacing w:line="276" w:lineRule="auto"/>
                    <w:jc w:val="center"/>
                    <w:rPr>
                      <w:spacing w:val="3"/>
                    </w:rPr>
                  </w:pPr>
                  <w:r>
                    <w:rPr>
                      <w:szCs w:val="21"/>
                    </w:rPr>
                    <w:t>本项目使用煤矸石为主要原料，进行煤矸石烧结砖生产，为重点发展技术</w:t>
                  </w:r>
                </w:p>
              </w:tc>
              <w:tc>
                <w:tcPr>
                  <w:tcW w:w="620" w:type="dxa"/>
                  <w:noWrap w:val="0"/>
                  <w:vAlign w:val="center"/>
                </w:tcPr>
                <w:p w14:paraId="2B757CBC">
                  <w:pPr>
                    <w:spacing w:line="276" w:lineRule="auto"/>
                    <w:jc w:val="center"/>
                    <w:rPr>
                      <w:spacing w:val="-3"/>
                    </w:rPr>
                  </w:pPr>
                  <w:r>
                    <w:rPr>
                      <w:szCs w:val="21"/>
                    </w:rPr>
                    <w:t>符合</w:t>
                  </w:r>
                </w:p>
              </w:tc>
            </w:tr>
            <w:tr w14:paraId="41D4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continue"/>
                  <w:noWrap w:val="0"/>
                  <w:vAlign w:val="center"/>
                </w:tcPr>
                <w:p w14:paraId="770767B4">
                  <w:pPr>
                    <w:spacing w:line="320" w:lineRule="atLeast"/>
                    <w:jc w:val="center"/>
                  </w:pPr>
                </w:p>
              </w:tc>
              <w:tc>
                <w:tcPr>
                  <w:tcW w:w="4819" w:type="dxa"/>
                  <w:noWrap w:val="0"/>
                  <w:vAlign w:val="center"/>
                </w:tcPr>
                <w:p w14:paraId="53DDC2A5">
                  <w:pPr>
                    <w:spacing w:line="276" w:lineRule="auto"/>
                    <w:jc w:val="center"/>
                    <w:rPr>
                      <w:spacing w:val="-6"/>
                    </w:rPr>
                  </w:pPr>
                  <w:r>
                    <w:rPr>
                      <w:szCs w:val="21"/>
                      <w:shd w:val="clear" w:color="auto" w:fill="FFFFFF"/>
                    </w:rPr>
                    <w:t>支持固废利用绿色制造项目，落实资源综合利用奖励政策。重点鼓励和支持企业对煤矸石、粉煤灰、脱硫石膏等大宗工业固废物进行综合利用，通过绿色制造生产高附加值产品，力争把工信部的工业绿色制造专项资金用于园区和重点项目建设，同时全力帮助综合利用企业进行绿色产品认定、资源综合利用认定。</w:t>
                  </w:r>
                </w:p>
              </w:tc>
              <w:tc>
                <w:tcPr>
                  <w:tcW w:w="1856" w:type="dxa"/>
                  <w:noWrap w:val="0"/>
                  <w:vAlign w:val="center"/>
                </w:tcPr>
                <w:p w14:paraId="4027DFC1">
                  <w:pPr>
                    <w:spacing w:line="276" w:lineRule="auto"/>
                    <w:rPr>
                      <w:spacing w:val="3"/>
                    </w:rPr>
                  </w:pPr>
                  <w:r>
                    <w:rPr>
                      <w:szCs w:val="21"/>
                    </w:rPr>
                    <w:t>本项目使用原料为煤矸石、建筑渣土等，项目的生产有利于区域内大宗固体废物的综合利用</w:t>
                  </w:r>
                </w:p>
              </w:tc>
              <w:tc>
                <w:tcPr>
                  <w:tcW w:w="620" w:type="dxa"/>
                  <w:noWrap w:val="0"/>
                  <w:vAlign w:val="center"/>
                </w:tcPr>
                <w:p w14:paraId="0CAE8ED0">
                  <w:pPr>
                    <w:spacing w:line="276" w:lineRule="auto"/>
                    <w:jc w:val="center"/>
                    <w:rPr>
                      <w:spacing w:val="-3"/>
                    </w:rPr>
                  </w:pPr>
                  <w:r>
                    <w:rPr>
                      <w:szCs w:val="21"/>
                    </w:rPr>
                    <w:t>符合</w:t>
                  </w:r>
                </w:p>
              </w:tc>
            </w:tr>
            <w:tr w14:paraId="06E0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noWrap w:val="0"/>
                  <w:vAlign w:val="center"/>
                </w:tcPr>
                <w:p w14:paraId="64B6AD3C">
                  <w:pPr>
                    <w:spacing w:line="320" w:lineRule="atLeast"/>
                    <w:jc w:val="center"/>
                    <w:rPr>
                      <w:rFonts w:hint="eastAsia" w:eastAsia="宋体"/>
                      <w:lang w:eastAsia="zh-CN"/>
                    </w:rPr>
                  </w:pPr>
                  <w:r>
                    <w:rPr>
                      <w:rFonts w:hint="eastAsia"/>
                      <w:lang w:eastAsia="zh-CN"/>
                    </w:rPr>
                    <w:t>《关于加强高耗能、高排放建设项目生态环境源头防控的指导意见》（环环评〔2021〕45号）</w:t>
                  </w:r>
                </w:p>
              </w:tc>
              <w:tc>
                <w:tcPr>
                  <w:tcW w:w="4819" w:type="dxa"/>
                  <w:noWrap w:val="0"/>
                  <w:vAlign w:val="center"/>
                </w:tcPr>
                <w:p w14:paraId="5EB34D0A">
                  <w:pPr>
                    <w:spacing w:line="276" w:lineRule="auto"/>
                    <w:jc w:val="center"/>
                    <w:rPr>
                      <w:szCs w:val="21"/>
                      <w:shd w:val="clear" w:color="auto" w:fill="FFFFFF"/>
                    </w:rPr>
                  </w:pPr>
                  <w:r>
                    <w:rPr>
                      <w:rFonts w:hint="eastAsia"/>
                      <w:szCs w:val="21"/>
                      <w:shd w:val="clear" w:color="auto" w:fill="FFFFFF"/>
                    </w:rPr>
                    <w:t>严把建设项目环境准入关。新建、改建、扩建“两高”项目须符合生态环境保护法律法规和相关法定规划，满足重点污染物排放总量控制、碳排放达峰目标、生态环境准入清单、相关规划环评和相应行业建设项目环境准入条件、环评文件审批原则要求。石化、现代煤化工项目应纳入国家产业规划。新建、扩建石化、化工、焦化、有色金属冶炼、平板玻璃项目应布设在依法合规设立并经规划环评的产业园区。各级生态环境部门和行政审批部门要严格把关，对于不符合相关法律法规的，依法不予审批。</w:t>
                  </w:r>
                </w:p>
              </w:tc>
              <w:tc>
                <w:tcPr>
                  <w:tcW w:w="1856" w:type="dxa"/>
                  <w:noWrap w:val="0"/>
                  <w:vAlign w:val="center"/>
                </w:tcPr>
                <w:p w14:paraId="054C1813">
                  <w:pPr>
                    <w:spacing w:line="276" w:lineRule="auto"/>
                    <w:rPr>
                      <w:rFonts w:hint="default"/>
                      <w:szCs w:val="21"/>
                      <w:lang w:val="en-US"/>
                    </w:rPr>
                  </w:pPr>
                  <w:r>
                    <w:rPr>
                      <w:rFonts w:hint="eastAsia"/>
                      <w:szCs w:val="21"/>
                      <w:shd w:val="clear" w:color="auto" w:fill="FFFFFF"/>
                      <w:lang w:val="en-US" w:eastAsia="zh-CN"/>
                    </w:rPr>
                    <w:t>根据《安徽省“两高”项目管理目录（试行）》，明确粘土砖瓦及建筑砌块制造（行业小类代码3031）中的烧结砖瓦属于“两高”项目，不包括资源综合利用项目。本项目利用固废煤矸石为原料，不属于两高项目。</w:t>
                  </w:r>
                </w:p>
              </w:tc>
              <w:tc>
                <w:tcPr>
                  <w:tcW w:w="620" w:type="dxa"/>
                  <w:noWrap w:val="0"/>
                  <w:vAlign w:val="center"/>
                </w:tcPr>
                <w:p w14:paraId="0DD3DA50">
                  <w:pPr>
                    <w:spacing w:line="276" w:lineRule="auto"/>
                    <w:jc w:val="center"/>
                    <w:rPr>
                      <w:rFonts w:hint="eastAsia" w:eastAsia="宋体"/>
                      <w:szCs w:val="21"/>
                      <w:lang w:val="en-US" w:eastAsia="zh-CN"/>
                    </w:rPr>
                  </w:pPr>
                  <w:r>
                    <w:rPr>
                      <w:rFonts w:hint="eastAsia"/>
                      <w:szCs w:val="21"/>
                      <w:lang w:val="en-US" w:eastAsia="zh-CN"/>
                    </w:rPr>
                    <w:t>符合</w:t>
                  </w:r>
                </w:p>
              </w:tc>
            </w:tr>
            <w:tr w14:paraId="5A8F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restart"/>
                  <w:noWrap w:val="0"/>
                  <w:vAlign w:val="center"/>
                </w:tcPr>
                <w:p w14:paraId="660027CB">
                  <w:pPr>
                    <w:spacing w:line="320" w:lineRule="atLeast"/>
                    <w:jc w:val="center"/>
                    <w:rPr>
                      <w:rFonts w:hint="eastAsia"/>
                    </w:rPr>
                  </w:pPr>
                  <w:r>
                    <w:rPr>
                      <w:rFonts w:hint="eastAsia"/>
                      <w:lang w:eastAsia="zh-CN"/>
                    </w:rPr>
                    <w:t>《</w:t>
                  </w:r>
                  <w:r>
                    <w:rPr>
                      <w:rFonts w:hint="eastAsia"/>
                    </w:rPr>
                    <w:t>煤矸石综合利用管理办法</w:t>
                  </w:r>
                  <w:r>
                    <w:rPr>
                      <w:rFonts w:hint="eastAsia"/>
                      <w:lang w:eastAsia="zh-CN"/>
                    </w:rPr>
                    <w:t>》</w:t>
                  </w:r>
                </w:p>
                <w:p w14:paraId="2EBDE556">
                  <w:pPr>
                    <w:spacing w:line="320" w:lineRule="atLeast"/>
                    <w:jc w:val="center"/>
                  </w:pPr>
                  <w:r>
                    <w:rPr>
                      <w:rFonts w:hint="eastAsia"/>
                    </w:rPr>
                    <w:t>(2014年修订版)</w:t>
                  </w:r>
                </w:p>
              </w:tc>
              <w:tc>
                <w:tcPr>
                  <w:tcW w:w="4819" w:type="dxa"/>
                  <w:noWrap w:val="0"/>
                  <w:vAlign w:val="center"/>
                </w:tcPr>
                <w:p w14:paraId="4E8D7005">
                  <w:pPr>
                    <w:spacing w:line="276" w:lineRule="auto"/>
                    <w:jc w:val="both"/>
                    <w:rPr>
                      <w:rFonts w:hint="eastAsia"/>
                      <w:szCs w:val="21"/>
                      <w:shd w:val="clear" w:color="auto" w:fill="FFFFFF"/>
                    </w:rPr>
                  </w:pPr>
                  <w:r>
                    <w:rPr>
                      <w:rFonts w:hint="eastAsia"/>
                      <w:szCs w:val="21"/>
                      <w:shd w:val="clear" w:color="auto" w:fill="FFFFFF"/>
                    </w:rPr>
                    <w:t>第十六条 下列产品和工程项目，应当符合国家或行业有关质量、环境、节能和安全标准：</w:t>
                  </w:r>
                </w:p>
                <w:p w14:paraId="2AEFC319">
                  <w:pPr>
                    <w:spacing w:line="276" w:lineRule="auto"/>
                    <w:jc w:val="both"/>
                    <w:rPr>
                      <w:rFonts w:hint="eastAsia"/>
                      <w:szCs w:val="21"/>
                      <w:shd w:val="clear" w:color="auto" w:fill="FFFFFF"/>
                    </w:rPr>
                  </w:pPr>
                  <w:r>
                    <w:rPr>
                      <w:rFonts w:hint="eastAsia"/>
                      <w:szCs w:val="21"/>
                      <w:shd w:val="clear" w:color="auto" w:fill="FFFFFF"/>
                    </w:rPr>
                    <w:t>（一）利用煤矸石生产的建筑材料或其他与煤矸石综合利用相关的产品；</w:t>
                  </w:r>
                </w:p>
                <w:p w14:paraId="5CF18BC8">
                  <w:pPr>
                    <w:spacing w:line="276" w:lineRule="auto"/>
                    <w:jc w:val="both"/>
                    <w:rPr>
                      <w:rFonts w:hint="eastAsia"/>
                      <w:szCs w:val="21"/>
                      <w:shd w:val="clear" w:color="auto" w:fill="FFFFFF"/>
                    </w:rPr>
                  </w:pPr>
                  <w:r>
                    <w:rPr>
                      <w:rFonts w:hint="eastAsia"/>
                      <w:szCs w:val="21"/>
                      <w:shd w:val="clear" w:color="auto" w:fill="FFFFFF"/>
                    </w:rPr>
                    <w:t>（二）煤矸石井下充填置换工程；</w:t>
                  </w:r>
                </w:p>
                <w:p w14:paraId="0115A713">
                  <w:pPr>
                    <w:spacing w:line="276" w:lineRule="auto"/>
                    <w:jc w:val="both"/>
                    <w:rPr>
                      <w:rFonts w:hint="eastAsia"/>
                      <w:szCs w:val="21"/>
                      <w:shd w:val="clear" w:color="auto" w:fill="FFFFFF"/>
                    </w:rPr>
                  </w:pPr>
                  <w:r>
                    <w:rPr>
                      <w:rFonts w:hint="eastAsia"/>
                      <w:szCs w:val="21"/>
                      <w:shd w:val="clear" w:color="auto" w:fill="FFFFFF"/>
                    </w:rPr>
                    <w:t>（三）利用煤矸石或制品的建筑、道路等工程；</w:t>
                  </w:r>
                </w:p>
                <w:p w14:paraId="5695CCFD">
                  <w:pPr>
                    <w:spacing w:line="276" w:lineRule="auto"/>
                    <w:jc w:val="both"/>
                    <w:rPr>
                      <w:szCs w:val="21"/>
                      <w:shd w:val="clear" w:color="auto" w:fill="FFFFFF"/>
                    </w:rPr>
                  </w:pPr>
                  <w:r>
                    <w:rPr>
                      <w:rFonts w:hint="eastAsia"/>
                      <w:szCs w:val="21"/>
                      <w:shd w:val="clear" w:color="auto" w:fill="FFFFFF"/>
                    </w:rPr>
                    <w:t>（四）其他与煤矸石综合利用相关的工程项目。</w:t>
                  </w:r>
                </w:p>
              </w:tc>
              <w:tc>
                <w:tcPr>
                  <w:tcW w:w="1856" w:type="dxa"/>
                  <w:noWrap w:val="0"/>
                  <w:vAlign w:val="center"/>
                </w:tcPr>
                <w:p w14:paraId="0431C210">
                  <w:pPr>
                    <w:spacing w:line="276" w:lineRule="auto"/>
                    <w:jc w:val="left"/>
                    <w:rPr>
                      <w:rFonts w:hint="default" w:eastAsia="宋体"/>
                      <w:szCs w:val="21"/>
                      <w:lang w:val="en-US" w:eastAsia="zh-CN"/>
                    </w:rPr>
                  </w:pPr>
                  <w:r>
                    <w:rPr>
                      <w:rFonts w:hint="eastAsia"/>
                      <w:szCs w:val="21"/>
                      <w:shd w:val="clear" w:color="auto" w:fill="FFFFFF"/>
                      <w:lang w:val="en-US" w:eastAsia="zh-CN"/>
                    </w:rPr>
                    <w:t>本项目属于</w:t>
                  </w:r>
                  <w:r>
                    <w:rPr>
                      <w:rFonts w:hint="eastAsia"/>
                      <w:szCs w:val="21"/>
                      <w:shd w:val="clear" w:color="auto" w:fill="FFFFFF"/>
                    </w:rPr>
                    <w:t>利用煤矸石生产的建筑材料</w:t>
                  </w:r>
                  <w:r>
                    <w:rPr>
                      <w:rFonts w:hint="eastAsia"/>
                      <w:szCs w:val="21"/>
                      <w:shd w:val="clear" w:color="auto" w:fill="FFFFFF"/>
                      <w:lang w:eastAsia="zh-CN"/>
                    </w:rPr>
                    <w:t>，</w:t>
                  </w:r>
                  <w:r>
                    <w:rPr>
                      <w:rFonts w:hint="eastAsia"/>
                      <w:szCs w:val="21"/>
                      <w:shd w:val="clear" w:color="auto" w:fill="FFFFFF"/>
                      <w:lang w:val="en-US" w:eastAsia="zh-CN"/>
                    </w:rPr>
                    <w:t>烧结砖产品质量标准执行《烧结普通砖》(GB/T5101-2017)</w:t>
                  </w:r>
                </w:p>
              </w:tc>
              <w:tc>
                <w:tcPr>
                  <w:tcW w:w="620" w:type="dxa"/>
                  <w:noWrap w:val="0"/>
                  <w:vAlign w:val="center"/>
                </w:tcPr>
                <w:p w14:paraId="7B04E495">
                  <w:pPr>
                    <w:spacing w:line="276" w:lineRule="auto"/>
                    <w:jc w:val="center"/>
                    <w:rPr>
                      <w:szCs w:val="21"/>
                    </w:rPr>
                  </w:pPr>
                  <w:r>
                    <w:rPr>
                      <w:rFonts w:hint="eastAsia"/>
                      <w:szCs w:val="21"/>
                      <w:lang w:val="en-US" w:eastAsia="zh-CN"/>
                    </w:rPr>
                    <w:t>符合</w:t>
                  </w:r>
                </w:p>
              </w:tc>
            </w:tr>
            <w:tr w14:paraId="22E41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943" w:type="dxa"/>
                  <w:vMerge w:val="continue"/>
                  <w:tcBorders>
                    <w:bottom w:val="single" w:color="auto" w:sz="4" w:space="0"/>
                  </w:tcBorders>
                  <w:noWrap w:val="0"/>
                  <w:vAlign w:val="center"/>
                </w:tcPr>
                <w:p w14:paraId="6ED406BC">
                  <w:pPr>
                    <w:spacing w:line="320" w:lineRule="atLeast"/>
                    <w:jc w:val="center"/>
                  </w:pPr>
                </w:p>
              </w:tc>
              <w:tc>
                <w:tcPr>
                  <w:tcW w:w="4819" w:type="dxa"/>
                  <w:tcBorders>
                    <w:bottom w:val="single" w:color="auto" w:sz="4" w:space="0"/>
                  </w:tcBorders>
                  <w:noWrap w:val="0"/>
                  <w:vAlign w:val="center"/>
                </w:tcPr>
                <w:p w14:paraId="3C4C6945">
                  <w:pPr>
                    <w:spacing w:line="276" w:lineRule="auto"/>
                    <w:jc w:val="both"/>
                    <w:rPr>
                      <w:rFonts w:hint="eastAsia"/>
                      <w:szCs w:val="21"/>
                      <w:shd w:val="clear" w:color="auto" w:fill="FFFFFF"/>
                    </w:rPr>
                  </w:pPr>
                  <w:r>
                    <w:rPr>
                      <w:rFonts w:hint="eastAsia"/>
                      <w:szCs w:val="21"/>
                      <w:shd w:val="clear" w:color="auto" w:fill="FFFFFF"/>
                    </w:rPr>
                    <w:t>第十七条 国家鼓励煤矸石大宗利用和高附加值利用：</w:t>
                  </w:r>
                </w:p>
                <w:p w14:paraId="52442ADA">
                  <w:pPr>
                    <w:spacing w:line="276" w:lineRule="auto"/>
                    <w:jc w:val="both"/>
                    <w:rPr>
                      <w:rFonts w:hint="eastAsia"/>
                      <w:szCs w:val="21"/>
                      <w:shd w:val="clear" w:color="auto" w:fill="FFFFFF"/>
                    </w:rPr>
                  </w:pPr>
                  <w:r>
                    <w:rPr>
                      <w:rFonts w:hint="eastAsia"/>
                      <w:szCs w:val="21"/>
                      <w:shd w:val="clear" w:color="auto" w:fill="FFFFFF"/>
                    </w:rPr>
                    <w:t>（一）煤矸石井下充填；</w:t>
                  </w:r>
                </w:p>
                <w:p w14:paraId="745E6D2C">
                  <w:pPr>
                    <w:spacing w:line="276" w:lineRule="auto"/>
                    <w:jc w:val="both"/>
                    <w:rPr>
                      <w:rFonts w:hint="eastAsia"/>
                      <w:szCs w:val="21"/>
                      <w:shd w:val="clear" w:color="auto" w:fill="FFFFFF"/>
                    </w:rPr>
                  </w:pPr>
                  <w:r>
                    <w:rPr>
                      <w:rFonts w:hint="eastAsia"/>
                      <w:szCs w:val="21"/>
                      <w:shd w:val="clear" w:color="auto" w:fill="FFFFFF"/>
                    </w:rPr>
                    <w:t>（二）煤矸石循环流化床发电和热电联产；</w:t>
                  </w:r>
                </w:p>
                <w:p w14:paraId="6E711310">
                  <w:pPr>
                    <w:spacing w:line="276" w:lineRule="auto"/>
                    <w:jc w:val="both"/>
                    <w:rPr>
                      <w:rFonts w:hint="eastAsia"/>
                      <w:szCs w:val="21"/>
                      <w:shd w:val="clear" w:color="auto" w:fill="FFFFFF"/>
                    </w:rPr>
                  </w:pPr>
                  <w:r>
                    <w:rPr>
                      <w:rFonts w:hint="eastAsia"/>
                      <w:szCs w:val="21"/>
                      <w:shd w:val="clear" w:color="auto" w:fill="FFFFFF"/>
                    </w:rPr>
                    <w:t>（三）煤矸石生产建筑材料；</w:t>
                  </w:r>
                </w:p>
                <w:p w14:paraId="6A3CD364">
                  <w:pPr>
                    <w:spacing w:line="276" w:lineRule="auto"/>
                    <w:jc w:val="both"/>
                    <w:rPr>
                      <w:rFonts w:hint="eastAsia"/>
                      <w:szCs w:val="21"/>
                      <w:shd w:val="clear" w:color="auto" w:fill="FFFFFF"/>
                    </w:rPr>
                  </w:pPr>
                  <w:r>
                    <w:rPr>
                      <w:rFonts w:hint="eastAsia"/>
                      <w:szCs w:val="21"/>
                      <w:shd w:val="clear" w:color="auto" w:fill="FFFFFF"/>
                    </w:rPr>
                    <w:t>（四）从煤矸石中回收矿产品；</w:t>
                  </w:r>
                </w:p>
                <w:p w14:paraId="7127EE8A">
                  <w:pPr>
                    <w:spacing w:line="276" w:lineRule="auto"/>
                    <w:jc w:val="both"/>
                    <w:rPr>
                      <w:rFonts w:hint="eastAsia"/>
                      <w:szCs w:val="21"/>
                      <w:shd w:val="clear" w:color="auto" w:fill="FFFFFF"/>
                    </w:rPr>
                  </w:pPr>
                  <w:r>
                    <w:rPr>
                      <w:rFonts w:hint="eastAsia"/>
                      <w:szCs w:val="21"/>
                      <w:shd w:val="clear" w:color="auto" w:fill="FFFFFF"/>
                    </w:rPr>
                    <w:t>（五）煤矸石土地复垦及矸石山生态环境恢复；</w:t>
                  </w:r>
                </w:p>
                <w:p w14:paraId="07BA5EEB">
                  <w:pPr>
                    <w:spacing w:line="276" w:lineRule="auto"/>
                    <w:jc w:val="both"/>
                    <w:rPr>
                      <w:szCs w:val="21"/>
                      <w:shd w:val="clear" w:color="auto" w:fill="FFFFFF"/>
                    </w:rPr>
                  </w:pPr>
                  <w:r>
                    <w:rPr>
                      <w:rFonts w:hint="eastAsia"/>
                      <w:szCs w:val="21"/>
                      <w:shd w:val="clear" w:color="auto" w:fill="FFFFFF"/>
                    </w:rPr>
                    <w:t>（六）其他大宗、高附加值利用方式。</w:t>
                  </w:r>
                </w:p>
              </w:tc>
              <w:tc>
                <w:tcPr>
                  <w:tcW w:w="1856" w:type="dxa"/>
                  <w:noWrap w:val="0"/>
                  <w:vAlign w:val="center"/>
                </w:tcPr>
                <w:p w14:paraId="4ACCDC33">
                  <w:pPr>
                    <w:spacing w:line="276" w:lineRule="auto"/>
                    <w:rPr>
                      <w:rFonts w:hint="default" w:eastAsia="宋体"/>
                      <w:szCs w:val="21"/>
                      <w:lang w:val="en-US" w:eastAsia="zh-CN"/>
                    </w:rPr>
                  </w:pPr>
                  <w:r>
                    <w:rPr>
                      <w:rFonts w:hint="eastAsia"/>
                      <w:szCs w:val="21"/>
                      <w:shd w:val="clear" w:color="auto" w:fill="FFFFFF"/>
                      <w:lang w:val="en-US" w:eastAsia="zh-CN"/>
                    </w:rPr>
                    <w:t>本项目属于</w:t>
                  </w:r>
                  <w:r>
                    <w:rPr>
                      <w:rFonts w:hint="eastAsia"/>
                      <w:szCs w:val="21"/>
                      <w:shd w:val="clear" w:color="auto" w:fill="FFFFFF"/>
                    </w:rPr>
                    <w:t>煤矸石生产建筑材料；</w:t>
                  </w:r>
                  <w:r>
                    <w:rPr>
                      <w:rFonts w:hint="eastAsia"/>
                      <w:szCs w:val="21"/>
                      <w:shd w:val="clear" w:color="auto" w:fill="FFFFFF"/>
                      <w:lang w:val="en-US" w:eastAsia="zh-CN"/>
                    </w:rPr>
                    <w:t>为国家鼓励类项目</w:t>
                  </w:r>
                </w:p>
              </w:tc>
              <w:tc>
                <w:tcPr>
                  <w:tcW w:w="620" w:type="dxa"/>
                  <w:noWrap w:val="0"/>
                  <w:vAlign w:val="center"/>
                </w:tcPr>
                <w:p w14:paraId="1EDBF02C">
                  <w:pPr>
                    <w:spacing w:line="276" w:lineRule="auto"/>
                    <w:jc w:val="center"/>
                    <w:rPr>
                      <w:szCs w:val="21"/>
                    </w:rPr>
                  </w:pPr>
                  <w:r>
                    <w:rPr>
                      <w:rFonts w:hint="eastAsia"/>
                      <w:szCs w:val="21"/>
                      <w:lang w:val="en-US" w:eastAsia="zh-CN"/>
                    </w:rPr>
                    <w:t>符合</w:t>
                  </w:r>
                </w:p>
              </w:tc>
            </w:tr>
          </w:tbl>
          <w:p w14:paraId="36F283B7">
            <w:pPr>
              <w:autoSpaceDE w:val="0"/>
              <w:autoSpaceDN w:val="0"/>
              <w:adjustRightInd w:val="0"/>
              <w:snapToGrid w:val="0"/>
              <w:rPr>
                <w:kern w:val="0"/>
                <w:szCs w:val="21"/>
              </w:rPr>
            </w:pPr>
          </w:p>
          <w:p w14:paraId="2157C762">
            <w:pPr>
              <w:autoSpaceDE w:val="0"/>
              <w:autoSpaceDN w:val="0"/>
              <w:adjustRightInd w:val="0"/>
              <w:snapToGrid w:val="0"/>
              <w:rPr>
                <w:rFonts w:hint="eastAsia"/>
                <w:kern w:val="0"/>
                <w:szCs w:val="21"/>
              </w:rPr>
            </w:pPr>
          </w:p>
          <w:p w14:paraId="23827678">
            <w:pPr>
              <w:keepNext w:val="0"/>
              <w:keepLines w:val="0"/>
              <w:pageBreakBefore w:val="0"/>
              <w:widowControl w:val="0"/>
              <w:kinsoku/>
              <w:wordWrap/>
              <w:overflowPunct/>
              <w:topLinePunct w:val="0"/>
              <w:autoSpaceDE w:val="0"/>
              <w:autoSpaceDN w:val="0"/>
              <w:bidi w:val="0"/>
              <w:adjustRightInd w:val="0"/>
              <w:snapToGrid w:val="0"/>
              <w:spacing w:line="480" w:lineRule="exact"/>
              <w:textAlignment w:val="auto"/>
              <w:rPr>
                <w:rFonts w:hint="eastAsia" w:ascii="黑体" w:hAnsi="黑体" w:eastAsia="黑体" w:cs="黑体"/>
                <w:kern w:val="0"/>
                <w:sz w:val="24"/>
                <w:szCs w:val="24"/>
                <w:lang w:val="en-US"/>
              </w:rPr>
            </w:pPr>
            <w:r>
              <w:rPr>
                <w:rFonts w:hint="eastAsia" w:ascii="黑体" w:hAnsi="黑体" w:eastAsia="黑体" w:cs="黑体"/>
                <w:kern w:val="0"/>
                <w:sz w:val="24"/>
                <w:szCs w:val="24"/>
                <w:lang w:val="en-US" w:eastAsia="zh-CN"/>
              </w:rPr>
              <w:t>5、与《</w:t>
            </w:r>
            <w:r>
              <w:rPr>
                <w:rFonts w:hint="eastAsia" w:ascii="黑体" w:hAnsi="黑体" w:eastAsia="黑体" w:cs="黑体"/>
                <w:kern w:val="0"/>
                <w:sz w:val="24"/>
                <w:szCs w:val="24"/>
              </w:rPr>
              <w:t>生态环境部重污染天气重点行业绩效分级及减排措施</w:t>
            </w:r>
            <w:r>
              <w:rPr>
                <w:rFonts w:hint="eastAsia" w:ascii="黑体" w:hAnsi="黑体" w:eastAsia="黑体" w:cs="黑体"/>
                <w:kern w:val="0"/>
                <w:sz w:val="24"/>
                <w:szCs w:val="24"/>
                <w:lang w:val="en-US" w:eastAsia="zh-CN"/>
              </w:rPr>
              <w:t>》相符性分析</w:t>
            </w:r>
          </w:p>
          <w:p w14:paraId="29BAAB3B">
            <w:pPr>
              <w:keepNext w:val="0"/>
              <w:keepLines w:val="0"/>
              <w:pageBreakBefore w:val="0"/>
              <w:widowControl w:val="0"/>
              <w:kinsoku/>
              <w:wordWrap/>
              <w:overflowPunct/>
              <w:topLinePunct w:val="0"/>
              <w:autoSpaceDE w:val="0"/>
              <w:autoSpaceDN w:val="0"/>
              <w:bidi w:val="0"/>
              <w:adjustRightInd w:val="0"/>
              <w:snapToGrid w:val="0"/>
              <w:spacing w:line="480" w:lineRule="exact"/>
              <w:textAlignment w:val="auto"/>
              <w:rPr>
                <w:rFonts w:hint="default" w:eastAsia="宋体"/>
                <w:kern w:val="0"/>
                <w:sz w:val="24"/>
                <w:szCs w:val="24"/>
                <w:lang w:val="en-US" w:eastAsia="zh-CN"/>
              </w:rPr>
            </w:pPr>
            <w:r>
              <w:rPr>
                <w:rFonts w:hint="eastAsia"/>
                <w:kern w:val="0"/>
                <w:sz w:val="24"/>
                <w:szCs w:val="24"/>
                <w:lang w:val="en-US" w:eastAsia="zh-CN"/>
              </w:rPr>
              <w:t xml:space="preserve">  本项目建成后与《生态环境部重污染天气重点行业绩效分级及减排措施》相符性分析如下：</w:t>
            </w:r>
          </w:p>
          <w:p w14:paraId="40F1874B">
            <w:pPr>
              <w:autoSpaceDE w:val="0"/>
              <w:autoSpaceDN w:val="0"/>
              <w:adjustRightInd w:val="0"/>
              <w:snapToGrid w:val="0"/>
              <w:rPr>
                <w:rFonts w:hint="eastAsia"/>
                <w:kern w:val="0"/>
                <w:szCs w:val="21"/>
              </w:rPr>
            </w:pPr>
          </w:p>
          <w:p w14:paraId="217C2C28">
            <w:pPr>
              <w:autoSpaceDE w:val="0"/>
              <w:autoSpaceDN w:val="0"/>
              <w:adjustRightInd w:val="0"/>
              <w:snapToGrid w:val="0"/>
              <w:rPr>
                <w:rFonts w:hint="eastAsia"/>
                <w:kern w:val="0"/>
                <w:szCs w:val="21"/>
              </w:rPr>
            </w:pPr>
          </w:p>
          <w:p w14:paraId="2442C482">
            <w:pPr>
              <w:autoSpaceDE w:val="0"/>
              <w:autoSpaceDN w:val="0"/>
              <w:adjustRightInd w:val="0"/>
              <w:snapToGrid w:val="0"/>
              <w:rPr>
                <w:rFonts w:hint="eastAsia"/>
                <w:kern w:val="0"/>
                <w:szCs w:val="21"/>
              </w:rPr>
            </w:pPr>
          </w:p>
          <w:p w14:paraId="771F1573">
            <w:pPr>
              <w:autoSpaceDE w:val="0"/>
              <w:autoSpaceDN w:val="0"/>
              <w:adjustRightInd w:val="0"/>
              <w:snapToGrid w:val="0"/>
              <w:rPr>
                <w:rFonts w:hint="eastAsia"/>
                <w:kern w:val="0"/>
                <w:szCs w:val="21"/>
              </w:rPr>
            </w:pPr>
          </w:p>
          <w:p w14:paraId="7DC55C29">
            <w:pPr>
              <w:autoSpaceDE w:val="0"/>
              <w:autoSpaceDN w:val="0"/>
              <w:adjustRightInd w:val="0"/>
              <w:snapToGrid w:val="0"/>
              <w:rPr>
                <w:rFonts w:hint="eastAsia"/>
                <w:kern w:val="0"/>
                <w:szCs w:val="21"/>
              </w:rPr>
            </w:pPr>
          </w:p>
          <w:p w14:paraId="473B7947">
            <w:pPr>
              <w:autoSpaceDE w:val="0"/>
              <w:autoSpaceDN w:val="0"/>
              <w:adjustRightInd w:val="0"/>
              <w:snapToGrid w:val="0"/>
              <w:rPr>
                <w:kern w:val="0"/>
                <w:szCs w:val="21"/>
              </w:rPr>
            </w:pPr>
          </w:p>
        </w:tc>
      </w:tr>
    </w:tbl>
    <w:p w14:paraId="54DABDBB">
      <w:pPr>
        <w:spacing w:line="360" w:lineRule="auto"/>
        <w:outlineLvl w:val="0"/>
        <w:rPr>
          <w:rFonts w:eastAsia="黑体"/>
          <w:sz w:val="30"/>
        </w:rPr>
        <w:sectPr>
          <w:headerReference r:id="rId5" w:type="default"/>
          <w:footerReference r:id="rId6" w:type="default"/>
          <w:pgSz w:w="11906" w:h="16838"/>
          <w:pgMar w:top="1440" w:right="1440" w:bottom="1440" w:left="1440" w:header="851" w:footer="1077" w:gutter="0"/>
          <w:pgNumType w:fmt="numberInDash" w:start="1"/>
          <w:cols w:space="720" w:num="1"/>
          <w:docGrid w:linePitch="312" w:charSpace="0"/>
        </w:sect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13167"/>
      </w:tblGrid>
      <w:tr w14:paraId="044C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 w:type="dxa"/>
          </w:tcPr>
          <w:p w14:paraId="2B306472">
            <w:pPr>
              <w:spacing w:line="360" w:lineRule="auto"/>
              <w:outlineLvl w:val="0"/>
              <w:rPr>
                <w:rFonts w:eastAsia="黑体"/>
                <w:sz w:val="30"/>
                <w:vertAlign w:val="baseline"/>
              </w:rPr>
            </w:pPr>
          </w:p>
        </w:tc>
        <w:tc>
          <w:tcPr>
            <w:tcW w:w="13167" w:type="dxa"/>
          </w:tcPr>
          <w:p w14:paraId="7BE9D3EC">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eastAsia="黑体"/>
                <w:sz w:val="30"/>
                <w:vertAlign w:val="baseline"/>
                <w:lang w:val="en-US" w:eastAsia="zh-CN"/>
              </w:rPr>
            </w:pPr>
            <w:r>
              <w:rPr>
                <w:rFonts w:hint="eastAsia" w:ascii="黑体" w:hAnsi="黑体" w:eastAsia="黑体" w:cs="黑体"/>
                <w:kern w:val="0"/>
                <w:sz w:val="24"/>
                <w:szCs w:val="24"/>
                <w:lang w:val="en-US" w:eastAsia="zh-CN"/>
              </w:rPr>
              <w:t>表1-5与《</w:t>
            </w:r>
            <w:r>
              <w:rPr>
                <w:rFonts w:hint="eastAsia" w:ascii="黑体" w:hAnsi="黑体" w:eastAsia="黑体" w:cs="黑体"/>
                <w:kern w:val="0"/>
                <w:sz w:val="24"/>
                <w:szCs w:val="24"/>
              </w:rPr>
              <w:t>生态环境部重污染天气重点行业绩效分级及减排措施</w:t>
            </w:r>
            <w:r>
              <w:rPr>
                <w:rFonts w:hint="eastAsia" w:ascii="黑体" w:hAnsi="黑体" w:eastAsia="黑体" w:cs="黑体"/>
                <w:kern w:val="0"/>
                <w:sz w:val="24"/>
                <w:szCs w:val="24"/>
                <w:lang w:val="en-US" w:eastAsia="zh-CN"/>
              </w:rPr>
              <w:t>》相符性分析</w:t>
            </w:r>
          </w:p>
          <w:tbl>
            <w:tblPr>
              <w:tblStyle w:val="200"/>
              <w:tblW w:w="129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69"/>
              <w:gridCol w:w="3573"/>
              <w:gridCol w:w="3069"/>
              <w:gridCol w:w="2495"/>
              <w:gridCol w:w="914"/>
              <w:gridCol w:w="2114"/>
            </w:tblGrid>
            <w:tr w14:paraId="0DB08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jc w:val="center"/>
              </w:trPr>
              <w:tc>
                <w:tcPr>
                  <w:tcW w:w="769" w:type="dxa"/>
                  <w:tcBorders>
                    <w:top w:val="single" w:color="000000" w:sz="6" w:space="0"/>
                    <w:left w:val="single" w:color="000000" w:sz="6" w:space="0"/>
                  </w:tcBorders>
                  <w:vAlign w:val="center"/>
                </w:tcPr>
                <w:p w14:paraId="6655F729">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pacing w:val="-2"/>
                      <w:sz w:val="21"/>
                      <w:szCs w:val="21"/>
                    </w:rPr>
                    <w:t>差异化指标</w:t>
                  </w:r>
                </w:p>
              </w:tc>
              <w:tc>
                <w:tcPr>
                  <w:tcW w:w="3573" w:type="dxa"/>
                  <w:tcBorders>
                    <w:top w:val="single" w:color="000000" w:sz="6" w:space="0"/>
                  </w:tcBorders>
                  <w:vAlign w:val="center"/>
                </w:tcPr>
                <w:p w14:paraId="1534FB0F">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黑体" w:cs="Times New Roman"/>
                      <w:sz w:val="21"/>
                      <w:szCs w:val="21"/>
                    </w:rPr>
                  </w:pPr>
                  <w:r>
                    <w:rPr>
                      <w:rFonts w:hint="default" w:ascii="Times New Roman" w:hAnsi="Times New Roman" w:eastAsia="Times New Roman" w:cs="Times New Roman"/>
                      <w:spacing w:val="-3"/>
                      <w:sz w:val="21"/>
                      <w:szCs w:val="21"/>
                    </w:rPr>
                    <w:t>A</w:t>
                  </w:r>
                  <w:r>
                    <w:rPr>
                      <w:rFonts w:hint="default" w:ascii="Times New Roman" w:hAnsi="Times New Roman" w:eastAsia="黑体" w:cs="Times New Roman"/>
                      <w:spacing w:val="-3"/>
                      <w:sz w:val="21"/>
                      <w:szCs w:val="21"/>
                    </w:rPr>
                    <w:t>级企业</w:t>
                  </w:r>
                </w:p>
              </w:tc>
              <w:tc>
                <w:tcPr>
                  <w:tcW w:w="3069" w:type="dxa"/>
                  <w:tcBorders>
                    <w:top w:val="single" w:color="000000" w:sz="6" w:space="0"/>
                  </w:tcBorders>
                  <w:vAlign w:val="center"/>
                </w:tcPr>
                <w:p w14:paraId="6A1BB01C">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黑体" w:cs="Times New Roman"/>
                      <w:sz w:val="21"/>
                      <w:szCs w:val="21"/>
                    </w:rPr>
                  </w:pPr>
                  <w:r>
                    <w:rPr>
                      <w:rFonts w:hint="default" w:ascii="Times New Roman" w:hAnsi="Times New Roman" w:eastAsia="Times New Roman" w:cs="Times New Roman"/>
                      <w:spacing w:val="-3"/>
                      <w:sz w:val="21"/>
                      <w:szCs w:val="21"/>
                    </w:rPr>
                    <w:t>B</w:t>
                  </w:r>
                  <w:r>
                    <w:rPr>
                      <w:rFonts w:hint="default" w:ascii="Times New Roman" w:hAnsi="Times New Roman" w:eastAsia="黑体" w:cs="Times New Roman"/>
                      <w:spacing w:val="-3"/>
                      <w:sz w:val="21"/>
                      <w:szCs w:val="21"/>
                    </w:rPr>
                    <w:t>级企业</w:t>
                  </w:r>
                </w:p>
              </w:tc>
              <w:tc>
                <w:tcPr>
                  <w:tcW w:w="2495" w:type="dxa"/>
                  <w:tcBorders>
                    <w:top w:val="single" w:color="000000" w:sz="6" w:space="0"/>
                  </w:tcBorders>
                  <w:vAlign w:val="center"/>
                </w:tcPr>
                <w:p w14:paraId="214EFBBE">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黑体" w:cs="Times New Roman"/>
                      <w:sz w:val="21"/>
                      <w:szCs w:val="21"/>
                    </w:rPr>
                  </w:pPr>
                  <w:r>
                    <w:rPr>
                      <w:rFonts w:hint="default" w:ascii="Times New Roman" w:hAnsi="Times New Roman" w:eastAsia="Times New Roman" w:cs="Times New Roman"/>
                      <w:spacing w:val="-4"/>
                      <w:sz w:val="21"/>
                      <w:szCs w:val="21"/>
                    </w:rPr>
                    <w:t>C</w:t>
                  </w:r>
                  <w:r>
                    <w:rPr>
                      <w:rFonts w:hint="default" w:ascii="Times New Roman" w:hAnsi="Times New Roman" w:eastAsia="黑体" w:cs="Times New Roman"/>
                      <w:spacing w:val="-4"/>
                      <w:sz w:val="21"/>
                      <w:szCs w:val="21"/>
                    </w:rPr>
                    <w:t>级企业</w:t>
                  </w:r>
                </w:p>
              </w:tc>
              <w:tc>
                <w:tcPr>
                  <w:tcW w:w="914" w:type="dxa"/>
                  <w:tcBorders>
                    <w:top w:val="single" w:color="000000" w:sz="6" w:space="0"/>
                    <w:right w:val="single" w:color="000000" w:sz="6" w:space="0"/>
                  </w:tcBorders>
                  <w:vAlign w:val="center"/>
                </w:tcPr>
                <w:p w14:paraId="1E197A58">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黑体" w:cs="Times New Roman"/>
                      <w:sz w:val="21"/>
                      <w:szCs w:val="21"/>
                    </w:rPr>
                  </w:pPr>
                  <w:r>
                    <w:rPr>
                      <w:rFonts w:hint="default" w:ascii="Times New Roman" w:hAnsi="Times New Roman" w:eastAsia="Times New Roman" w:cs="Times New Roman"/>
                      <w:spacing w:val="-3"/>
                      <w:sz w:val="21"/>
                      <w:szCs w:val="21"/>
                    </w:rPr>
                    <w:t>D</w:t>
                  </w:r>
                  <w:r>
                    <w:rPr>
                      <w:rFonts w:hint="default" w:ascii="Times New Roman" w:hAnsi="Times New Roman" w:eastAsia="黑体" w:cs="Times New Roman"/>
                      <w:spacing w:val="-3"/>
                      <w:sz w:val="21"/>
                      <w:szCs w:val="21"/>
                    </w:rPr>
                    <w:t>级企业</w:t>
                  </w:r>
                </w:p>
              </w:tc>
              <w:tc>
                <w:tcPr>
                  <w:tcW w:w="2114" w:type="dxa"/>
                  <w:tcBorders>
                    <w:top w:val="single" w:color="000000" w:sz="6" w:space="0"/>
                    <w:right w:val="single" w:color="000000" w:sz="6" w:space="0"/>
                  </w:tcBorders>
                  <w:vAlign w:val="center"/>
                </w:tcPr>
                <w:p w14:paraId="701B77D8">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lang w:val="en-US" w:eastAsia="zh-CN"/>
                    </w:rPr>
                    <w:t>本项目情况</w:t>
                  </w:r>
                </w:p>
              </w:tc>
            </w:tr>
            <w:tr w14:paraId="03DF1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jc w:val="center"/>
              </w:trPr>
              <w:tc>
                <w:tcPr>
                  <w:tcW w:w="769" w:type="dxa"/>
                  <w:tcBorders>
                    <w:left w:val="single" w:color="000000" w:sz="6" w:space="0"/>
                  </w:tcBorders>
                  <w:vAlign w:val="center"/>
                </w:tcPr>
                <w:p w14:paraId="4898E8FF">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装备水平</w:t>
                  </w:r>
                </w:p>
              </w:tc>
              <w:tc>
                <w:tcPr>
                  <w:tcW w:w="6642" w:type="dxa"/>
                  <w:gridSpan w:val="2"/>
                  <w:vAlign w:val="center"/>
                </w:tcPr>
                <w:p w14:paraId="7317C23E">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2"/>
                    </w:rPr>
                    <w:t>烧结砖：隧道窑，单条生产线产能不低于</w:t>
                  </w:r>
                  <w:r>
                    <w:rPr>
                      <w:rFonts w:hint="default" w:ascii="Times New Roman" w:hAnsi="Times New Roman" w:cs="Times New Roman"/>
                      <w:spacing w:val="-43"/>
                    </w:rPr>
                    <w:t xml:space="preserve"> </w:t>
                  </w:r>
                  <w:r>
                    <w:rPr>
                      <w:rFonts w:hint="default" w:ascii="Times New Roman" w:hAnsi="Times New Roman" w:eastAsia="Times New Roman" w:cs="Times New Roman"/>
                      <w:spacing w:val="-2"/>
                    </w:rPr>
                    <w:t>6000</w:t>
                  </w:r>
                  <w:r>
                    <w:rPr>
                      <w:rFonts w:hint="default" w:ascii="Times New Roman" w:hAnsi="Times New Roman" w:eastAsia="Times New Roman" w:cs="Times New Roman"/>
                      <w:spacing w:val="17"/>
                    </w:rPr>
                    <w:t xml:space="preserve"> </w:t>
                  </w:r>
                  <w:r>
                    <w:rPr>
                      <w:rFonts w:hint="default" w:ascii="Times New Roman" w:hAnsi="Times New Roman" w:cs="Times New Roman"/>
                      <w:spacing w:val="-2"/>
                    </w:rPr>
                    <w:t>万块</w:t>
                  </w:r>
                  <w:r>
                    <w:rPr>
                      <w:rFonts w:hint="default" w:ascii="Times New Roman" w:hAnsi="Times New Roman" w:eastAsia="Times New Roman" w:cs="Times New Roman"/>
                      <w:spacing w:val="-2"/>
                    </w:rPr>
                    <w:t>/</w:t>
                  </w:r>
                  <w:r>
                    <w:rPr>
                      <w:rFonts w:hint="default" w:ascii="Times New Roman" w:hAnsi="Times New Roman" w:cs="Times New Roman"/>
                      <w:spacing w:val="-2"/>
                    </w:rPr>
                    <w:t>年，窑炉配备自动温控系</w:t>
                  </w:r>
                  <w:r>
                    <w:rPr>
                      <w:rFonts w:hint="default" w:ascii="Times New Roman" w:hAnsi="Times New Roman" w:cs="Times New Roman"/>
                      <w:spacing w:val="-3"/>
                    </w:rPr>
                    <w:t>统，</w:t>
                  </w:r>
                  <w:r>
                    <w:rPr>
                      <w:rFonts w:hint="default" w:ascii="Times New Roman" w:hAnsi="Times New Roman" w:cs="Times New Roman"/>
                      <w:spacing w:val="-1"/>
                    </w:rPr>
                    <w:t>干燥和焙烧窑进窑车端设</w:t>
                  </w:r>
                  <w:r>
                    <w:rPr>
                      <w:rFonts w:hint="default" w:ascii="Times New Roman" w:hAnsi="Times New Roman" w:eastAsia="Times New Roman" w:cs="Times New Roman"/>
                      <w:spacing w:val="-1"/>
                    </w:rPr>
                    <w:t>2</w:t>
                  </w:r>
                  <w:r>
                    <w:rPr>
                      <w:rFonts w:hint="default" w:ascii="Times New Roman" w:hAnsi="Times New Roman" w:cs="Times New Roman"/>
                      <w:spacing w:val="-1"/>
                    </w:rPr>
                    <w:t>道窑门</w:t>
                  </w:r>
                </w:p>
                <w:p w14:paraId="064BA40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1"/>
                    </w:rPr>
                    <w:t>烧结瓦：隧道窑</w:t>
                  </w:r>
                  <w:r>
                    <w:rPr>
                      <w:rFonts w:hint="default" w:ascii="Times New Roman" w:hAnsi="Times New Roman" w:eastAsia="Times New Roman" w:cs="Times New Roman"/>
                      <w:spacing w:val="-1"/>
                    </w:rPr>
                    <w:t>/</w:t>
                  </w:r>
                  <w:r>
                    <w:rPr>
                      <w:rFonts w:hint="default" w:ascii="Times New Roman" w:hAnsi="Times New Roman" w:cs="Times New Roman"/>
                      <w:spacing w:val="-1"/>
                    </w:rPr>
                    <w:t>辊道窑</w:t>
                  </w:r>
                </w:p>
              </w:tc>
              <w:tc>
                <w:tcPr>
                  <w:tcW w:w="2495" w:type="dxa"/>
                  <w:vAlign w:val="center"/>
                </w:tcPr>
                <w:p w14:paraId="581CF918">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6"/>
                    </w:rPr>
                    <w:t>烧结砖：隧道窑，单条生产线产能不</w:t>
                  </w:r>
                  <w:r>
                    <w:rPr>
                      <w:rFonts w:hint="default" w:ascii="Times New Roman" w:hAnsi="Times New Roman" w:cs="Times New Roman"/>
                      <w:spacing w:val="-3"/>
                    </w:rPr>
                    <w:t>低于</w:t>
                  </w:r>
                  <w:r>
                    <w:rPr>
                      <w:rFonts w:hint="default" w:ascii="Times New Roman" w:hAnsi="Times New Roman" w:cs="Times New Roman"/>
                      <w:spacing w:val="-45"/>
                    </w:rPr>
                    <w:t xml:space="preserve"> </w:t>
                  </w:r>
                  <w:r>
                    <w:rPr>
                      <w:rFonts w:hint="default" w:ascii="Times New Roman" w:hAnsi="Times New Roman" w:eastAsia="Times New Roman" w:cs="Times New Roman"/>
                      <w:spacing w:val="-3"/>
                    </w:rPr>
                    <w:t>3000</w:t>
                  </w:r>
                  <w:r>
                    <w:rPr>
                      <w:rFonts w:hint="default" w:ascii="Times New Roman" w:hAnsi="Times New Roman" w:eastAsia="Times New Roman" w:cs="Times New Roman"/>
                      <w:spacing w:val="12"/>
                    </w:rPr>
                    <w:t xml:space="preserve"> </w:t>
                  </w:r>
                  <w:r>
                    <w:rPr>
                      <w:rFonts w:hint="default" w:ascii="Times New Roman" w:hAnsi="Times New Roman" w:cs="Times New Roman"/>
                      <w:spacing w:val="-3"/>
                    </w:rPr>
                    <w:t>万块</w:t>
                  </w:r>
                  <w:r>
                    <w:rPr>
                      <w:rFonts w:hint="default" w:ascii="Times New Roman" w:hAnsi="Times New Roman" w:eastAsia="Times New Roman" w:cs="Times New Roman"/>
                      <w:spacing w:val="-3"/>
                    </w:rPr>
                    <w:t>/</w:t>
                  </w:r>
                  <w:r>
                    <w:rPr>
                      <w:rFonts w:hint="default" w:ascii="Times New Roman" w:hAnsi="Times New Roman" w:cs="Times New Roman"/>
                      <w:spacing w:val="-3"/>
                    </w:rPr>
                    <w:t>年</w:t>
                  </w:r>
                </w:p>
              </w:tc>
              <w:tc>
                <w:tcPr>
                  <w:tcW w:w="914" w:type="dxa"/>
                  <w:tcBorders>
                    <w:right w:val="single" w:color="000000" w:sz="6" w:space="0"/>
                  </w:tcBorders>
                  <w:vAlign w:val="center"/>
                </w:tcPr>
                <w:p w14:paraId="42812F28">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3"/>
                    </w:rPr>
                    <w:t>其他</w:t>
                  </w:r>
                </w:p>
              </w:tc>
              <w:tc>
                <w:tcPr>
                  <w:tcW w:w="2114" w:type="dxa"/>
                  <w:tcBorders>
                    <w:right w:val="single" w:color="000000" w:sz="6" w:space="0"/>
                  </w:tcBorders>
                  <w:vAlign w:val="center"/>
                </w:tcPr>
                <w:p w14:paraId="14D7ED44">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3"/>
                    </w:rPr>
                  </w:pPr>
                  <w:r>
                    <w:rPr>
                      <w:rFonts w:hint="default" w:ascii="Times New Roman" w:hAnsi="Times New Roman" w:cs="Times New Roman"/>
                      <w:spacing w:val="-3"/>
                      <w:lang w:val="en-US" w:eastAsia="zh-CN"/>
                    </w:rPr>
                    <w:t>本项目为旋转式</w:t>
                  </w:r>
                  <w:r>
                    <w:rPr>
                      <w:rFonts w:hint="default" w:ascii="Times New Roman" w:hAnsi="Times New Roman" w:cs="Times New Roman"/>
                      <w:spacing w:val="-3"/>
                    </w:rPr>
                    <w:t>隧道窑，单条生产线产能</w:t>
                  </w:r>
                  <w:r>
                    <w:rPr>
                      <w:rFonts w:hint="default" w:ascii="Times New Roman" w:hAnsi="Times New Roman" w:cs="Times New Roman"/>
                      <w:spacing w:val="-3"/>
                      <w:lang w:val="en-US" w:eastAsia="zh-CN"/>
                    </w:rPr>
                    <w:t>12</w:t>
                  </w:r>
                  <w:r>
                    <w:rPr>
                      <w:rFonts w:hint="default" w:ascii="Times New Roman" w:hAnsi="Times New Roman" w:cs="Times New Roman"/>
                      <w:spacing w:val="-3"/>
                    </w:rPr>
                    <w:t>000 万块/年，窑炉配备自动温控系统，干燥和焙烧窑进窑车端设2道窑门</w:t>
                  </w:r>
                </w:p>
              </w:tc>
            </w:tr>
            <w:tr w14:paraId="4296F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jc w:val="center"/>
              </w:trPr>
              <w:tc>
                <w:tcPr>
                  <w:tcW w:w="769" w:type="dxa"/>
                  <w:tcBorders>
                    <w:left w:val="single" w:color="000000" w:sz="6" w:space="0"/>
                  </w:tcBorders>
                  <w:vAlign w:val="center"/>
                </w:tcPr>
                <w:p w14:paraId="4D8B0F6B">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能源类型</w:t>
                  </w:r>
                </w:p>
              </w:tc>
              <w:tc>
                <w:tcPr>
                  <w:tcW w:w="3573" w:type="dxa"/>
                  <w:vAlign w:val="center"/>
                </w:tcPr>
                <w:p w14:paraId="37AC21AC">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3"/>
                    </w:rPr>
                    <w:t>窑炉外投燃料使用天然气、液化石油气等</w:t>
                  </w:r>
                  <w:r>
                    <w:rPr>
                      <w:rFonts w:hint="default" w:ascii="Times New Roman" w:hAnsi="Times New Roman" w:cs="Times New Roman"/>
                      <w:spacing w:val="-6"/>
                    </w:rPr>
                    <w:t>清洁能源，内掺燃料包括含硫率低于</w:t>
                  </w:r>
                  <w:r>
                    <w:rPr>
                      <w:rFonts w:hint="default" w:ascii="Times New Roman" w:hAnsi="Times New Roman" w:eastAsia="Times New Roman" w:cs="Times New Roman"/>
                      <w:spacing w:val="-6"/>
                    </w:rPr>
                    <w:t>0.8%</w:t>
                  </w:r>
                  <w:r>
                    <w:rPr>
                      <w:rFonts w:hint="default" w:ascii="Times New Roman" w:hAnsi="Times New Roman" w:cs="Times New Roman"/>
                      <w:spacing w:val="-1"/>
                    </w:rPr>
                    <w:t>的煤、煤矸石或其他含热废弃能源</w:t>
                  </w:r>
                </w:p>
              </w:tc>
              <w:tc>
                <w:tcPr>
                  <w:tcW w:w="3069" w:type="dxa"/>
                  <w:vAlign w:val="center"/>
                </w:tcPr>
                <w:p w14:paraId="64D73973">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5"/>
                    </w:rPr>
                    <w:t>窑炉外投燃料使用煤制气、生物质成型燃料等能源。内掺燃料包括含硫率</w:t>
                  </w:r>
                  <w:r>
                    <w:rPr>
                      <w:rFonts w:hint="default" w:ascii="Times New Roman" w:hAnsi="Times New Roman" w:cs="Times New Roman"/>
                      <w:spacing w:val="-1"/>
                    </w:rPr>
                    <w:t>低于</w:t>
                  </w:r>
                  <w:r>
                    <w:rPr>
                      <w:rFonts w:hint="default" w:ascii="Times New Roman" w:hAnsi="Times New Roman" w:eastAsia="Times New Roman" w:cs="Times New Roman"/>
                      <w:spacing w:val="-1"/>
                    </w:rPr>
                    <w:t>1.2%</w:t>
                  </w:r>
                  <w:r>
                    <w:rPr>
                      <w:rFonts w:hint="default" w:ascii="Times New Roman" w:hAnsi="Times New Roman" w:cs="Times New Roman"/>
                      <w:spacing w:val="-1"/>
                    </w:rPr>
                    <w:t>的煤、煤矸石或其他含热废</w:t>
                  </w:r>
                  <w:r>
                    <w:rPr>
                      <w:rFonts w:hint="default" w:ascii="Times New Roman" w:hAnsi="Times New Roman" w:cs="Times New Roman"/>
                      <w:spacing w:val="-2"/>
                    </w:rPr>
                    <w:t>弃能源</w:t>
                  </w:r>
                </w:p>
              </w:tc>
              <w:tc>
                <w:tcPr>
                  <w:tcW w:w="2495" w:type="dxa"/>
                  <w:vAlign w:val="center"/>
                </w:tcPr>
                <w:p w14:paraId="499E8F78">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7"/>
                    </w:rPr>
                    <w:t>窑炉外投燃料使用低硫煤或其他低</w:t>
                  </w:r>
                  <w:r>
                    <w:rPr>
                      <w:rFonts w:hint="default" w:ascii="Times New Roman" w:hAnsi="Times New Roman" w:cs="Times New Roman"/>
                      <w:spacing w:val="3"/>
                    </w:rPr>
                    <w:t>硫含热废弃能源</w:t>
                  </w:r>
                  <w:r>
                    <w:rPr>
                      <w:rFonts w:hint="default" w:ascii="Times New Roman" w:hAnsi="Times New Roman" w:eastAsia="Times New Roman" w:cs="Times New Roman"/>
                      <w:spacing w:val="3"/>
                    </w:rPr>
                    <w:t>,</w:t>
                  </w:r>
                  <w:r>
                    <w:rPr>
                      <w:rFonts w:hint="default" w:ascii="Times New Roman" w:hAnsi="Times New Roman" w:cs="Times New Roman"/>
                      <w:spacing w:val="3"/>
                    </w:rPr>
                    <w:t>（低硫煤要求参照</w:t>
                  </w:r>
                  <w:r>
                    <w:rPr>
                      <w:rFonts w:hint="default" w:ascii="Times New Roman" w:hAnsi="Times New Roman" w:cs="Times New Roman"/>
                      <w:spacing w:val="-1"/>
                    </w:rPr>
                    <w:t>《煤炭质量分级》</w:t>
                  </w:r>
                  <w:r>
                    <w:rPr>
                      <w:rFonts w:hint="default" w:ascii="Times New Roman" w:hAnsi="Times New Roman" w:eastAsia="Times New Roman" w:cs="Times New Roman"/>
                      <w:spacing w:val="-1"/>
                    </w:rPr>
                    <w:t>GB15224.2-2010</w:t>
                  </w:r>
                  <w:r>
                    <w:rPr>
                      <w:rFonts w:hint="default" w:ascii="Times New Roman" w:hAnsi="Times New Roman" w:cs="Times New Roman"/>
                      <w:spacing w:val="-1"/>
                    </w:rPr>
                    <w:t>）</w:t>
                  </w:r>
                </w:p>
              </w:tc>
              <w:tc>
                <w:tcPr>
                  <w:tcW w:w="914" w:type="dxa"/>
                  <w:tcBorders>
                    <w:right w:val="single" w:color="000000" w:sz="6" w:space="0"/>
                  </w:tcBorders>
                  <w:vAlign w:val="center"/>
                </w:tcPr>
                <w:p w14:paraId="0A9D1BEF">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eastAsia="Times New Roman" w:cs="Times New Roman"/>
                      <w:spacing w:val="-4"/>
                    </w:rPr>
                    <w:t>C</w:t>
                  </w:r>
                  <w:r>
                    <w:rPr>
                      <w:rFonts w:hint="default" w:ascii="Times New Roman" w:hAnsi="Times New Roman" w:eastAsia="Times New Roman" w:cs="Times New Roman"/>
                      <w:spacing w:val="12"/>
                    </w:rPr>
                    <w:t xml:space="preserve"> </w:t>
                  </w:r>
                  <w:r>
                    <w:rPr>
                      <w:rFonts w:hint="default" w:ascii="Times New Roman" w:hAnsi="Times New Roman" w:cs="Times New Roman"/>
                      <w:spacing w:val="-4"/>
                    </w:rPr>
                    <w:t>级要求</w:t>
                  </w:r>
                </w:p>
              </w:tc>
              <w:tc>
                <w:tcPr>
                  <w:tcW w:w="2114" w:type="dxa"/>
                  <w:tcBorders>
                    <w:right w:val="single" w:color="000000" w:sz="6" w:space="0"/>
                  </w:tcBorders>
                  <w:vAlign w:val="center"/>
                </w:tcPr>
                <w:p w14:paraId="331233E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宋体" w:cs="Times New Roman"/>
                      <w:spacing w:val="-4"/>
                      <w:lang w:val="en-US" w:eastAsia="zh-CN"/>
                    </w:rPr>
                  </w:pPr>
                  <w:r>
                    <w:rPr>
                      <w:rFonts w:hint="default" w:ascii="Times New Roman" w:hAnsi="Times New Roman" w:cs="Times New Roman"/>
                      <w:spacing w:val="-4"/>
                      <w:lang w:val="en-US" w:eastAsia="zh-CN"/>
                    </w:rPr>
                    <w:t>本项目使用生物质燃料及煤矸石</w:t>
                  </w:r>
                </w:p>
              </w:tc>
            </w:tr>
            <w:tr w14:paraId="4CAF3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4" w:hRule="atLeast"/>
                <w:jc w:val="center"/>
              </w:trPr>
              <w:tc>
                <w:tcPr>
                  <w:tcW w:w="769" w:type="dxa"/>
                  <w:tcBorders>
                    <w:left w:val="single" w:color="000000" w:sz="6" w:space="0"/>
                  </w:tcBorders>
                  <w:vAlign w:val="center"/>
                </w:tcPr>
                <w:p w14:paraId="2BD1DE6F">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污染治理技术</w:t>
                  </w:r>
                </w:p>
              </w:tc>
              <w:tc>
                <w:tcPr>
                  <w:tcW w:w="3573" w:type="dxa"/>
                  <w:vAlign w:val="center"/>
                </w:tcPr>
                <w:p w14:paraId="3DAC642D">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
                    </w:rPr>
                    <w:t>1</w:t>
                  </w:r>
                  <w:r>
                    <w:rPr>
                      <w:rFonts w:hint="default" w:ascii="Times New Roman" w:hAnsi="Times New Roman" w:cs="Times New Roman"/>
                      <w:spacing w:val="1"/>
                    </w:rPr>
                    <w:t>、除尘采用袋式除尘、湿式电除尘、独</w:t>
                  </w:r>
                  <w:r>
                    <w:rPr>
                      <w:rFonts w:hint="default" w:ascii="Times New Roman" w:hAnsi="Times New Roman" w:cs="Times New Roman"/>
                      <w:spacing w:val="-7"/>
                    </w:rPr>
                    <w:t>立除尘塔等工艺；</w:t>
                  </w:r>
                </w:p>
                <w:p w14:paraId="07495CFE">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1"/>
                    </w:rPr>
                    <w:t>2</w:t>
                  </w:r>
                  <w:r>
                    <w:rPr>
                      <w:rFonts w:hint="default" w:ascii="Times New Roman" w:hAnsi="Times New Roman" w:cs="Times New Roman"/>
                      <w:spacing w:val="-11"/>
                    </w:rPr>
                    <w:t>、脱硫采用石灰</w:t>
                  </w:r>
                  <w:r>
                    <w:rPr>
                      <w:rFonts w:hint="default" w:ascii="Times New Roman" w:hAnsi="Times New Roman" w:eastAsia="Times New Roman" w:cs="Times New Roman"/>
                      <w:spacing w:val="-11"/>
                    </w:rPr>
                    <w:t>-</w:t>
                  </w:r>
                  <w:r>
                    <w:rPr>
                      <w:rFonts w:hint="default" w:ascii="Times New Roman" w:hAnsi="Times New Roman" w:cs="Times New Roman"/>
                      <w:spacing w:val="-11"/>
                    </w:rPr>
                    <w:t>石膏湿法脱硫等工艺（不</w:t>
                  </w:r>
                  <w:r>
                    <w:rPr>
                      <w:rFonts w:hint="default" w:ascii="Times New Roman" w:hAnsi="Times New Roman" w:cs="Times New Roman"/>
                      <w:spacing w:val="-10"/>
                    </w:rPr>
                    <w:t>含全部使用天然气、液化石油气为燃料</w:t>
                  </w:r>
                  <w:r>
                    <w:rPr>
                      <w:rFonts w:hint="default" w:ascii="Times New Roman" w:hAnsi="Times New Roman" w:cs="Times New Roman"/>
                      <w:spacing w:val="-11"/>
                    </w:rPr>
                    <w:t>）；</w:t>
                  </w:r>
                </w:p>
                <w:p w14:paraId="5DB39650">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3"/>
                    </w:rPr>
                    <w:t>3</w:t>
                  </w:r>
                  <w:r>
                    <w:rPr>
                      <w:rFonts w:hint="default" w:ascii="Times New Roman" w:hAnsi="Times New Roman" w:cs="Times New Roman"/>
                      <w:spacing w:val="-3"/>
                    </w:rPr>
                    <w:t>、配备脱硝工艺</w:t>
                  </w:r>
                </w:p>
              </w:tc>
              <w:tc>
                <w:tcPr>
                  <w:tcW w:w="3069" w:type="dxa"/>
                  <w:vAlign w:val="center"/>
                </w:tcPr>
                <w:p w14:paraId="2FB3069B">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4"/>
                    </w:rPr>
                    <w:t>1</w:t>
                  </w:r>
                  <w:r>
                    <w:rPr>
                      <w:rFonts w:hint="default" w:ascii="Times New Roman" w:hAnsi="Times New Roman" w:cs="Times New Roman"/>
                      <w:spacing w:val="-4"/>
                    </w:rPr>
                    <w:t>、除尘采用袋式除尘、湿式电除尘、</w:t>
                  </w:r>
                  <w:r>
                    <w:rPr>
                      <w:rFonts w:hint="default" w:ascii="Times New Roman" w:hAnsi="Times New Roman" w:cs="Times New Roman"/>
                      <w:spacing w:val="-6"/>
                    </w:rPr>
                    <w:t>独立除尘塔等工艺；</w:t>
                  </w:r>
                </w:p>
                <w:p w14:paraId="4BB7B16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5"/>
                    </w:rPr>
                    <w:t>2</w:t>
                  </w:r>
                  <w:r>
                    <w:rPr>
                      <w:rFonts w:hint="default" w:ascii="Times New Roman" w:hAnsi="Times New Roman" w:cs="Times New Roman"/>
                      <w:spacing w:val="-5"/>
                    </w:rPr>
                    <w:t>、脱硫采用石灰</w:t>
                  </w:r>
                  <w:r>
                    <w:rPr>
                      <w:rFonts w:hint="default" w:ascii="Times New Roman" w:hAnsi="Times New Roman" w:eastAsia="Times New Roman" w:cs="Times New Roman"/>
                      <w:spacing w:val="-5"/>
                    </w:rPr>
                    <w:t>-</w:t>
                  </w:r>
                  <w:r>
                    <w:rPr>
                      <w:rFonts w:hint="default" w:ascii="Times New Roman" w:hAnsi="Times New Roman" w:cs="Times New Roman"/>
                      <w:spacing w:val="-5"/>
                    </w:rPr>
                    <w:t>石膏湿法脱硫、双碱</w:t>
                  </w:r>
                  <w:r>
                    <w:rPr>
                      <w:rFonts w:hint="default" w:ascii="Times New Roman" w:hAnsi="Times New Roman" w:cs="Times New Roman"/>
                      <w:spacing w:val="-12"/>
                    </w:rPr>
                    <w:t>法脱硫（配备自动加碱、测</w:t>
                  </w:r>
                  <w:r>
                    <w:rPr>
                      <w:rFonts w:hint="default" w:ascii="Times New Roman" w:hAnsi="Times New Roman" w:cs="Times New Roman"/>
                      <w:spacing w:val="-36"/>
                    </w:rPr>
                    <w:t xml:space="preserve"> </w:t>
                  </w:r>
                  <w:r>
                    <w:rPr>
                      <w:rFonts w:hint="default" w:ascii="Times New Roman" w:hAnsi="Times New Roman" w:eastAsia="Times New Roman" w:cs="Times New Roman"/>
                      <w:spacing w:val="-12"/>
                    </w:rPr>
                    <w:t>PH</w:t>
                  </w:r>
                  <w:r>
                    <w:rPr>
                      <w:rFonts w:hint="default" w:ascii="Times New Roman" w:hAnsi="Times New Roman" w:eastAsia="Times New Roman" w:cs="Times New Roman"/>
                      <w:spacing w:val="10"/>
                    </w:rPr>
                    <w:t xml:space="preserve"> </w:t>
                  </w:r>
                  <w:r>
                    <w:rPr>
                      <w:rFonts w:hint="default" w:ascii="Times New Roman" w:hAnsi="Times New Roman" w:cs="Times New Roman"/>
                      <w:spacing w:val="-12"/>
                    </w:rPr>
                    <w:t>值装置）</w:t>
                  </w:r>
                  <w:r>
                    <w:rPr>
                      <w:rFonts w:hint="default" w:ascii="Times New Roman" w:hAnsi="Times New Roman" w:cs="Times New Roman"/>
                      <w:spacing w:val="5"/>
                    </w:rPr>
                    <w:t>等工艺（不含使用天然气、液化石油</w:t>
                  </w:r>
                  <w:r>
                    <w:rPr>
                      <w:rFonts w:hint="default" w:ascii="Times New Roman" w:hAnsi="Times New Roman" w:cs="Times New Roman"/>
                      <w:spacing w:val="-4"/>
                    </w:rPr>
                    <w:t>气为燃料）</w:t>
                  </w:r>
                </w:p>
              </w:tc>
              <w:tc>
                <w:tcPr>
                  <w:tcW w:w="2495" w:type="dxa"/>
                  <w:vAlign w:val="center"/>
                </w:tcPr>
                <w:p w14:paraId="197626DE">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2"/>
                    </w:rPr>
                    <w:t>1</w:t>
                  </w:r>
                  <w:r>
                    <w:rPr>
                      <w:rFonts w:hint="default" w:ascii="Times New Roman" w:hAnsi="Times New Roman" w:cs="Times New Roman"/>
                      <w:spacing w:val="-2"/>
                    </w:rPr>
                    <w:t>、除尘采用袋式除尘、独立除尘塔</w:t>
                  </w:r>
                  <w:r>
                    <w:rPr>
                      <w:rFonts w:hint="default" w:ascii="Times New Roman" w:hAnsi="Times New Roman" w:cs="Times New Roman"/>
                      <w:spacing w:val="-11"/>
                    </w:rPr>
                    <w:t>等工艺；</w:t>
                  </w:r>
                </w:p>
                <w:p w14:paraId="2ADB1B9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4"/>
                    </w:rPr>
                    <w:t>2</w:t>
                  </w:r>
                  <w:r>
                    <w:rPr>
                      <w:rFonts w:hint="default" w:ascii="Times New Roman" w:hAnsi="Times New Roman" w:cs="Times New Roman"/>
                      <w:spacing w:val="-4"/>
                    </w:rPr>
                    <w:t>、脱硫采用石灰</w:t>
                  </w:r>
                  <w:r>
                    <w:rPr>
                      <w:rFonts w:hint="default" w:ascii="Times New Roman" w:hAnsi="Times New Roman" w:eastAsia="Times New Roman" w:cs="Times New Roman"/>
                      <w:spacing w:val="-4"/>
                    </w:rPr>
                    <w:t>-</w:t>
                  </w:r>
                  <w:r>
                    <w:rPr>
                      <w:rFonts w:hint="default" w:ascii="Times New Roman" w:hAnsi="Times New Roman" w:cs="Times New Roman"/>
                      <w:spacing w:val="-4"/>
                    </w:rPr>
                    <w:t>石膏湿法脱硫、双</w:t>
                  </w:r>
                  <w:r>
                    <w:rPr>
                      <w:rFonts w:hint="default" w:ascii="Times New Roman" w:hAnsi="Times New Roman" w:cs="Times New Roman"/>
                      <w:spacing w:val="-3"/>
                    </w:rPr>
                    <w:t>碱法脱硫等工艺（不含使用天然气、液化石油气为燃料）</w:t>
                  </w:r>
                </w:p>
              </w:tc>
              <w:tc>
                <w:tcPr>
                  <w:tcW w:w="914" w:type="dxa"/>
                  <w:tcBorders>
                    <w:right w:val="single" w:color="000000" w:sz="6" w:space="0"/>
                  </w:tcBorders>
                  <w:vAlign w:val="center"/>
                </w:tcPr>
                <w:p w14:paraId="57DED71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eastAsia="Times New Roman" w:cs="Times New Roman"/>
                      <w:spacing w:val="-4"/>
                    </w:rPr>
                    <w:t>C</w:t>
                  </w:r>
                  <w:r>
                    <w:rPr>
                      <w:rFonts w:hint="default" w:ascii="Times New Roman" w:hAnsi="Times New Roman" w:eastAsia="Times New Roman" w:cs="Times New Roman"/>
                      <w:spacing w:val="12"/>
                    </w:rPr>
                    <w:t xml:space="preserve"> </w:t>
                  </w:r>
                  <w:r>
                    <w:rPr>
                      <w:rFonts w:hint="default" w:ascii="Times New Roman" w:hAnsi="Times New Roman" w:cs="Times New Roman"/>
                      <w:spacing w:val="-4"/>
                    </w:rPr>
                    <w:t>级要求</w:t>
                  </w:r>
                </w:p>
              </w:tc>
              <w:tc>
                <w:tcPr>
                  <w:tcW w:w="2114" w:type="dxa"/>
                  <w:tcBorders>
                    <w:right w:val="single" w:color="000000" w:sz="6" w:space="0"/>
                  </w:tcBorders>
                  <w:vAlign w:val="center"/>
                </w:tcPr>
                <w:p w14:paraId="2DD54F6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宋体" w:cs="Times New Roman"/>
                      <w:spacing w:val="-4"/>
                      <w:lang w:val="en-US" w:eastAsia="zh-CN"/>
                    </w:rPr>
                  </w:pPr>
                  <w:r>
                    <w:rPr>
                      <w:rFonts w:hint="default" w:ascii="Times New Roman" w:hAnsi="Times New Roman" w:cs="Times New Roman"/>
                      <w:spacing w:val="-4"/>
                      <w:lang w:val="en-US" w:eastAsia="zh-CN"/>
                    </w:rPr>
                    <w:t>项目除尘采用湿电除尘，脱硫</w:t>
                  </w:r>
                  <w:r>
                    <w:rPr>
                      <w:rFonts w:hint="eastAsia" w:ascii="Times New Roman" w:hAnsi="Times New Roman" w:cs="Times New Roman"/>
                      <w:spacing w:val="-4"/>
                      <w:lang w:val="en-US" w:eastAsia="zh-CN"/>
                    </w:rPr>
                    <w:t>采用</w:t>
                  </w:r>
                  <w:r>
                    <w:rPr>
                      <w:rFonts w:hint="default" w:ascii="Times New Roman" w:hAnsi="Times New Roman" w:cs="Times New Roman"/>
                      <w:spacing w:val="-4"/>
                      <w:lang w:val="en-US" w:eastAsia="zh-CN"/>
                    </w:rPr>
                    <w:t>石灰石-石膏法</w:t>
                  </w:r>
                </w:p>
              </w:tc>
            </w:tr>
            <w:tr w14:paraId="49479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769" w:type="dxa"/>
                  <w:vMerge w:val="restart"/>
                  <w:tcBorders>
                    <w:left w:val="single" w:color="000000" w:sz="6" w:space="0"/>
                    <w:bottom w:val="nil"/>
                  </w:tcBorders>
                  <w:vAlign w:val="center"/>
                </w:tcPr>
                <w:p w14:paraId="3003FE71">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排放限值</w:t>
                  </w:r>
                </w:p>
              </w:tc>
              <w:tc>
                <w:tcPr>
                  <w:tcW w:w="3573" w:type="dxa"/>
                  <w:vAlign w:val="center"/>
                </w:tcPr>
                <w:p w14:paraId="0C684D41">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eastAsia="Times New Roman" w:cs="Times New Roman"/>
                      <w:sz w:val="13"/>
                      <w:szCs w:val="13"/>
                    </w:rPr>
                  </w:pPr>
                  <w:r>
                    <w:rPr>
                      <w:rFonts w:hint="default" w:ascii="Times New Roman" w:hAnsi="Times New Roman" w:cs="Times New Roman"/>
                      <w:spacing w:val="-7"/>
                    </w:rPr>
                    <w:t>窑炉：</w:t>
                  </w:r>
                  <w:r>
                    <w:rPr>
                      <w:rFonts w:hint="default" w:ascii="Times New Roman" w:hAnsi="Times New Roman" w:eastAsia="Times New Roman" w:cs="Times New Roman"/>
                      <w:spacing w:val="-7"/>
                    </w:rPr>
                    <w:t>PM</w:t>
                  </w:r>
                  <w:r>
                    <w:rPr>
                      <w:rFonts w:hint="default" w:ascii="Times New Roman" w:hAnsi="Times New Roman" w:cs="Times New Roman"/>
                      <w:spacing w:val="-7"/>
                    </w:rPr>
                    <w:t>、</w:t>
                  </w:r>
                  <w:r>
                    <w:rPr>
                      <w:rFonts w:hint="default" w:ascii="Times New Roman" w:hAnsi="Times New Roman" w:eastAsia="Times New Roman" w:cs="Times New Roman"/>
                      <w:spacing w:val="-7"/>
                    </w:rPr>
                    <w:t>SO</w:t>
                  </w:r>
                  <w:r>
                    <w:rPr>
                      <w:rFonts w:hint="default" w:ascii="Times New Roman" w:hAnsi="Times New Roman" w:eastAsia="Times New Roman" w:cs="Times New Roman"/>
                      <w:spacing w:val="-7"/>
                      <w:position w:val="-1"/>
                      <w:sz w:val="13"/>
                      <w:szCs w:val="13"/>
                    </w:rPr>
                    <w:t>2</w:t>
                  </w:r>
                  <w:r>
                    <w:rPr>
                      <w:rFonts w:hint="default" w:ascii="Times New Roman" w:hAnsi="Times New Roman" w:cs="Times New Roman"/>
                      <w:spacing w:val="-2"/>
                    </w:rPr>
                    <w:t>、</w:t>
                  </w:r>
                  <w:r>
                    <w:rPr>
                      <w:rFonts w:hint="default" w:ascii="Times New Roman" w:hAnsi="Times New Roman" w:eastAsia="Times New Roman" w:cs="Times New Roman"/>
                      <w:spacing w:val="-2"/>
                    </w:rPr>
                    <w:t>NOx</w:t>
                  </w:r>
                  <w:r>
                    <w:rPr>
                      <w:rFonts w:hint="default" w:ascii="Times New Roman" w:hAnsi="Times New Roman" w:cs="Times New Roman"/>
                      <w:spacing w:val="-2"/>
                    </w:rPr>
                    <w:t>排放浓度分别不高</w:t>
                  </w:r>
                  <w:r>
                    <w:rPr>
                      <w:rFonts w:hint="default" w:ascii="Times New Roman" w:hAnsi="Times New Roman" w:cs="Times New Roman"/>
                      <w:spacing w:val="-5"/>
                    </w:rPr>
                    <w:t>于</w:t>
                  </w:r>
                  <w:r>
                    <w:rPr>
                      <w:rFonts w:hint="default" w:ascii="Times New Roman" w:hAnsi="Times New Roman" w:eastAsia="Times New Roman" w:cs="Times New Roman"/>
                      <w:spacing w:val="-5"/>
                    </w:rPr>
                    <w:t>20</w:t>
                  </w:r>
                  <w:r>
                    <w:rPr>
                      <w:rFonts w:hint="default" w:ascii="Times New Roman" w:hAnsi="Times New Roman" w:cs="Times New Roman"/>
                      <w:spacing w:val="-5"/>
                    </w:rPr>
                    <w:t>、</w:t>
                  </w:r>
                  <w:r>
                    <w:rPr>
                      <w:rFonts w:hint="default" w:ascii="Times New Roman" w:hAnsi="Times New Roman" w:eastAsia="Times New Roman" w:cs="Times New Roman"/>
                      <w:spacing w:val="-5"/>
                    </w:rPr>
                    <w:t>50</w:t>
                  </w:r>
                  <w:r>
                    <w:rPr>
                      <w:rFonts w:hint="default" w:ascii="Times New Roman" w:hAnsi="Times New Roman" w:cs="Times New Roman"/>
                      <w:spacing w:val="-5"/>
                    </w:rPr>
                    <w:t>、</w:t>
                  </w:r>
                  <w:r>
                    <w:rPr>
                      <w:rFonts w:hint="default" w:ascii="Times New Roman" w:hAnsi="Times New Roman" w:eastAsia="Times New Roman" w:cs="Times New Roman"/>
                      <w:spacing w:val="-5"/>
                    </w:rPr>
                    <w:t>50mg/m</w:t>
                  </w:r>
                  <w:r>
                    <w:rPr>
                      <w:rFonts w:hint="default" w:ascii="Times New Roman" w:hAnsi="Times New Roman" w:eastAsia="Times New Roman" w:cs="Times New Roman"/>
                      <w:spacing w:val="-5"/>
                      <w:position w:val="6"/>
                      <w:sz w:val="13"/>
                      <w:szCs w:val="13"/>
                    </w:rPr>
                    <w:t>3</w:t>
                  </w:r>
                </w:p>
              </w:tc>
              <w:tc>
                <w:tcPr>
                  <w:tcW w:w="3069" w:type="dxa"/>
                  <w:vAlign w:val="center"/>
                </w:tcPr>
                <w:p w14:paraId="5F493E38">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eastAsia="Times New Roman" w:cs="Times New Roman"/>
                      <w:sz w:val="13"/>
                      <w:szCs w:val="13"/>
                    </w:rPr>
                  </w:pPr>
                  <w:r>
                    <w:rPr>
                      <w:rFonts w:hint="default" w:ascii="Times New Roman" w:hAnsi="Times New Roman" w:cs="Times New Roman"/>
                      <w:spacing w:val="-5"/>
                    </w:rPr>
                    <w:t>窑炉：</w:t>
                  </w:r>
                  <w:r>
                    <w:rPr>
                      <w:rFonts w:hint="default" w:ascii="Times New Roman" w:hAnsi="Times New Roman" w:eastAsia="Times New Roman" w:cs="Times New Roman"/>
                      <w:spacing w:val="-5"/>
                    </w:rPr>
                    <w:t>PM</w:t>
                  </w:r>
                  <w:r>
                    <w:rPr>
                      <w:rFonts w:hint="default" w:ascii="Times New Roman" w:hAnsi="Times New Roman" w:cs="Times New Roman"/>
                      <w:spacing w:val="-5"/>
                    </w:rPr>
                    <w:t>、</w:t>
                  </w:r>
                  <w:r>
                    <w:rPr>
                      <w:rFonts w:hint="default" w:ascii="Times New Roman" w:hAnsi="Times New Roman" w:eastAsia="Times New Roman" w:cs="Times New Roman"/>
                      <w:spacing w:val="-5"/>
                    </w:rPr>
                    <w:t>SO</w:t>
                  </w:r>
                  <w:r>
                    <w:rPr>
                      <w:rFonts w:hint="default" w:ascii="Times New Roman" w:hAnsi="Times New Roman" w:eastAsia="Times New Roman" w:cs="Times New Roman"/>
                      <w:spacing w:val="-5"/>
                      <w:position w:val="-1"/>
                      <w:sz w:val="13"/>
                      <w:szCs w:val="13"/>
                    </w:rPr>
                    <w:t>2</w:t>
                  </w:r>
                  <w:r>
                    <w:rPr>
                      <w:rFonts w:hint="default" w:ascii="Times New Roman" w:hAnsi="Times New Roman" w:cs="Times New Roman"/>
                      <w:spacing w:val="-5"/>
                    </w:rPr>
                    <w:t>、</w:t>
                  </w:r>
                  <w:r>
                    <w:rPr>
                      <w:rFonts w:hint="default" w:ascii="Times New Roman" w:hAnsi="Times New Roman" w:eastAsia="Times New Roman" w:cs="Times New Roman"/>
                      <w:spacing w:val="-5"/>
                    </w:rPr>
                    <w:t>NOx</w:t>
                  </w:r>
                  <w:r>
                    <w:rPr>
                      <w:rFonts w:hint="default" w:ascii="Times New Roman" w:hAnsi="Times New Roman" w:cs="Times New Roman"/>
                      <w:spacing w:val="-5"/>
                    </w:rPr>
                    <w:t>排放浓度分别</w:t>
                  </w:r>
                  <w:r>
                    <w:rPr>
                      <w:rFonts w:hint="default" w:ascii="Times New Roman" w:hAnsi="Times New Roman" w:cs="Times New Roman"/>
                      <w:spacing w:val="-4"/>
                    </w:rPr>
                    <w:t>不高于</w:t>
                  </w:r>
                  <w:r>
                    <w:rPr>
                      <w:rFonts w:hint="default" w:ascii="Times New Roman" w:hAnsi="Times New Roman" w:cs="Times New Roman"/>
                      <w:spacing w:val="-36"/>
                    </w:rPr>
                    <w:t xml:space="preserve"> </w:t>
                  </w:r>
                  <w:r>
                    <w:rPr>
                      <w:rFonts w:hint="default" w:ascii="Times New Roman" w:hAnsi="Times New Roman" w:eastAsia="Times New Roman" w:cs="Times New Roman"/>
                      <w:spacing w:val="-4"/>
                    </w:rPr>
                    <w:t>20</w:t>
                  </w:r>
                  <w:r>
                    <w:rPr>
                      <w:rFonts w:hint="default" w:ascii="Times New Roman" w:hAnsi="Times New Roman" w:eastAsia="Times New Roman" w:cs="Times New Roman"/>
                      <w:spacing w:val="-29"/>
                    </w:rPr>
                    <w:t xml:space="preserve"> </w:t>
                  </w:r>
                  <w:r>
                    <w:rPr>
                      <w:rFonts w:hint="default" w:ascii="Times New Roman" w:hAnsi="Times New Roman" w:cs="Times New Roman"/>
                      <w:spacing w:val="-4"/>
                    </w:rPr>
                    <w:t>、</w:t>
                  </w:r>
                  <w:r>
                    <w:rPr>
                      <w:rFonts w:hint="default" w:ascii="Times New Roman" w:hAnsi="Times New Roman" w:eastAsia="Times New Roman" w:cs="Times New Roman"/>
                      <w:spacing w:val="-4"/>
                    </w:rPr>
                    <w:t>100</w:t>
                  </w:r>
                  <w:r>
                    <w:rPr>
                      <w:rFonts w:hint="default" w:ascii="Times New Roman" w:hAnsi="Times New Roman" w:eastAsia="Times New Roman" w:cs="Times New Roman"/>
                      <w:spacing w:val="-31"/>
                    </w:rPr>
                    <w:t xml:space="preserve"> </w:t>
                  </w:r>
                  <w:r>
                    <w:rPr>
                      <w:rFonts w:hint="default" w:ascii="Times New Roman" w:hAnsi="Times New Roman" w:cs="Times New Roman"/>
                      <w:spacing w:val="-4"/>
                    </w:rPr>
                    <w:t>、</w:t>
                  </w:r>
                  <w:r>
                    <w:rPr>
                      <w:rFonts w:hint="default" w:ascii="Times New Roman" w:hAnsi="Times New Roman" w:eastAsia="Times New Roman" w:cs="Times New Roman"/>
                      <w:spacing w:val="-4"/>
                    </w:rPr>
                    <w:t>100mg/m</w:t>
                  </w:r>
                  <w:r>
                    <w:rPr>
                      <w:rFonts w:hint="default" w:ascii="Times New Roman" w:hAnsi="Times New Roman" w:eastAsia="Times New Roman" w:cs="Times New Roman"/>
                      <w:spacing w:val="-4"/>
                      <w:position w:val="6"/>
                      <w:sz w:val="13"/>
                      <w:szCs w:val="13"/>
                    </w:rPr>
                    <w:t>3</w:t>
                  </w:r>
                </w:p>
              </w:tc>
              <w:tc>
                <w:tcPr>
                  <w:tcW w:w="2495" w:type="dxa"/>
                  <w:vAlign w:val="center"/>
                </w:tcPr>
                <w:p w14:paraId="2C0FE9D1">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eastAsia="Times New Roman" w:cs="Times New Roman"/>
                      <w:sz w:val="13"/>
                      <w:szCs w:val="13"/>
                    </w:rPr>
                  </w:pPr>
                  <w:r>
                    <w:rPr>
                      <w:rFonts w:hint="default" w:ascii="Times New Roman" w:hAnsi="Times New Roman" w:cs="Times New Roman"/>
                      <w:spacing w:val="-4"/>
                    </w:rPr>
                    <w:t>窑炉：</w:t>
                  </w:r>
                  <w:r>
                    <w:rPr>
                      <w:rFonts w:hint="default" w:ascii="Times New Roman" w:hAnsi="Times New Roman" w:eastAsia="Times New Roman" w:cs="Times New Roman"/>
                      <w:spacing w:val="-4"/>
                    </w:rPr>
                    <w:t>PM</w:t>
                  </w:r>
                  <w:r>
                    <w:rPr>
                      <w:rFonts w:hint="default" w:ascii="Times New Roman" w:hAnsi="Times New Roman" w:cs="Times New Roman"/>
                      <w:spacing w:val="-4"/>
                    </w:rPr>
                    <w:t>、</w:t>
                  </w:r>
                  <w:r>
                    <w:rPr>
                      <w:rFonts w:hint="default" w:ascii="Times New Roman" w:hAnsi="Times New Roman" w:eastAsia="Times New Roman" w:cs="Times New Roman"/>
                      <w:spacing w:val="-4"/>
                    </w:rPr>
                    <w:t>SO</w:t>
                  </w:r>
                  <w:r>
                    <w:rPr>
                      <w:rFonts w:hint="default" w:ascii="Times New Roman" w:hAnsi="Times New Roman" w:eastAsia="Times New Roman" w:cs="Times New Roman"/>
                      <w:spacing w:val="-4"/>
                      <w:position w:val="-1"/>
                      <w:sz w:val="13"/>
                      <w:szCs w:val="13"/>
                    </w:rPr>
                    <w:t>2</w:t>
                  </w:r>
                  <w:r>
                    <w:rPr>
                      <w:rFonts w:hint="default" w:ascii="Times New Roman" w:hAnsi="Times New Roman" w:cs="Times New Roman"/>
                      <w:spacing w:val="-4"/>
                    </w:rPr>
                    <w:t>、</w:t>
                  </w:r>
                  <w:r>
                    <w:rPr>
                      <w:rFonts w:hint="default" w:ascii="Times New Roman" w:hAnsi="Times New Roman" w:eastAsia="Times New Roman" w:cs="Times New Roman"/>
                      <w:spacing w:val="-4"/>
                    </w:rPr>
                    <w:t>NOx</w:t>
                  </w:r>
                  <w:r>
                    <w:rPr>
                      <w:rFonts w:hint="default" w:ascii="Times New Roman" w:hAnsi="Times New Roman" w:cs="Times New Roman"/>
                      <w:spacing w:val="-4"/>
                    </w:rPr>
                    <w:t>排放浓度分别不高于</w:t>
                  </w:r>
                  <w:r>
                    <w:rPr>
                      <w:rFonts w:hint="default" w:ascii="Times New Roman" w:hAnsi="Times New Roman" w:cs="Times New Roman"/>
                      <w:spacing w:val="-33"/>
                    </w:rPr>
                    <w:t xml:space="preserve"> </w:t>
                  </w:r>
                  <w:r>
                    <w:rPr>
                      <w:rFonts w:hint="default" w:ascii="Times New Roman" w:hAnsi="Times New Roman" w:eastAsia="Times New Roman" w:cs="Times New Roman"/>
                      <w:spacing w:val="-4"/>
                    </w:rPr>
                    <w:t>20</w:t>
                  </w:r>
                  <w:r>
                    <w:rPr>
                      <w:rFonts w:hint="default" w:ascii="Times New Roman" w:hAnsi="Times New Roman" w:eastAsia="Times New Roman" w:cs="Times New Roman"/>
                      <w:spacing w:val="-30"/>
                    </w:rPr>
                    <w:t xml:space="preserve"> </w:t>
                  </w:r>
                  <w:r>
                    <w:rPr>
                      <w:rFonts w:hint="default" w:ascii="Times New Roman" w:hAnsi="Times New Roman" w:cs="Times New Roman"/>
                      <w:spacing w:val="-4"/>
                    </w:rPr>
                    <w:t>、</w:t>
                  </w:r>
                  <w:r>
                    <w:rPr>
                      <w:rFonts w:hint="default" w:ascii="Times New Roman" w:hAnsi="Times New Roman" w:eastAsia="Times New Roman" w:cs="Times New Roman"/>
                      <w:spacing w:val="-4"/>
                    </w:rPr>
                    <w:t>150</w:t>
                  </w:r>
                  <w:r>
                    <w:rPr>
                      <w:rFonts w:hint="default" w:ascii="Times New Roman" w:hAnsi="Times New Roman" w:eastAsia="Times New Roman" w:cs="Times New Roman"/>
                      <w:spacing w:val="-29"/>
                    </w:rPr>
                    <w:t xml:space="preserve"> </w:t>
                  </w:r>
                  <w:r>
                    <w:rPr>
                      <w:rFonts w:hint="default" w:ascii="Times New Roman" w:hAnsi="Times New Roman" w:cs="Times New Roman"/>
                      <w:spacing w:val="-4"/>
                    </w:rPr>
                    <w:t>、</w:t>
                  </w:r>
                  <w:r>
                    <w:rPr>
                      <w:rFonts w:hint="default" w:ascii="Times New Roman" w:hAnsi="Times New Roman" w:eastAsia="Times New Roman" w:cs="Times New Roman"/>
                      <w:spacing w:val="-4"/>
                    </w:rPr>
                    <w:t>150mg/m</w:t>
                  </w:r>
                  <w:r>
                    <w:rPr>
                      <w:rFonts w:hint="default" w:ascii="Times New Roman" w:hAnsi="Times New Roman" w:eastAsia="Times New Roman" w:cs="Times New Roman"/>
                      <w:spacing w:val="-4"/>
                      <w:position w:val="6"/>
                      <w:sz w:val="13"/>
                      <w:szCs w:val="13"/>
                    </w:rPr>
                    <w:t>3</w:t>
                  </w:r>
                </w:p>
              </w:tc>
              <w:tc>
                <w:tcPr>
                  <w:tcW w:w="914" w:type="dxa"/>
                  <w:tcBorders>
                    <w:right w:val="single" w:color="000000" w:sz="6" w:space="0"/>
                  </w:tcBorders>
                  <w:vAlign w:val="center"/>
                </w:tcPr>
                <w:p w14:paraId="5FBAFCC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eastAsia="Times New Roman" w:cs="Times New Roman"/>
                      <w:spacing w:val="-4"/>
                    </w:rPr>
                    <w:t>C</w:t>
                  </w:r>
                  <w:r>
                    <w:rPr>
                      <w:rFonts w:hint="default" w:ascii="Times New Roman" w:hAnsi="Times New Roman" w:eastAsia="Times New Roman" w:cs="Times New Roman"/>
                      <w:spacing w:val="12"/>
                    </w:rPr>
                    <w:t xml:space="preserve"> </w:t>
                  </w:r>
                  <w:r>
                    <w:rPr>
                      <w:rFonts w:hint="default" w:ascii="Times New Roman" w:hAnsi="Times New Roman" w:cs="Times New Roman"/>
                      <w:spacing w:val="-4"/>
                    </w:rPr>
                    <w:t>级要求</w:t>
                  </w:r>
                </w:p>
              </w:tc>
              <w:tc>
                <w:tcPr>
                  <w:tcW w:w="2114" w:type="dxa"/>
                  <w:tcBorders>
                    <w:right w:val="single" w:color="000000" w:sz="6" w:space="0"/>
                  </w:tcBorders>
                  <w:vAlign w:val="center"/>
                </w:tcPr>
                <w:p w14:paraId="75C9051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4"/>
                    </w:rPr>
                  </w:pPr>
                  <w:r>
                    <w:rPr>
                      <w:rFonts w:hint="default" w:ascii="Times New Roman" w:hAnsi="Times New Roman" w:eastAsia="宋体" w:cs="Times New Roman"/>
                      <w:spacing w:val="-5"/>
                      <w:lang w:val="en-US" w:eastAsia="zh-CN"/>
                    </w:rPr>
                    <w:t>本项目</w:t>
                  </w:r>
                  <w:r>
                    <w:rPr>
                      <w:rFonts w:hint="default" w:ascii="Times New Roman" w:hAnsi="Times New Roman" w:eastAsia="Times New Roman" w:cs="Times New Roman"/>
                      <w:spacing w:val="-5"/>
                    </w:rPr>
                    <w:t>PM</w:t>
                  </w:r>
                  <w:r>
                    <w:rPr>
                      <w:rFonts w:hint="default" w:ascii="Times New Roman" w:hAnsi="Times New Roman" w:cs="Times New Roman"/>
                      <w:spacing w:val="-5"/>
                    </w:rPr>
                    <w:t>、</w:t>
                  </w:r>
                  <w:r>
                    <w:rPr>
                      <w:rFonts w:hint="default" w:ascii="Times New Roman" w:hAnsi="Times New Roman" w:eastAsia="Times New Roman" w:cs="Times New Roman"/>
                      <w:spacing w:val="-5"/>
                    </w:rPr>
                    <w:t>SO</w:t>
                  </w:r>
                  <w:r>
                    <w:rPr>
                      <w:rFonts w:hint="default" w:ascii="Times New Roman" w:hAnsi="Times New Roman" w:eastAsia="Times New Roman" w:cs="Times New Roman"/>
                      <w:spacing w:val="-5"/>
                      <w:position w:val="-1"/>
                      <w:sz w:val="13"/>
                      <w:szCs w:val="13"/>
                    </w:rPr>
                    <w:t>2</w:t>
                  </w:r>
                  <w:r>
                    <w:rPr>
                      <w:rFonts w:hint="default" w:ascii="Times New Roman" w:hAnsi="Times New Roman" w:cs="Times New Roman"/>
                      <w:spacing w:val="-5"/>
                    </w:rPr>
                    <w:t>、</w:t>
                  </w:r>
                  <w:r>
                    <w:rPr>
                      <w:rFonts w:hint="default" w:ascii="Times New Roman" w:hAnsi="Times New Roman" w:eastAsia="Times New Roman" w:cs="Times New Roman"/>
                      <w:spacing w:val="-5"/>
                    </w:rPr>
                    <w:t xml:space="preserve">NOx </w:t>
                  </w:r>
                  <w:r>
                    <w:rPr>
                      <w:rFonts w:hint="default" w:ascii="Times New Roman" w:hAnsi="Times New Roman" w:cs="Times New Roman"/>
                      <w:spacing w:val="-5"/>
                    </w:rPr>
                    <w:t>排放浓度分别</w:t>
                  </w:r>
                  <w:r>
                    <w:rPr>
                      <w:rFonts w:hint="default" w:ascii="Times New Roman" w:hAnsi="Times New Roman" w:cs="Times New Roman"/>
                      <w:spacing w:val="-4"/>
                    </w:rPr>
                    <w:t>不高于</w:t>
                  </w:r>
                  <w:r>
                    <w:rPr>
                      <w:rFonts w:hint="default" w:ascii="Times New Roman" w:hAnsi="Times New Roman" w:eastAsia="宋体" w:cs="Times New Roman"/>
                      <w:spacing w:val="-4"/>
                      <w:lang w:val="en-US" w:eastAsia="zh-CN"/>
                    </w:rPr>
                    <w:t>10</w:t>
                  </w:r>
                  <w:r>
                    <w:rPr>
                      <w:rFonts w:hint="default" w:ascii="Times New Roman" w:hAnsi="Times New Roman" w:cs="Times New Roman"/>
                      <w:spacing w:val="-4"/>
                    </w:rPr>
                    <w:t>、</w:t>
                  </w:r>
                  <w:r>
                    <w:rPr>
                      <w:rFonts w:hint="default" w:ascii="Times New Roman" w:hAnsi="Times New Roman" w:eastAsia="宋体" w:cs="Times New Roman"/>
                      <w:spacing w:val="-4"/>
                      <w:lang w:val="en-US" w:eastAsia="zh-CN"/>
                    </w:rPr>
                    <w:t>50</w:t>
                  </w:r>
                  <w:r>
                    <w:rPr>
                      <w:rFonts w:hint="default" w:ascii="Times New Roman" w:hAnsi="Times New Roman" w:cs="Times New Roman"/>
                      <w:spacing w:val="-4"/>
                    </w:rPr>
                    <w:t>、</w:t>
                  </w:r>
                  <w:r>
                    <w:rPr>
                      <w:rFonts w:hint="default" w:ascii="Times New Roman" w:hAnsi="Times New Roman" w:eastAsia="Times New Roman" w:cs="Times New Roman"/>
                      <w:spacing w:val="-4"/>
                    </w:rPr>
                    <w:t>100mg/m</w:t>
                  </w:r>
                  <w:r>
                    <w:rPr>
                      <w:rFonts w:hint="default" w:ascii="Times New Roman" w:hAnsi="Times New Roman" w:eastAsia="Times New Roman" w:cs="Times New Roman"/>
                      <w:spacing w:val="-4"/>
                      <w:position w:val="6"/>
                      <w:sz w:val="13"/>
                      <w:szCs w:val="13"/>
                    </w:rPr>
                    <w:t>3</w:t>
                  </w:r>
                </w:p>
              </w:tc>
            </w:tr>
            <w:tr w14:paraId="2A2FC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jc w:val="center"/>
              </w:trPr>
              <w:tc>
                <w:tcPr>
                  <w:tcW w:w="769" w:type="dxa"/>
                  <w:vMerge w:val="continue"/>
                  <w:tcBorders>
                    <w:top w:val="nil"/>
                    <w:left w:val="single" w:color="000000" w:sz="6" w:space="0"/>
                  </w:tcBorders>
                  <w:vAlign w:val="center"/>
                </w:tcPr>
                <w:p w14:paraId="5CB3824C">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z w:val="21"/>
                    </w:rPr>
                  </w:pPr>
                </w:p>
              </w:tc>
              <w:tc>
                <w:tcPr>
                  <w:tcW w:w="10051" w:type="dxa"/>
                  <w:gridSpan w:val="4"/>
                  <w:tcBorders>
                    <w:right w:val="single" w:color="000000" w:sz="6" w:space="0"/>
                  </w:tcBorders>
                  <w:vAlign w:val="center"/>
                </w:tcPr>
                <w:p w14:paraId="73CC81D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eastAsia="Times New Roman" w:cs="Times New Roman"/>
                      <w:sz w:val="13"/>
                      <w:szCs w:val="13"/>
                    </w:rPr>
                  </w:pPr>
                  <w:r>
                    <w:rPr>
                      <w:rFonts w:hint="default" w:ascii="Times New Roman" w:hAnsi="Times New Roman" w:cs="Times New Roman"/>
                    </w:rPr>
                    <w:t>备注：窑炉基准氧含量</w:t>
                  </w:r>
                  <w:r>
                    <w:rPr>
                      <w:rFonts w:hint="default" w:ascii="Times New Roman" w:hAnsi="Times New Roman" w:cs="Times New Roman"/>
                      <w:spacing w:val="-28"/>
                    </w:rPr>
                    <w:t xml:space="preserve"> </w:t>
                  </w:r>
                  <w:r>
                    <w:rPr>
                      <w:rFonts w:hint="default" w:ascii="Times New Roman" w:hAnsi="Times New Roman" w:eastAsia="Times New Roman" w:cs="Times New Roman"/>
                    </w:rPr>
                    <w:t>18%</w:t>
                  </w:r>
                  <w:r>
                    <w:rPr>
                      <w:rFonts w:hint="default" w:ascii="Times New Roman" w:hAnsi="Times New Roman" w:cs="Times New Roman"/>
                    </w:rPr>
                    <w:t>，破碎、成型等其他产尘点</w:t>
                  </w:r>
                  <w:r>
                    <w:rPr>
                      <w:rFonts w:hint="default" w:ascii="Times New Roman" w:hAnsi="Times New Roman" w:cs="Times New Roman"/>
                      <w:spacing w:val="-34"/>
                    </w:rPr>
                    <w:t xml:space="preserve"> </w:t>
                  </w:r>
                  <w:r>
                    <w:rPr>
                      <w:rFonts w:hint="default" w:ascii="Times New Roman" w:hAnsi="Times New Roman" w:eastAsia="Times New Roman" w:cs="Times New Roman"/>
                    </w:rPr>
                    <w:t xml:space="preserve">PM </w:t>
                  </w:r>
                  <w:r>
                    <w:rPr>
                      <w:rFonts w:hint="default" w:ascii="Times New Roman" w:hAnsi="Times New Roman" w:cs="Times New Roman"/>
                    </w:rPr>
                    <w:t>排放浓度不高于</w:t>
                  </w:r>
                  <w:r>
                    <w:rPr>
                      <w:rFonts w:hint="default" w:ascii="Times New Roman" w:hAnsi="Times New Roman" w:eastAsia="Times New Roman" w:cs="Times New Roman"/>
                    </w:rPr>
                    <w:t>30mg/m</w:t>
                  </w:r>
                  <w:r>
                    <w:rPr>
                      <w:rFonts w:hint="default" w:ascii="Times New Roman" w:hAnsi="Times New Roman" w:eastAsia="Times New Roman" w:cs="Times New Roman"/>
                      <w:position w:val="7"/>
                      <w:sz w:val="13"/>
                      <w:szCs w:val="13"/>
                    </w:rPr>
                    <w:t>3</w:t>
                  </w:r>
                </w:p>
              </w:tc>
              <w:tc>
                <w:tcPr>
                  <w:tcW w:w="2114" w:type="dxa"/>
                  <w:tcBorders>
                    <w:right w:val="single" w:color="000000" w:sz="6" w:space="0"/>
                  </w:tcBorders>
                  <w:vAlign w:val="center"/>
                </w:tcPr>
                <w:p w14:paraId="31E8E6D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lang w:val="en-US" w:eastAsia="zh-CN"/>
                    </w:rPr>
                    <w:t>项目</w:t>
                  </w:r>
                  <w:r>
                    <w:rPr>
                      <w:rFonts w:hint="default" w:ascii="Times New Roman" w:hAnsi="Times New Roman" w:cs="Times New Roman"/>
                    </w:rPr>
                    <w:t>破碎、成型等其他产尘点</w:t>
                  </w:r>
                  <w:r>
                    <w:rPr>
                      <w:rFonts w:hint="default" w:ascii="Times New Roman" w:hAnsi="Times New Roman" w:cs="Times New Roman"/>
                      <w:spacing w:val="-34"/>
                    </w:rPr>
                    <w:t xml:space="preserve"> </w:t>
                  </w:r>
                  <w:r>
                    <w:rPr>
                      <w:rFonts w:hint="default" w:ascii="Times New Roman" w:hAnsi="Times New Roman" w:eastAsia="Times New Roman" w:cs="Times New Roman"/>
                    </w:rPr>
                    <w:t xml:space="preserve">PM </w:t>
                  </w:r>
                  <w:r>
                    <w:rPr>
                      <w:rFonts w:hint="default" w:ascii="Times New Roman" w:hAnsi="Times New Roman" w:cs="Times New Roman"/>
                    </w:rPr>
                    <w:t>排放浓度不高于</w:t>
                  </w:r>
                  <w:r>
                    <w:rPr>
                      <w:rFonts w:hint="default" w:ascii="Times New Roman" w:hAnsi="Times New Roman" w:eastAsia="宋体" w:cs="Times New Roman"/>
                      <w:lang w:val="en-US" w:eastAsia="zh-CN"/>
                    </w:rPr>
                    <w:t>10</w:t>
                  </w:r>
                  <w:r>
                    <w:rPr>
                      <w:rFonts w:hint="default" w:ascii="Times New Roman" w:hAnsi="Times New Roman" w:eastAsia="Times New Roman" w:cs="Times New Roman"/>
                    </w:rPr>
                    <w:t>mg/m</w:t>
                  </w:r>
                  <w:r>
                    <w:rPr>
                      <w:rFonts w:hint="default" w:ascii="Times New Roman" w:hAnsi="Times New Roman" w:eastAsia="Times New Roman" w:cs="Times New Roman"/>
                      <w:position w:val="7"/>
                      <w:sz w:val="13"/>
                      <w:szCs w:val="13"/>
                    </w:rPr>
                    <w:t>3</w:t>
                  </w:r>
                </w:p>
              </w:tc>
            </w:tr>
            <w:tr w14:paraId="5FF84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jc w:val="center"/>
              </w:trPr>
              <w:tc>
                <w:tcPr>
                  <w:tcW w:w="769" w:type="dxa"/>
                  <w:vMerge w:val="restart"/>
                  <w:tcBorders>
                    <w:left w:val="single" w:color="000000" w:sz="6" w:space="0"/>
                  </w:tcBorders>
                  <w:vAlign w:val="center"/>
                </w:tcPr>
                <w:p w14:paraId="5432A8D2">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无组织排放</w:t>
                  </w:r>
                </w:p>
              </w:tc>
              <w:tc>
                <w:tcPr>
                  <w:tcW w:w="9137" w:type="dxa"/>
                  <w:gridSpan w:val="3"/>
                  <w:tcBorders>
                    <w:bottom w:val="single" w:color="000000" w:sz="6" w:space="0"/>
                  </w:tcBorders>
                  <w:vAlign w:val="center"/>
                </w:tcPr>
                <w:p w14:paraId="7969652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3"/>
                    </w:rPr>
                    <w:t>1</w:t>
                  </w:r>
                  <w:r>
                    <w:rPr>
                      <w:rFonts w:hint="default" w:ascii="Times New Roman" w:hAnsi="Times New Roman" w:cs="Times New Roman"/>
                      <w:spacing w:val="-3"/>
                    </w:rPr>
                    <w:t>、生产工艺产尘点应采取密闭、封闭或设置集气罩等措施；</w:t>
                  </w:r>
                </w:p>
                <w:p w14:paraId="3602A32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
                    </w:rPr>
                    <w:t>2</w:t>
                  </w:r>
                  <w:r>
                    <w:rPr>
                      <w:rFonts w:hint="default" w:ascii="Times New Roman" w:hAnsi="Times New Roman" w:cs="Times New Roman"/>
                      <w:spacing w:val="-1"/>
                    </w:rPr>
                    <w:t>、粘土、页岩、煤矸石、原煤等原料、燃料应密闭或封闭储存，并采取</w:t>
                  </w:r>
                  <w:r>
                    <w:rPr>
                      <w:rFonts w:hint="default" w:ascii="Times New Roman" w:hAnsi="Times New Roman" w:cs="Times New Roman"/>
                      <w:spacing w:val="-2"/>
                    </w:rPr>
                    <w:t>喷淋等有效抑尘措施；</w:t>
                  </w:r>
                </w:p>
                <w:p w14:paraId="3E07570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
                    </w:rPr>
                    <w:t>3</w:t>
                  </w:r>
                  <w:r>
                    <w:rPr>
                      <w:rFonts w:hint="default" w:ascii="Times New Roman" w:hAnsi="Times New Roman" w:cs="Times New Roman"/>
                      <w:spacing w:val="-1"/>
                    </w:rPr>
                    <w:t>、产品装卸产尘点应采取喷淋等有效抑尘措施；窑车及相关产尘</w:t>
                  </w:r>
                  <w:r>
                    <w:rPr>
                      <w:rFonts w:hint="default" w:ascii="Times New Roman" w:hAnsi="Times New Roman" w:cs="Times New Roman"/>
                      <w:spacing w:val="-2"/>
                    </w:rPr>
                    <w:t>及产渣区域应有除尘除渣措施；</w:t>
                  </w:r>
                </w:p>
              </w:tc>
              <w:tc>
                <w:tcPr>
                  <w:tcW w:w="914" w:type="dxa"/>
                  <w:tcBorders>
                    <w:bottom w:val="single" w:color="000000" w:sz="6" w:space="0"/>
                    <w:right w:val="single" w:color="000000" w:sz="6" w:space="0"/>
                  </w:tcBorders>
                  <w:vAlign w:val="center"/>
                </w:tcPr>
                <w:p w14:paraId="4900978F">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10"/>
                    </w:rPr>
                    <w:t>未达到</w:t>
                  </w:r>
                  <w:r>
                    <w:rPr>
                      <w:rFonts w:hint="default" w:ascii="Times New Roman" w:hAnsi="Times New Roman" w:cs="Times New Roman"/>
                      <w:spacing w:val="-49"/>
                    </w:rPr>
                    <w:t xml:space="preserve"> </w:t>
                  </w:r>
                  <w:r>
                    <w:rPr>
                      <w:rFonts w:hint="default" w:ascii="Times New Roman" w:hAnsi="Times New Roman" w:eastAsia="Times New Roman" w:cs="Times New Roman"/>
                      <w:spacing w:val="-10"/>
                    </w:rPr>
                    <w:t>A</w:t>
                  </w:r>
                  <w:r>
                    <w:rPr>
                      <w:rFonts w:hint="default" w:ascii="Times New Roman" w:hAnsi="Times New Roman" w:cs="Times New Roman"/>
                      <w:spacing w:val="-10"/>
                    </w:rPr>
                    <w:t>、</w:t>
                  </w:r>
                  <w:r>
                    <w:rPr>
                      <w:rFonts w:hint="default" w:ascii="Times New Roman" w:hAnsi="Times New Roman" w:eastAsia="Times New Roman" w:cs="Times New Roman"/>
                      <w:spacing w:val="-10"/>
                    </w:rPr>
                    <w:t>B</w:t>
                  </w:r>
                  <w:r>
                    <w:rPr>
                      <w:rFonts w:hint="default" w:ascii="Times New Roman" w:hAnsi="Times New Roman" w:cs="Times New Roman"/>
                      <w:spacing w:val="-10"/>
                    </w:rPr>
                    <w:t>、</w:t>
                  </w:r>
                  <w:r>
                    <w:rPr>
                      <w:rFonts w:hint="default" w:ascii="Times New Roman" w:hAnsi="Times New Roman" w:eastAsia="Times New Roman" w:cs="Times New Roman"/>
                      <w:spacing w:val="-10"/>
                    </w:rPr>
                    <w:t>C</w:t>
                  </w:r>
                  <w:r>
                    <w:rPr>
                      <w:rFonts w:hint="default" w:ascii="Times New Roman" w:hAnsi="Times New Roman" w:eastAsia="Times New Roman" w:cs="Times New Roman"/>
                      <w:spacing w:val="11"/>
                    </w:rPr>
                    <w:t xml:space="preserve"> </w:t>
                  </w:r>
                  <w:r>
                    <w:rPr>
                      <w:rFonts w:hint="default" w:ascii="Times New Roman" w:hAnsi="Times New Roman" w:cs="Times New Roman"/>
                      <w:spacing w:val="-10"/>
                    </w:rPr>
                    <w:t>级</w:t>
                  </w:r>
                  <w:r>
                    <w:rPr>
                      <w:rFonts w:hint="default" w:ascii="Times New Roman" w:hAnsi="Times New Roman" w:cs="Times New Roman"/>
                      <w:spacing w:val="-3"/>
                    </w:rPr>
                    <w:t>要求</w:t>
                  </w:r>
                </w:p>
              </w:tc>
              <w:tc>
                <w:tcPr>
                  <w:tcW w:w="2114" w:type="dxa"/>
                  <w:tcBorders>
                    <w:bottom w:val="single" w:color="000000" w:sz="6" w:space="0"/>
                    <w:right w:val="single" w:color="000000" w:sz="6" w:space="0"/>
                  </w:tcBorders>
                  <w:vAlign w:val="center"/>
                </w:tcPr>
                <w:p w14:paraId="54A6212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eastAsia="宋体" w:cs="Times New Roman"/>
                      <w:spacing w:val="-10"/>
                      <w:lang w:eastAsia="zh-CN"/>
                    </w:rPr>
                  </w:pPr>
                  <w:r>
                    <w:rPr>
                      <w:rFonts w:hint="default" w:ascii="Times New Roman" w:hAnsi="Times New Roman" w:cs="Times New Roman"/>
                      <w:spacing w:val="-1"/>
                      <w:lang w:val="en-US" w:eastAsia="zh-CN"/>
                    </w:rPr>
                    <w:t>本项目原料库</w:t>
                  </w:r>
                  <w:r>
                    <w:rPr>
                      <w:rFonts w:hint="default" w:ascii="Times New Roman" w:hAnsi="Times New Roman" w:cs="Times New Roman"/>
                      <w:spacing w:val="-1"/>
                    </w:rPr>
                    <w:t>封闭储存，并采取</w:t>
                  </w:r>
                  <w:r>
                    <w:rPr>
                      <w:rFonts w:hint="default" w:ascii="Times New Roman" w:hAnsi="Times New Roman" w:cs="Times New Roman"/>
                      <w:spacing w:val="-2"/>
                    </w:rPr>
                    <w:t>喷淋等有效抑尘措施；</w:t>
                  </w:r>
                  <w:r>
                    <w:rPr>
                      <w:rFonts w:hint="default" w:ascii="Times New Roman" w:hAnsi="Times New Roman" w:cs="Times New Roman"/>
                      <w:spacing w:val="-3"/>
                    </w:rPr>
                    <w:t>生产工艺产尘点设置集气罩等措施</w:t>
                  </w:r>
                  <w:r>
                    <w:rPr>
                      <w:rFonts w:hint="default" w:ascii="Times New Roman" w:hAnsi="Times New Roman" w:cs="Times New Roman"/>
                      <w:spacing w:val="-3"/>
                      <w:lang w:eastAsia="zh-CN"/>
                    </w:rPr>
                    <w:t>；</w:t>
                  </w:r>
                  <w:r>
                    <w:rPr>
                      <w:rFonts w:hint="default" w:ascii="Times New Roman" w:hAnsi="Times New Roman" w:cs="Times New Roman"/>
                      <w:spacing w:val="-1"/>
                    </w:rPr>
                    <w:t>产品装卸产尘点应采取喷淋等抑尘措施</w:t>
                  </w:r>
                </w:p>
              </w:tc>
            </w:tr>
            <w:tr w14:paraId="48D85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jc w:val="center"/>
              </w:trPr>
              <w:tc>
                <w:tcPr>
                  <w:tcW w:w="769" w:type="dxa"/>
                  <w:vMerge w:val="continue"/>
                  <w:tcBorders>
                    <w:left w:val="single" w:color="000000" w:sz="6" w:space="0"/>
                  </w:tcBorders>
                  <w:vAlign w:val="center"/>
                </w:tcPr>
                <w:p w14:paraId="5BA0DD24">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z w:val="21"/>
                    </w:rPr>
                  </w:pPr>
                </w:p>
              </w:tc>
              <w:tc>
                <w:tcPr>
                  <w:tcW w:w="3573" w:type="dxa"/>
                  <w:vAlign w:val="center"/>
                </w:tcPr>
                <w:p w14:paraId="509D46EC">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3"/>
                    </w:rPr>
                    <w:t>原煤、石灰、除尘灰、脱硫灰等粉状物料全部密闭或封闭储存，采用密闭皮带、封闭通廊或密闭车厢等方式输送。产尘点及车间不得有可见烟（粉）尘外逸。料棚配备喷雾抑尘设施，料棚出入口安装自动门</w:t>
                  </w:r>
                </w:p>
              </w:tc>
              <w:tc>
                <w:tcPr>
                  <w:tcW w:w="5564" w:type="dxa"/>
                  <w:gridSpan w:val="2"/>
                  <w:vAlign w:val="center"/>
                </w:tcPr>
                <w:p w14:paraId="25D7A0E2">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rPr>
                    <w:t>原煤、石灰、除尘灰、脱硫灰等粉状物料采取密闭或封闭等有效措施，产尘</w:t>
                  </w:r>
                  <w:r>
                    <w:rPr>
                      <w:rFonts w:hint="default" w:ascii="Times New Roman" w:hAnsi="Times New Roman" w:cs="Times New Roman"/>
                      <w:spacing w:val="-1"/>
                    </w:rPr>
                    <w:t>点及车间不得有可见烟（粉）尘外逸</w:t>
                  </w:r>
                </w:p>
              </w:tc>
              <w:tc>
                <w:tcPr>
                  <w:tcW w:w="914" w:type="dxa"/>
                  <w:tcBorders>
                    <w:right w:val="single" w:color="000000" w:sz="6" w:space="0"/>
                  </w:tcBorders>
                  <w:vAlign w:val="center"/>
                </w:tcPr>
                <w:p w14:paraId="32F49C58">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rPr>
                    <w:t>未达到</w:t>
                  </w:r>
                  <w:r>
                    <w:rPr>
                      <w:rFonts w:hint="default" w:ascii="Times New Roman" w:hAnsi="Times New Roman" w:cs="Times New Roman"/>
                      <w:spacing w:val="-35"/>
                    </w:rPr>
                    <w:t xml:space="preserve"> </w:t>
                  </w:r>
                  <w:r>
                    <w:rPr>
                      <w:rFonts w:hint="default" w:ascii="Times New Roman" w:hAnsi="Times New Roman" w:eastAsia="Times New Roman" w:cs="Times New Roman"/>
                    </w:rPr>
                    <w:t>B</w:t>
                  </w:r>
                  <w:r>
                    <w:rPr>
                      <w:rFonts w:hint="default" w:ascii="Times New Roman" w:hAnsi="Times New Roman" w:eastAsia="Times New Roman" w:cs="Times New Roman"/>
                      <w:spacing w:val="-18"/>
                    </w:rPr>
                    <w:t xml:space="preserve"> </w:t>
                  </w:r>
                  <w:r>
                    <w:rPr>
                      <w:rFonts w:hint="default" w:ascii="Times New Roman" w:hAnsi="Times New Roman" w:cs="Times New Roman"/>
                    </w:rPr>
                    <w:t>、</w:t>
                  </w:r>
                  <w:r>
                    <w:rPr>
                      <w:rFonts w:hint="default" w:ascii="Times New Roman" w:hAnsi="Times New Roman" w:eastAsia="Times New Roman" w:cs="Times New Roman"/>
                    </w:rPr>
                    <w:t>C</w:t>
                  </w:r>
                  <w:r>
                    <w:rPr>
                      <w:rFonts w:hint="default" w:ascii="Times New Roman" w:hAnsi="Times New Roman" w:eastAsia="Times New Roman" w:cs="Times New Roman"/>
                      <w:spacing w:val="24"/>
                    </w:rPr>
                    <w:t xml:space="preserve"> </w:t>
                  </w:r>
                  <w:r>
                    <w:rPr>
                      <w:rFonts w:hint="default" w:ascii="Times New Roman" w:hAnsi="Times New Roman" w:cs="Times New Roman"/>
                    </w:rPr>
                    <w:t>级要求</w:t>
                  </w:r>
                </w:p>
              </w:tc>
              <w:tc>
                <w:tcPr>
                  <w:tcW w:w="2114" w:type="dxa"/>
                  <w:tcBorders>
                    <w:right w:val="single" w:color="000000" w:sz="6" w:space="0"/>
                  </w:tcBorders>
                  <w:vAlign w:val="center"/>
                </w:tcPr>
                <w:p w14:paraId="510088BB">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3"/>
                      <w:lang w:val="en-US" w:eastAsia="zh-CN"/>
                    </w:rPr>
                    <w:t>本项目</w:t>
                  </w:r>
                  <w:r>
                    <w:rPr>
                      <w:rFonts w:hint="default" w:ascii="Times New Roman" w:hAnsi="Times New Roman" w:cs="Times New Roman"/>
                      <w:spacing w:val="-3"/>
                    </w:rPr>
                    <w:t>粉状物料全部密闭或封闭储存，采用密闭皮带、封闭通廊或密闭车厢等方式输送。产尘点及车间不得有可见烟（粉）尘外逸。料棚配备喷雾抑尘设施</w:t>
                  </w:r>
                </w:p>
              </w:tc>
            </w:tr>
            <w:tr w14:paraId="58F68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jc w:val="center"/>
              </w:trPr>
              <w:tc>
                <w:tcPr>
                  <w:tcW w:w="769" w:type="dxa"/>
                  <w:tcBorders>
                    <w:left w:val="single" w:color="000000" w:sz="6" w:space="0"/>
                  </w:tcBorders>
                  <w:vAlign w:val="center"/>
                </w:tcPr>
                <w:p w14:paraId="4807E112">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监测监控水平</w:t>
                  </w:r>
                </w:p>
              </w:tc>
              <w:tc>
                <w:tcPr>
                  <w:tcW w:w="9137" w:type="dxa"/>
                  <w:gridSpan w:val="3"/>
                  <w:vAlign w:val="center"/>
                </w:tcPr>
                <w:p w14:paraId="386E58FE">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1"/>
                    </w:rPr>
                    <w:t>重点排污企业干燥、焙烧窑排放口安装</w:t>
                  </w:r>
                  <w:r>
                    <w:rPr>
                      <w:rFonts w:hint="default" w:ascii="Times New Roman" w:hAnsi="Times New Roman" w:cs="Times New Roman"/>
                      <w:spacing w:val="-33"/>
                    </w:rPr>
                    <w:t xml:space="preserve"> </w:t>
                  </w:r>
                  <w:r>
                    <w:rPr>
                      <w:rFonts w:hint="default" w:ascii="Times New Roman" w:hAnsi="Times New Roman" w:eastAsia="Times New Roman" w:cs="Times New Roman"/>
                      <w:spacing w:val="-1"/>
                    </w:rPr>
                    <w:t>CEMS</w:t>
                  </w:r>
                  <w:r>
                    <w:rPr>
                      <w:rFonts w:hint="default" w:ascii="Times New Roman" w:hAnsi="Times New Roman" w:cs="Times New Roman"/>
                      <w:spacing w:val="-1"/>
                    </w:rPr>
                    <w:t>，数据保存一年以上</w:t>
                  </w:r>
                </w:p>
              </w:tc>
              <w:tc>
                <w:tcPr>
                  <w:tcW w:w="914" w:type="dxa"/>
                  <w:tcBorders>
                    <w:right w:val="single" w:color="000000" w:sz="6" w:space="0"/>
                  </w:tcBorders>
                  <w:vAlign w:val="center"/>
                </w:tcPr>
                <w:p w14:paraId="5825769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10"/>
                    </w:rPr>
                    <w:t>未达到</w:t>
                  </w:r>
                  <w:r>
                    <w:rPr>
                      <w:rFonts w:hint="default" w:ascii="Times New Roman" w:hAnsi="Times New Roman" w:eastAsia="Times New Roman" w:cs="Times New Roman"/>
                      <w:spacing w:val="-10"/>
                    </w:rPr>
                    <w:t>A</w:t>
                  </w:r>
                  <w:r>
                    <w:rPr>
                      <w:rFonts w:hint="default" w:ascii="Times New Roman" w:hAnsi="Times New Roman" w:cs="Times New Roman"/>
                      <w:spacing w:val="-10"/>
                    </w:rPr>
                    <w:t>、</w:t>
                  </w:r>
                  <w:r>
                    <w:rPr>
                      <w:rFonts w:hint="default" w:ascii="Times New Roman" w:hAnsi="Times New Roman" w:eastAsia="Times New Roman" w:cs="Times New Roman"/>
                      <w:spacing w:val="-10"/>
                    </w:rPr>
                    <w:t>B</w:t>
                  </w:r>
                  <w:r>
                    <w:rPr>
                      <w:rFonts w:hint="default" w:ascii="Times New Roman" w:hAnsi="Times New Roman" w:cs="Times New Roman"/>
                      <w:spacing w:val="-10"/>
                    </w:rPr>
                    <w:t>、</w:t>
                  </w:r>
                  <w:r>
                    <w:rPr>
                      <w:rFonts w:hint="default" w:ascii="Times New Roman" w:hAnsi="Times New Roman" w:eastAsia="Times New Roman" w:cs="Times New Roman"/>
                      <w:spacing w:val="-10"/>
                    </w:rPr>
                    <w:t>C</w:t>
                  </w:r>
                  <w:r>
                    <w:rPr>
                      <w:rFonts w:hint="default" w:ascii="Times New Roman" w:hAnsi="Times New Roman" w:eastAsia="Times New Roman" w:cs="Times New Roman"/>
                      <w:spacing w:val="11"/>
                    </w:rPr>
                    <w:t xml:space="preserve"> </w:t>
                  </w:r>
                  <w:r>
                    <w:rPr>
                      <w:rFonts w:hint="default" w:ascii="Times New Roman" w:hAnsi="Times New Roman" w:cs="Times New Roman"/>
                      <w:spacing w:val="-10"/>
                    </w:rPr>
                    <w:t>级</w:t>
                  </w:r>
                  <w:r>
                    <w:rPr>
                      <w:rFonts w:hint="default" w:ascii="Times New Roman" w:hAnsi="Times New Roman" w:cs="Times New Roman"/>
                      <w:spacing w:val="-3"/>
                    </w:rPr>
                    <w:t>要求</w:t>
                  </w:r>
                </w:p>
              </w:tc>
              <w:tc>
                <w:tcPr>
                  <w:tcW w:w="2114" w:type="dxa"/>
                  <w:tcBorders>
                    <w:right w:val="single" w:color="000000" w:sz="6" w:space="0"/>
                  </w:tcBorders>
                  <w:vAlign w:val="center"/>
                </w:tcPr>
                <w:p w14:paraId="5665048A">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10"/>
                    </w:rPr>
                  </w:pPr>
                  <w:r>
                    <w:rPr>
                      <w:rFonts w:hint="default" w:ascii="Times New Roman" w:hAnsi="Times New Roman" w:cs="Times New Roman"/>
                      <w:spacing w:val="-1"/>
                      <w:lang w:val="en-US" w:eastAsia="zh-CN"/>
                    </w:rPr>
                    <w:t>本项目</w:t>
                  </w:r>
                  <w:r>
                    <w:rPr>
                      <w:rFonts w:hint="default" w:ascii="Times New Roman" w:hAnsi="Times New Roman" w:cs="Times New Roman"/>
                      <w:spacing w:val="-1"/>
                    </w:rPr>
                    <w:t>干燥、焙烧窑排放口安装</w:t>
                  </w:r>
                  <w:r>
                    <w:rPr>
                      <w:rFonts w:hint="default" w:ascii="Times New Roman" w:hAnsi="Times New Roman" w:cs="Times New Roman"/>
                      <w:spacing w:val="-33"/>
                    </w:rPr>
                    <w:t xml:space="preserve"> </w:t>
                  </w:r>
                  <w:r>
                    <w:rPr>
                      <w:rFonts w:hint="default" w:ascii="Times New Roman" w:hAnsi="Times New Roman" w:eastAsia="Times New Roman" w:cs="Times New Roman"/>
                      <w:spacing w:val="-1"/>
                    </w:rPr>
                    <w:t>CEMS</w:t>
                  </w:r>
                  <w:r>
                    <w:rPr>
                      <w:rFonts w:hint="default" w:ascii="Times New Roman" w:hAnsi="Times New Roman" w:cs="Times New Roman"/>
                      <w:spacing w:val="-1"/>
                    </w:rPr>
                    <w:t>，数据保存一年以上</w:t>
                  </w:r>
                </w:p>
              </w:tc>
            </w:tr>
            <w:tr w14:paraId="01746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jc w:val="center"/>
              </w:trPr>
              <w:tc>
                <w:tcPr>
                  <w:tcW w:w="769" w:type="dxa"/>
                  <w:vMerge w:val="restart"/>
                  <w:tcBorders>
                    <w:left w:val="single" w:color="000000" w:sz="6" w:space="0"/>
                    <w:bottom w:val="nil"/>
                  </w:tcBorders>
                  <w:vAlign w:val="center"/>
                </w:tcPr>
                <w:p w14:paraId="36E7ADCD">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环境管理水平</w:t>
                  </w:r>
                </w:p>
              </w:tc>
              <w:tc>
                <w:tcPr>
                  <w:tcW w:w="9137" w:type="dxa"/>
                  <w:gridSpan w:val="3"/>
                  <w:vAlign w:val="center"/>
                </w:tcPr>
                <w:p w14:paraId="2A9F9B3C">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rPr>
                    <w:t>环保档案齐全：</w:t>
                  </w:r>
                  <w:r>
                    <w:rPr>
                      <w:rFonts w:hint="default" w:ascii="Times New Roman" w:hAnsi="Times New Roman" w:eastAsia="Times New Roman" w:cs="Times New Roman"/>
                    </w:rPr>
                    <w:t>1</w:t>
                  </w:r>
                  <w:r>
                    <w:rPr>
                      <w:rFonts w:hint="default" w:ascii="Times New Roman" w:hAnsi="Times New Roman" w:cs="Times New Roman"/>
                    </w:rPr>
                    <w:t>、环评批复文件</w:t>
                  </w:r>
                  <w:r>
                    <w:rPr>
                      <w:rFonts w:hint="default" w:ascii="Times New Roman" w:hAnsi="Times New Roman" w:eastAsia="Times New Roman" w:cs="Times New Roman"/>
                    </w:rPr>
                    <w:t>/</w:t>
                  </w:r>
                  <w:r>
                    <w:rPr>
                      <w:rFonts w:hint="default" w:ascii="Times New Roman" w:hAnsi="Times New Roman" w:cs="Times New Roman"/>
                    </w:rPr>
                    <w:t>地方政府对违规项目的认定或备案文件；</w:t>
                  </w:r>
                  <w:r>
                    <w:rPr>
                      <w:rFonts w:hint="default" w:ascii="Times New Roman" w:hAnsi="Times New Roman" w:eastAsia="Times New Roman" w:cs="Times New Roman"/>
                    </w:rPr>
                    <w:t>2</w:t>
                  </w:r>
                  <w:r>
                    <w:rPr>
                      <w:rFonts w:hint="default" w:ascii="Times New Roman" w:hAnsi="Times New Roman" w:cs="Times New Roman"/>
                    </w:rPr>
                    <w:t>、排污许可证及季度、年度执行报告；</w:t>
                  </w:r>
                  <w:r>
                    <w:rPr>
                      <w:rFonts w:hint="default" w:ascii="Times New Roman" w:hAnsi="Times New Roman" w:eastAsia="Times New Roman" w:cs="Times New Roman"/>
                    </w:rPr>
                    <w:t>3</w:t>
                  </w:r>
                  <w:r>
                    <w:rPr>
                      <w:rFonts w:hint="default" w:ascii="Times New Roman" w:hAnsi="Times New Roman" w:cs="Times New Roman"/>
                    </w:rPr>
                    <w:t>、</w:t>
                  </w:r>
                  <w:r>
                    <w:rPr>
                      <w:rFonts w:hint="default" w:ascii="Times New Roman" w:hAnsi="Times New Roman" w:cs="Times New Roman"/>
                      <w:spacing w:val="-1"/>
                    </w:rPr>
                    <w:t>竣工验收文件；</w:t>
                  </w:r>
                  <w:r>
                    <w:rPr>
                      <w:rFonts w:hint="default" w:ascii="Times New Roman" w:hAnsi="Times New Roman" w:eastAsia="Times New Roman" w:cs="Times New Roman"/>
                      <w:spacing w:val="-1"/>
                    </w:rPr>
                    <w:t>4</w:t>
                  </w:r>
                  <w:r>
                    <w:rPr>
                      <w:rFonts w:hint="default" w:ascii="Times New Roman" w:hAnsi="Times New Roman" w:cs="Times New Roman"/>
                      <w:spacing w:val="-1"/>
                    </w:rPr>
                    <w:t>、废气治理设施运行管理规程；</w:t>
                  </w:r>
                  <w:r>
                    <w:rPr>
                      <w:rFonts w:hint="default" w:ascii="Times New Roman" w:hAnsi="Times New Roman" w:eastAsia="Times New Roman" w:cs="Times New Roman"/>
                      <w:spacing w:val="-1"/>
                    </w:rPr>
                    <w:t>5</w:t>
                  </w:r>
                  <w:r>
                    <w:rPr>
                      <w:rFonts w:hint="default" w:ascii="Times New Roman" w:hAnsi="Times New Roman" w:eastAsia="Times New Roman" w:cs="Times New Roman"/>
                      <w:spacing w:val="-27"/>
                    </w:rPr>
                    <w:t xml:space="preserve"> </w:t>
                  </w:r>
                  <w:r>
                    <w:rPr>
                      <w:rFonts w:hint="default" w:ascii="Times New Roman" w:hAnsi="Times New Roman" w:cs="Times New Roman"/>
                      <w:spacing w:val="-1"/>
                    </w:rPr>
                    <w:t>、一年内第三方废气监测报告</w:t>
                  </w:r>
                </w:p>
              </w:tc>
              <w:tc>
                <w:tcPr>
                  <w:tcW w:w="914" w:type="dxa"/>
                  <w:tcBorders>
                    <w:right w:val="single" w:color="000000" w:sz="6" w:space="0"/>
                  </w:tcBorders>
                  <w:vAlign w:val="center"/>
                </w:tcPr>
                <w:p w14:paraId="04263CD5">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10"/>
                    </w:rPr>
                    <w:t>未达到</w:t>
                  </w:r>
                  <w:r>
                    <w:rPr>
                      <w:rFonts w:hint="default" w:ascii="Times New Roman" w:hAnsi="Times New Roman" w:eastAsia="Times New Roman" w:cs="Times New Roman"/>
                      <w:spacing w:val="-10"/>
                    </w:rPr>
                    <w:t>A</w:t>
                  </w:r>
                  <w:r>
                    <w:rPr>
                      <w:rFonts w:hint="default" w:ascii="Times New Roman" w:hAnsi="Times New Roman" w:cs="Times New Roman"/>
                      <w:spacing w:val="-10"/>
                    </w:rPr>
                    <w:t>、</w:t>
                  </w:r>
                  <w:r>
                    <w:rPr>
                      <w:rFonts w:hint="default" w:ascii="Times New Roman" w:hAnsi="Times New Roman" w:eastAsia="Times New Roman" w:cs="Times New Roman"/>
                      <w:spacing w:val="-10"/>
                    </w:rPr>
                    <w:t>B</w:t>
                  </w:r>
                  <w:r>
                    <w:rPr>
                      <w:rFonts w:hint="default" w:ascii="Times New Roman" w:hAnsi="Times New Roman" w:cs="Times New Roman"/>
                      <w:spacing w:val="-10"/>
                    </w:rPr>
                    <w:t>、</w:t>
                  </w:r>
                  <w:r>
                    <w:rPr>
                      <w:rFonts w:hint="default" w:ascii="Times New Roman" w:hAnsi="Times New Roman" w:eastAsia="Times New Roman" w:cs="Times New Roman"/>
                      <w:spacing w:val="-10"/>
                    </w:rPr>
                    <w:t>C</w:t>
                  </w:r>
                  <w:r>
                    <w:rPr>
                      <w:rFonts w:hint="default" w:ascii="Times New Roman" w:hAnsi="Times New Roman" w:eastAsia="Times New Roman" w:cs="Times New Roman"/>
                      <w:spacing w:val="11"/>
                    </w:rPr>
                    <w:t xml:space="preserve"> </w:t>
                  </w:r>
                  <w:r>
                    <w:rPr>
                      <w:rFonts w:hint="default" w:ascii="Times New Roman" w:hAnsi="Times New Roman" w:cs="Times New Roman"/>
                      <w:spacing w:val="-10"/>
                    </w:rPr>
                    <w:t>级</w:t>
                  </w:r>
                  <w:r>
                    <w:rPr>
                      <w:rFonts w:hint="default" w:ascii="Times New Roman" w:hAnsi="Times New Roman" w:cs="Times New Roman"/>
                      <w:spacing w:val="-3"/>
                    </w:rPr>
                    <w:t>要求</w:t>
                  </w:r>
                </w:p>
              </w:tc>
              <w:tc>
                <w:tcPr>
                  <w:tcW w:w="2114" w:type="dxa"/>
                  <w:vMerge w:val="restart"/>
                  <w:tcBorders>
                    <w:right w:val="single" w:color="000000" w:sz="6" w:space="0"/>
                  </w:tcBorders>
                  <w:vAlign w:val="center"/>
                </w:tcPr>
                <w:p w14:paraId="3F7FBF8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10"/>
                    </w:rPr>
                  </w:pPr>
                  <w:r>
                    <w:rPr>
                      <w:rFonts w:hint="default" w:ascii="Times New Roman" w:hAnsi="Times New Roman" w:cs="Times New Roman"/>
                      <w:lang w:val="en-US" w:eastAsia="zh-CN"/>
                    </w:rPr>
                    <w:t>企业设专职环保人员，环保档案及台账记录专人管理，设专柜进行保存，</w:t>
                  </w:r>
                  <w:r>
                    <w:rPr>
                      <w:rFonts w:hint="default" w:ascii="Times New Roman" w:hAnsi="Times New Roman" w:cs="Times New Roman"/>
                    </w:rPr>
                    <w:t>环保档案</w:t>
                  </w:r>
                  <w:r>
                    <w:rPr>
                      <w:rFonts w:hint="default" w:ascii="Times New Roman" w:hAnsi="Times New Roman" w:cs="Times New Roman"/>
                      <w:lang w:val="en-US" w:eastAsia="zh-CN"/>
                    </w:rPr>
                    <w:t>及台账记录</w:t>
                  </w:r>
                  <w:r>
                    <w:rPr>
                      <w:rFonts w:hint="default" w:ascii="Times New Roman" w:hAnsi="Times New Roman" w:cs="Times New Roman"/>
                    </w:rPr>
                    <w:t>齐全</w:t>
                  </w:r>
                </w:p>
              </w:tc>
            </w:tr>
            <w:tr w14:paraId="40E80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jc w:val="center"/>
              </w:trPr>
              <w:tc>
                <w:tcPr>
                  <w:tcW w:w="769" w:type="dxa"/>
                  <w:vMerge w:val="continue"/>
                  <w:tcBorders>
                    <w:top w:val="nil"/>
                    <w:left w:val="single" w:color="000000" w:sz="6" w:space="0"/>
                    <w:bottom w:val="nil"/>
                  </w:tcBorders>
                  <w:vAlign w:val="center"/>
                </w:tcPr>
                <w:p w14:paraId="42F90057">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z w:val="21"/>
                    </w:rPr>
                  </w:pPr>
                </w:p>
              </w:tc>
              <w:tc>
                <w:tcPr>
                  <w:tcW w:w="6642" w:type="dxa"/>
                  <w:gridSpan w:val="2"/>
                  <w:vAlign w:val="center"/>
                </w:tcPr>
                <w:p w14:paraId="2271377D">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5"/>
                    </w:rPr>
                    <w:t>台账记录：</w:t>
                  </w:r>
                  <w:r>
                    <w:rPr>
                      <w:rFonts w:hint="default" w:ascii="Times New Roman" w:hAnsi="Times New Roman" w:eastAsia="Times New Roman" w:cs="Times New Roman"/>
                      <w:spacing w:val="-5"/>
                    </w:rPr>
                    <w:t>1</w:t>
                  </w:r>
                  <w:r>
                    <w:rPr>
                      <w:rFonts w:hint="default" w:ascii="Times New Roman" w:hAnsi="Times New Roman" w:cs="Times New Roman"/>
                      <w:spacing w:val="-5"/>
                    </w:rPr>
                    <w:t>、生产设施运行管理信息（生产时间、运行负荷、产品产量等</w:t>
                  </w:r>
                  <w:r>
                    <w:rPr>
                      <w:rFonts w:hint="default" w:ascii="Times New Roman" w:hAnsi="Times New Roman" w:cs="Times New Roman"/>
                      <w:spacing w:val="7"/>
                    </w:rPr>
                    <w:t>）；</w:t>
                  </w:r>
                  <w:r>
                    <w:rPr>
                      <w:rFonts w:hint="default" w:ascii="Times New Roman" w:hAnsi="Times New Roman" w:eastAsia="Times New Roman" w:cs="Times New Roman"/>
                      <w:spacing w:val="-5"/>
                    </w:rPr>
                    <w:t>2</w:t>
                  </w:r>
                  <w:r>
                    <w:rPr>
                      <w:rFonts w:hint="default" w:ascii="Times New Roman" w:hAnsi="Times New Roman" w:cs="Times New Roman"/>
                      <w:spacing w:val="-5"/>
                    </w:rPr>
                    <w:t>、</w:t>
                  </w:r>
                  <w:r>
                    <w:rPr>
                      <w:rFonts w:hint="default" w:ascii="Times New Roman" w:hAnsi="Times New Roman" w:cs="Times New Roman"/>
                      <w:spacing w:val="1"/>
                    </w:rPr>
                    <w:t>废气污染治理设施运行管理信息（除尘滤料更换量和时间、脱硫及脱硝剂添加量和时间等</w:t>
                  </w:r>
                  <w:r>
                    <w:rPr>
                      <w:rFonts w:hint="default" w:ascii="Times New Roman" w:hAnsi="Times New Roman" w:cs="Times New Roman"/>
                      <w:spacing w:val="-41"/>
                    </w:rPr>
                    <w:t>）；</w:t>
                  </w:r>
                  <w:r>
                    <w:rPr>
                      <w:rFonts w:hint="default" w:ascii="Times New Roman" w:hAnsi="Times New Roman" w:eastAsia="Times New Roman" w:cs="Times New Roman"/>
                      <w:spacing w:val="1"/>
                    </w:rPr>
                    <w:t>3</w:t>
                  </w:r>
                  <w:r>
                    <w:rPr>
                      <w:rFonts w:hint="default" w:ascii="Times New Roman" w:hAnsi="Times New Roman" w:cs="Times New Roman"/>
                      <w:spacing w:val="1"/>
                    </w:rPr>
                    <w:t>、监测记录信息（主要污染排放口废气排放记录（手工监测和在线</w:t>
                  </w:r>
                  <w:r>
                    <w:rPr>
                      <w:rFonts w:hint="default" w:ascii="Times New Roman" w:hAnsi="Times New Roman" w:cs="Times New Roman"/>
                      <w:spacing w:val="-3"/>
                    </w:rPr>
                    <w:t>监测）等</w:t>
                  </w:r>
                  <w:r>
                    <w:rPr>
                      <w:rFonts w:hint="default" w:ascii="Times New Roman" w:hAnsi="Times New Roman" w:cs="Times New Roman"/>
                      <w:spacing w:val="-16"/>
                    </w:rPr>
                    <w:t>）；</w:t>
                  </w:r>
                  <w:r>
                    <w:rPr>
                      <w:rFonts w:hint="default" w:ascii="Times New Roman" w:hAnsi="Times New Roman" w:eastAsia="Times New Roman" w:cs="Times New Roman"/>
                      <w:spacing w:val="-3"/>
                    </w:rPr>
                    <w:t>4</w:t>
                  </w:r>
                  <w:r>
                    <w:rPr>
                      <w:rFonts w:hint="default" w:ascii="Times New Roman" w:hAnsi="Times New Roman" w:cs="Times New Roman"/>
                      <w:spacing w:val="-3"/>
                    </w:rPr>
                    <w:t>、主要原辅材料消耗记录；</w:t>
                  </w:r>
                  <w:r>
                    <w:rPr>
                      <w:rFonts w:hint="default" w:ascii="Times New Roman" w:hAnsi="Times New Roman" w:eastAsia="Times New Roman" w:cs="Times New Roman"/>
                      <w:spacing w:val="-3"/>
                    </w:rPr>
                    <w:t>5</w:t>
                  </w:r>
                  <w:r>
                    <w:rPr>
                      <w:rFonts w:hint="default" w:ascii="Times New Roman" w:hAnsi="Times New Roman" w:cs="Times New Roman"/>
                      <w:spacing w:val="-3"/>
                    </w:rPr>
                    <w:t>、燃料（天然气）消耗记录</w:t>
                  </w:r>
                </w:p>
              </w:tc>
              <w:tc>
                <w:tcPr>
                  <w:tcW w:w="2495" w:type="dxa"/>
                  <w:vAlign w:val="center"/>
                </w:tcPr>
                <w:p w14:paraId="42EAF19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7"/>
                    </w:rPr>
                    <w:t>至少符合</w:t>
                  </w:r>
                  <w:r>
                    <w:rPr>
                      <w:rFonts w:hint="default" w:ascii="Times New Roman" w:hAnsi="Times New Roman" w:eastAsia="Times New Roman" w:cs="Times New Roman"/>
                      <w:spacing w:val="-7"/>
                    </w:rPr>
                    <w:t>A</w:t>
                  </w:r>
                  <w:r>
                    <w:rPr>
                      <w:rFonts w:hint="default" w:ascii="Times New Roman" w:hAnsi="Times New Roman" w:cs="Times New Roman"/>
                      <w:spacing w:val="-7"/>
                    </w:rPr>
                    <w:t>、</w:t>
                  </w:r>
                  <w:r>
                    <w:rPr>
                      <w:rFonts w:hint="default" w:ascii="Times New Roman" w:hAnsi="Times New Roman" w:eastAsia="Times New Roman" w:cs="Times New Roman"/>
                      <w:spacing w:val="-7"/>
                    </w:rPr>
                    <w:t>B</w:t>
                  </w:r>
                  <w:r>
                    <w:rPr>
                      <w:rFonts w:hint="default" w:ascii="Times New Roman" w:hAnsi="Times New Roman" w:eastAsia="Times New Roman" w:cs="Times New Roman"/>
                      <w:spacing w:val="14"/>
                    </w:rPr>
                    <w:t xml:space="preserve"> </w:t>
                  </w:r>
                  <w:r>
                    <w:rPr>
                      <w:rFonts w:hint="default" w:ascii="Times New Roman" w:hAnsi="Times New Roman" w:cs="Times New Roman"/>
                      <w:spacing w:val="-7"/>
                    </w:rPr>
                    <w:t>级要求中</w:t>
                  </w:r>
                  <w:r>
                    <w:rPr>
                      <w:rFonts w:hint="default" w:ascii="Times New Roman" w:hAnsi="Times New Roman" w:cs="Times New Roman"/>
                      <w:spacing w:val="-29"/>
                    </w:rPr>
                    <w:t xml:space="preserve"> </w:t>
                  </w:r>
                  <w:r>
                    <w:rPr>
                      <w:rFonts w:hint="default" w:ascii="Times New Roman" w:hAnsi="Times New Roman" w:eastAsia="Times New Roman" w:cs="Times New Roman"/>
                      <w:spacing w:val="-7"/>
                    </w:rPr>
                    <w:t>1</w:t>
                  </w:r>
                  <w:r>
                    <w:rPr>
                      <w:rFonts w:hint="default" w:ascii="Times New Roman" w:hAnsi="Times New Roman" w:cs="Times New Roman"/>
                      <w:spacing w:val="-7"/>
                    </w:rPr>
                    <w:t>、</w:t>
                  </w:r>
                  <w:r>
                    <w:rPr>
                      <w:rFonts w:hint="default" w:ascii="Times New Roman" w:hAnsi="Times New Roman" w:eastAsia="Times New Roman" w:cs="Times New Roman"/>
                      <w:spacing w:val="-7"/>
                    </w:rPr>
                    <w:t>2</w:t>
                  </w:r>
                  <w:r>
                    <w:rPr>
                      <w:rFonts w:hint="default" w:ascii="Times New Roman" w:hAnsi="Times New Roman" w:cs="Times New Roman"/>
                      <w:spacing w:val="-7"/>
                    </w:rPr>
                    <w:t>、</w:t>
                  </w:r>
                  <w:r>
                    <w:rPr>
                      <w:rFonts w:hint="default" w:ascii="Times New Roman" w:hAnsi="Times New Roman" w:eastAsia="Times New Roman" w:cs="Times New Roman"/>
                      <w:spacing w:val="-7"/>
                    </w:rPr>
                    <w:t>3</w:t>
                  </w:r>
                  <w:r>
                    <w:rPr>
                      <w:rFonts w:hint="default" w:ascii="Times New Roman" w:hAnsi="Times New Roman" w:eastAsia="Times New Roman" w:cs="Times New Roman"/>
                      <w:spacing w:val="12"/>
                    </w:rPr>
                    <w:t xml:space="preserve"> </w:t>
                  </w:r>
                  <w:r>
                    <w:rPr>
                      <w:rFonts w:hint="default" w:ascii="Times New Roman" w:hAnsi="Times New Roman" w:cs="Times New Roman"/>
                      <w:spacing w:val="-7"/>
                    </w:rPr>
                    <w:t>项</w:t>
                  </w:r>
                </w:p>
              </w:tc>
              <w:tc>
                <w:tcPr>
                  <w:tcW w:w="914" w:type="dxa"/>
                  <w:tcBorders>
                    <w:right w:val="single" w:color="000000" w:sz="6" w:space="0"/>
                  </w:tcBorders>
                  <w:vAlign w:val="center"/>
                </w:tcPr>
                <w:p w14:paraId="720FF93E">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eastAsia="Times New Roman" w:cs="Times New Roman"/>
                      <w:spacing w:val="-4"/>
                    </w:rPr>
                    <w:t>C</w:t>
                  </w:r>
                  <w:r>
                    <w:rPr>
                      <w:rFonts w:hint="default" w:ascii="Times New Roman" w:hAnsi="Times New Roman" w:eastAsia="Times New Roman" w:cs="Times New Roman"/>
                      <w:spacing w:val="12"/>
                    </w:rPr>
                    <w:t xml:space="preserve"> </w:t>
                  </w:r>
                  <w:r>
                    <w:rPr>
                      <w:rFonts w:hint="default" w:ascii="Times New Roman" w:hAnsi="Times New Roman" w:cs="Times New Roman"/>
                      <w:spacing w:val="-4"/>
                    </w:rPr>
                    <w:t>级要求</w:t>
                  </w:r>
                </w:p>
              </w:tc>
              <w:tc>
                <w:tcPr>
                  <w:tcW w:w="2114" w:type="dxa"/>
                  <w:vMerge w:val="continue"/>
                  <w:tcBorders>
                    <w:right w:val="single" w:color="000000" w:sz="6" w:space="0"/>
                  </w:tcBorders>
                  <w:vAlign w:val="center"/>
                </w:tcPr>
                <w:p w14:paraId="106AC9E1">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4"/>
                    </w:rPr>
                  </w:pPr>
                </w:p>
              </w:tc>
            </w:tr>
            <w:tr w14:paraId="5D5DC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769" w:type="dxa"/>
                  <w:vMerge w:val="continue"/>
                  <w:tcBorders>
                    <w:top w:val="nil"/>
                    <w:left w:val="single" w:color="000000" w:sz="6" w:space="0"/>
                    <w:bottom w:val="single" w:color="000000" w:sz="6" w:space="0"/>
                  </w:tcBorders>
                  <w:vAlign w:val="center"/>
                </w:tcPr>
                <w:p w14:paraId="40E6D82C">
                  <w:pPr>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z w:val="21"/>
                    </w:rPr>
                  </w:pPr>
                </w:p>
              </w:tc>
              <w:tc>
                <w:tcPr>
                  <w:tcW w:w="6642" w:type="dxa"/>
                  <w:gridSpan w:val="2"/>
                  <w:tcBorders>
                    <w:bottom w:val="single" w:color="000000" w:sz="6" w:space="0"/>
                  </w:tcBorders>
                  <w:vAlign w:val="center"/>
                </w:tcPr>
                <w:p w14:paraId="7CE883F5">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rPr>
                    <w:t>人员配置：设置环保部门，配备专职环保人员，并</w:t>
                  </w:r>
                  <w:r>
                    <w:rPr>
                      <w:rFonts w:hint="default" w:ascii="Times New Roman" w:hAnsi="Times New Roman" w:cs="Times New Roman"/>
                      <w:spacing w:val="-1"/>
                    </w:rPr>
                    <w:t>具备相应的环境管理能力</w:t>
                  </w:r>
                </w:p>
              </w:tc>
              <w:tc>
                <w:tcPr>
                  <w:tcW w:w="2495" w:type="dxa"/>
                  <w:tcBorders>
                    <w:bottom w:val="single" w:color="000000" w:sz="6" w:space="0"/>
                  </w:tcBorders>
                  <w:vAlign w:val="center"/>
                </w:tcPr>
                <w:p w14:paraId="637EBBFA">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6"/>
                    </w:rPr>
                    <w:t>人员配置：配备专职环保人员，并具</w:t>
                  </w:r>
                  <w:r>
                    <w:rPr>
                      <w:rFonts w:hint="default" w:ascii="Times New Roman" w:hAnsi="Times New Roman" w:cs="Times New Roman"/>
                      <w:spacing w:val="-1"/>
                    </w:rPr>
                    <w:t>备相应的环境管理能力</w:t>
                  </w:r>
                </w:p>
              </w:tc>
              <w:tc>
                <w:tcPr>
                  <w:tcW w:w="914" w:type="dxa"/>
                  <w:tcBorders>
                    <w:bottom w:val="single" w:color="000000" w:sz="6" w:space="0"/>
                    <w:right w:val="single" w:color="000000" w:sz="6" w:space="0"/>
                  </w:tcBorders>
                  <w:vAlign w:val="center"/>
                </w:tcPr>
                <w:p w14:paraId="2E7890E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eastAsia="Times New Roman" w:cs="Times New Roman"/>
                      <w:spacing w:val="-4"/>
                    </w:rPr>
                    <w:t>C</w:t>
                  </w:r>
                  <w:r>
                    <w:rPr>
                      <w:rFonts w:hint="default" w:ascii="Times New Roman" w:hAnsi="Times New Roman" w:eastAsia="Times New Roman" w:cs="Times New Roman"/>
                      <w:spacing w:val="12"/>
                    </w:rPr>
                    <w:t xml:space="preserve"> </w:t>
                  </w:r>
                  <w:r>
                    <w:rPr>
                      <w:rFonts w:hint="default" w:ascii="Times New Roman" w:hAnsi="Times New Roman" w:cs="Times New Roman"/>
                      <w:spacing w:val="-4"/>
                    </w:rPr>
                    <w:t>级要求</w:t>
                  </w:r>
                </w:p>
              </w:tc>
              <w:tc>
                <w:tcPr>
                  <w:tcW w:w="2114" w:type="dxa"/>
                  <w:vMerge w:val="continue"/>
                  <w:tcBorders>
                    <w:bottom w:val="single" w:color="000000" w:sz="6" w:space="0"/>
                    <w:right w:val="single" w:color="000000" w:sz="6" w:space="0"/>
                  </w:tcBorders>
                  <w:vAlign w:val="center"/>
                </w:tcPr>
                <w:p w14:paraId="75829EC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4"/>
                    </w:rPr>
                  </w:pPr>
                </w:p>
              </w:tc>
            </w:tr>
            <w:tr w14:paraId="5D09A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769" w:type="dxa"/>
                  <w:tcBorders>
                    <w:left w:val="single" w:color="000000" w:sz="6" w:space="0"/>
                  </w:tcBorders>
                  <w:vAlign w:val="center"/>
                </w:tcPr>
                <w:p w14:paraId="52C81713">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运输方式</w:t>
                  </w:r>
                </w:p>
              </w:tc>
              <w:tc>
                <w:tcPr>
                  <w:tcW w:w="3573" w:type="dxa"/>
                  <w:vAlign w:val="center"/>
                </w:tcPr>
                <w:p w14:paraId="6E933575">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3"/>
                    </w:rPr>
                    <w:t>1</w:t>
                  </w:r>
                  <w:r>
                    <w:rPr>
                      <w:rFonts w:hint="default" w:ascii="Times New Roman" w:hAnsi="Times New Roman" w:cs="Times New Roman"/>
                      <w:spacing w:val="-3"/>
                    </w:rPr>
                    <w:t>、物料公路运输全部使用达到国五及以上排放标准重型载货车辆（含燃气）或新</w:t>
                  </w:r>
                  <w:r>
                    <w:rPr>
                      <w:rFonts w:hint="default" w:ascii="Times New Roman" w:hAnsi="Times New Roman" w:cs="Times New Roman"/>
                      <w:spacing w:val="-10"/>
                    </w:rPr>
                    <w:t>能源车辆；</w:t>
                  </w:r>
                </w:p>
                <w:p w14:paraId="2DB06F83">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
                    </w:rPr>
                    <w:t>2</w:t>
                  </w:r>
                  <w:r>
                    <w:rPr>
                      <w:rFonts w:hint="default" w:ascii="Times New Roman" w:hAnsi="Times New Roman" w:cs="Times New Roman"/>
                      <w:spacing w:val="-1"/>
                    </w:rPr>
                    <w:t>、厂内运输车辆全部达到国五及以上排</w:t>
                  </w:r>
                  <w:r>
                    <w:rPr>
                      <w:rFonts w:hint="default" w:ascii="Times New Roman" w:hAnsi="Times New Roman" w:cs="Times New Roman"/>
                      <w:spacing w:val="-4"/>
                    </w:rPr>
                    <w:t>放标准（含燃气）或使用新能源车辆；</w:t>
                  </w:r>
                </w:p>
                <w:p w14:paraId="6C331DD0">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2"/>
                    </w:rPr>
                    <w:t>3</w:t>
                  </w:r>
                  <w:r>
                    <w:rPr>
                      <w:rFonts w:hint="default" w:ascii="Times New Roman" w:hAnsi="Times New Roman" w:cs="Times New Roman"/>
                      <w:spacing w:val="2"/>
                    </w:rPr>
                    <w:t>、厂内非道路移动机械全部达到国三及</w:t>
                  </w:r>
                  <w:r>
                    <w:rPr>
                      <w:rFonts w:hint="default" w:ascii="Times New Roman" w:hAnsi="Times New Roman" w:cs="Times New Roman"/>
                      <w:spacing w:val="-3"/>
                    </w:rPr>
                    <w:t>以上排放标准或使用新能源机械</w:t>
                  </w:r>
                </w:p>
              </w:tc>
              <w:tc>
                <w:tcPr>
                  <w:tcW w:w="3069" w:type="dxa"/>
                  <w:vAlign w:val="center"/>
                </w:tcPr>
                <w:p w14:paraId="0B556DC4">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3"/>
                    </w:rPr>
                    <w:t>1</w:t>
                  </w:r>
                  <w:r>
                    <w:rPr>
                      <w:rFonts w:hint="default" w:ascii="Times New Roman" w:hAnsi="Times New Roman" w:cs="Times New Roman"/>
                      <w:spacing w:val="-3"/>
                    </w:rPr>
                    <w:t>、物料公路运输使用达到国五及以上</w:t>
                  </w:r>
                  <w:r>
                    <w:rPr>
                      <w:rFonts w:hint="default" w:ascii="Times New Roman" w:hAnsi="Times New Roman" w:cs="Times New Roman"/>
                      <w:spacing w:val="-1"/>
                    </w:rPr>
                    <w:t>重型载货车辆（含燃气）或新能源车</w:t>
                  </w:r>
                  <w:r>
                    <w:rPr>
                      <w:rFonts w:hint="default" w:ascii="Times New Roman" w:hAnsi="Times New Roman" w:cs="Times New Roman"/>
                      <w:spacing w:val="-3"/>
                    </w:rPr>
                    <w:t>辆占比不低于</w:t>
                  </w:r>
                  <w:r>
                    <w:rPr>
                      <w:rFonts w:hint="default" w:ascii="Times New Roman" w:hAnsi="Times New Roman" w:cs="Times New Roman"/>
                      <w:spacing w:val="-32"/>
                    </w:rPr>
                    <w:t xml:space="preserve"> </w:t>
                  </w:r>
                  <w:r>
                    <w:rPr>
                      <w:rFonts w:hint="default" w:ascii="Times New Roman" w:hAnsi="Times New Roman" w:eastAsia="Times New Roman" w:cs="Times New Roman"/>
                      <w:spacing w:val="-3"/>
                    </w:rPr>
                    <w:t>50%</w:t>
                  </w:r>
                  <w:r>
                    <w:rPr>
                      <w:rFonts w:hint="default" w:ascii="Times New Roman" w:hAnsi="Times New Roman" w:cs="Times New Roman"/>
                      <w:spacing w:val="-3"/>
                    </w:rPr>
                    <w:t>，其他车辆达到国</w:t>
                  </w:r>
                  <w:r>
                    <w:rPr>
                      <w:rFonts w:hint="default" w:ascii="Times New Roman" w:hAnsi="Times New Roman" w:cs="Times New Roman"/>
                      <w:spacing w:val="-8"/>
                    </w:rPr>
                    <w:t>四排放标准；</w:t>
                  </w:r>
                </w:p>
                <w:p w14:paraId="68EC3D8B">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
                    </w:rPr>
                    <w:t>2</w:t>
                  </w:r>
                  <w:r>
                    <w:rPr>
                      <w:rFonts w:hint="default" w:ascii="Times New Roman" w:hAnsi="Times New Roman" w:cs="Times New Roman"/>
                      <w:spacing w:val="-1"/>
                    </w:rPr>
                    <w:t>、厂内运输使用达到国五及以上排放标准（含燃气）或新能源车辆占比不</w:t>
                  </w:r>
                  <w:r>
                    <w:rPr>
                      <w:rFonts w:hint="default" w:ascii="Times New Roman" w:hAnsi="Times New Roman" w:cs="Times New Roman"/>
                      <w:spacing w:val="-2"/>
                    </w:rPr>
                    <w:t>低于</w:t>
                  </w:r>
                  <w:r>
                    <w:rPr>
                      <w:rFonts w:hint="default" w:ascii="Times New Roman" w:hAnsi="Times New Roman" w:cs="Times New Roman"/>
                      <w:spacing w:val="-36"/>
                    </w:rPr>
                    <w:t xml:space="preserve"> </w:t>
                  </w:r>
                  <w:r>
                    <w:rPr>
                      <w:rFonts w:hint="default" w:ascii="Times New Roman" w:hAnsi="Times New Roman" w:eastAsia="Times New Roman" w:cs="Times New Roman"/>
                      <w:spacing w:val="-2"/>
                    </w:rPr>
                    <w:t>50%</w:t>
                  </w:r>
                  <w:r>
                    <w:rPr>
                      <w:rFonts w:hint="default" w:ascii="Times New Roman" w:hAnsi="Times New Roman" w:cs="Times New Roman"/>
                      <w:spacing w:val="-2"/>
                    </w:rPr>
                    <w:t>，其他车辆达到国四排放标</w:t>
                  </w:r>
                  <w:r>
                    <w:rPr>
                      <w:rFonts w:hint="default" w:ascii="Times New Roman" w:hAnsi="Times New Roman" w:cs="Times New Roman"/>
                      <w:spacing w:val="-14"/>
                    </w:rPr>
                    <w:t>准；</w:t>
                  </w:r>
                </w:p>
                <w:p w14:paraId="219D1D8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2"/>
                    </w:rPr>
                    <w:t>3</w:t>
                  </w:r>
                  <w:r>
                    <w:rPr>
                      <w:rFonts w:hint="default" w:ascii="Times New Roman" w:hAnsi="Times New Roman" w:cs="Times New Roman"/>
                      <w:spacing w:val="-2"/>
                    </w:rPr>
                    <w:t>、厂内非道路移动机械全部达到国三</w:t>
                  </w:r>
                  <w:r>
                    <w:rPr>
                      <w:rFonts w:hint="default" w:ascii="Times New Roman" w:hAnsi="Times New Roman" w:cs="Times New Roman"/>
                      <w:spacing w:val="-1"/>
                    </w:rPr>
                    <w:t>及以上排放标准或使用新能源机械</w:t>
                  </w:r>
                </w:p>
              </w:tc>
              <w:tc>
                <w:tcPr>
                  <w:tcW w:w="2495" w:type="dxa"/>
                  <w:vAlign w:val="center"/>
                </w:tcPr>
                <w:p w14:paraId="389BE4D1">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3"/>
                    </w:rPr>
                    <w:t>1</w:t>
                  </w:r>
                  <w:r>
                    <w:rPr>
                      <w:rFonts w:hint="default" w:ascii="Times New Roman" w:hAnsi="Times New Roman" w:cs="Times New Roman"/>
                      <w:spacing w:val="-3"/>
                    </w:rPr>
                    <w:t>、物料公路运输使用达到国五及以</w:t>
                  </w:r>
                  <w:r>
                    <w:rPr>
                      <w:rFonts w:hint="default" w:ascii="Times New Roman" w:hAnsi="Times New Roman" w:cs="Times New Roman"/>
                      <w:spacing w:val="-6"/>
                    </w:rPr>
                    <w:t>上重型载货车辆（含燃气）或新能源</w:t>
                  </w:r>
                  <w:r>
                    <w:rPr>
                      <w:rFonts w:hint="default" w:ascii="Times New Roman" w:hAnsi="Times New Roman" w:cs="Times New Roman"/>
                      <w:spacing w:val="-2"/>
                    </w:rPr>
                    <w:t>车辆占比不低于</w:t>
                  </w:r>
                  <w:r>
                    <w:rPr>
                      <w:rFonts w:hint="default" w:ascii="Times New Roman" w:hAnsi="Times New Roman" w:cs="Times New Roman"/>
                      <w:spacing w:val="-44"/>
                    </w:rPr>
                    <w:t xml:space="preserve"> </w:t>
                  </w:r>
                  <w:r>
                    <w:rPr>
                      <w:rFonts w:hint="default" w:ascii="Times New Roman" w:hAnsi="Times New Roman" w:eastAsia="Times New Roman" w:cs="Times New Roman"/>
                      <w:spacing w:val="-2"/>
                    </w:rPr>
                    <w:t>30%</w:t>
                  </w:r>
                  <w:r>
                    <w:rPr>
                      <w:rFonts w:hint="default" w:ascii="Times New Roman" w:hAnsi="Times New Roman" w:cs="Times New Roman"/>
                      <w:spacing w:val="-2"/>
                    </w:rPr>
                    <w:t>；</w:t>
                  </w:r>
                </w:p>
                <w:p w14:paraId="612D63A2">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rPr>
                  </w:pPr>
                  <w:r>
                    <w:rPr>
                      <w:rFonts w:hint="default" w:ascii="Times New Roman" w:hAnsi="Times New Roman" w:eastAsia="Times New Roman" w:cs="Times New Roman"/>
                      <w:spacing w:val="-1"/>
                    </w:rPr>
                    <w:t>2</w:t>
                  </w:r>
                  <w:r>
                    <w:rPr>
                      <w:rFonts w:hint="default" w:ascii="Times New Roman" w:hAnsi="Times New Roman" w:cs="Times New Roman"/>
                      <w:spacing w:val="-1"/>
                    </w:rPr>
                    <w:t>、厂内运输使用达到国五及以上排</w:t>
                  </w:r>
                  <w:r>
                    <w:rPr>
                      <w:rFonts w:hint="default" w:ascii="Times New Roman" w:hAnsi="Times New Roman" w:cs="Times New Roman"/>
                      <w:spacing w:val="-6"/>
                    </w:rPr>
                    <w:t>放标准（含燃气）或新能源车辆占比</w:t>
                  </w:r>
                  <w:r>
                    <w:rPr>
                      <w:rFonts w:hint="default" w:ascii="Times New Roman" w:hAnsi="Times New Roman" w:cs="Times New Roman"/>
                      <w:spacing w:val="-3"/>
                    </w:rPr>
                    <w:t>不低于</w:t>
                  </w:r>
                  <w:r>
                    <w:rPr>
                      <w:rFonts w:hint="default" w:ascii="Times New Roman" w:hAnsi="Times New Roman" w:cs="Times New Roman"/>
                      <w:spacing w:val="-43"/>
                    </w:rPr>
                    <w:t xml:space="preserve"> </w:t>
                  </w:r>
                  <w:r>
                    <w:rPr>
                      <w:rFonts w:hint="default" w:ascii="Times New Roman" w:hAnsi="Times New Roman" w:eastAsia="Times New Roman" w:cs="Times New Roman"/>
                      <w:spacing w:val="-3"/>
                    </w:rPr>
                    <w:t>30%</w:t>
                  </w:r>
                  <w:r>
                    <w:rPr>
                      <w:rFonts w:hint="default" w:ascii="Times New Roman" w:hAnsi="Times New Roman" w:cs="Times New Roman"/>
                      <w:spacing w:val="-3"/>
                    </w:rPr>
                    <w:t>；</w:t>
                  </w:r>
                </w:p>
                <w:p w14:paraId="3EEA1E1F">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eastAsia="Times New Roman" w:cs="Times New Roman"/>
                    </w:rPr>
                  </w:pPr>
                  <w:r>
                    <w:rPr>
                      <w:rFonts w:hint="default" w:ascii="Times New Roman" w:hAnsi="Times New Roman" w:eastAsia="Times New Roman" w:cs="Times New Roman"/>
                    </w:rPr>
                    <w:t>3</w:t>
                  </w:r>
                  <w:r>
                    <w:rPr>
                      <w:rFonts w:hint="default" w:ascii="Times New Roman" w:hAnsi="Times New Roman" w:cs="Times New Roman"/>
                    </w:rPr>
                    <w:t>、厂内非道路移动机械达到国三及</w:t>
                  </w:r>
                  <w:r>
                    <w:rPr>
                      <w:rFonts w:hint="default" w:ascii="Times New Roman" w:hAnsi="Times New Roman" w:cs="Times New Roman"/>
                      <w:spacing w:val="6"/>
                    </w:rPr>
                    <w:t>以上排放标准或使用新能源机械的</w:t>
                  </w:r>
                  <w:r>
                    <w:rPr>
                      <w:rFonts w:hint="default" w:ascii="Times New Roman" w:hAnsi="Times New Roman" w:cs="Times New Roman"/>
                      <w:spacing w:val="-6"/>
                    </w:rPr>
                    <w:t>占比不低于</w:t>
                  </w:r>
                  <w:r>
                    <w:rPr>
                      <w:rFonts w:hint="default" w:ascii="Times New Roman" w:hAnsi="Times New Roman" w:cs="Times New Roman"/>
                      <w:spacing w:val="-38"/>
                    </w:rPr>
                    <w:t xml:space="preserve"> </w:t>
                  </w:r>
                  <w:r>
                    <w:rPr>
                      <w:rFonts w:hint="default" w:ascii="Times New Roman" w:hAnsi="Times New Roman" w:eastAsia="Times New Roman" w:cs="Times New Roman"/>
                      <w:spacing w:val="-6"/>
                    </w:rPr>
                    <w:t>50%</w:t>
                  </w:r>
                </w:p>
              </w:tc>
              <w:tc>
                <w:tcPr>
                  <w:tcW w:w="914" w:type="dxa"/>
                  <w:tcBorders>
                    <w:right w:val="single" w:color="000000" w:sz="6" w:space="0"/>
                  </w:tcBorders>
                  <w:vAlign w:val="center"/>
                </w:tcPr>
                <w:p w14:paraId="16FE70A0">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eastAsia="Times New Roman" w:cs="Times New Roman"/>
                      <w:spacing w:val="-4"/>
                    </w:rPr>
                    <w:t>C</w:t>
                  </w:r>
                  <w:r>
                    <w:rPr>
                      <w:rFonts w:hint="default" w:ascii="Times New Roman" w:hAnsi="Times New Roman" w:eastAsia="Times New Roman" w:cs="Times New Roman"/>
                      <w:spacing w:val="12"/>
                    </w:rPr>
                    <w:t xml:space="preserve"> </w:t>
                  </w:r>
                  <w:r>
                    <w:rPr>
                      <w:rFonts w:hint="default" w:ascii="Times New Roman" w:hAnsi="Times New Roman" w:cs="Times New Roman"/>
                      <w:spacing w:val="-4"/>
                    </w:rPr>
                    <w:t>级要求</w:t>
                  </w:r>
                </w:p>
              </w:tc>
              <w:tc>
                <w:tcPr>
                  <w:tcW w:w="2114" w:type="dxa"/>
                  <w:tcBorders>
                    <w:right w:val="single" w:color="000000" w:sz="6" w:space="0"/>
                  </w:tcBorders>
                  <w:vAlign w:val="center"/>
                </w:tcPr>
                <w:p w14:paraId="514A89CE">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both"/>
                    <w:textAlignment w:val="auto"/>
                    <w:rPr>
                      <w:rFonts w:hint="default" w:ascii="Times New Roman" w:hAnsi="Times New Roman" w:cs="Times New Roman"/>
                      <w:spacing w:val="-4"/>
                    </w:rPr>
                  </w:pPr>
                  <w:r>
                    <w:rPr>
                      <w:rFonts w:hint="default" w:ascii="Times New Roman" w:hAnsi="Times New Roman" w:eastAsia="宋体" w:cs="Times New Roman"/>
                      <w:spacing w:val="-3"/>
                      <w:lang w:val="en-US" w:eastAsia="zh-CN"/>
                    </w:rPr>
                    <w:t>本项目</w:t>
                  </w:r>
                  <w:r>
                    <w:rPr>
                      <w:rFonts w:hint="default" w:ascii="Times New Roman" w:hAnsi="Times New Roman" w:cs="Times New Roman"/>
                      <w:spacing w:val="-3"/>
                    </w:rPr>
                    <w:t>物料公路运输全部使用达到国五及以上排放标准重型载货车辆（含燃气）或新</w:t>
                  </w:r>
                  <w:r>
                    <w:rPr>
                      <w:rFonts w:hint="default" w:ascii="Times New Roman" w:hAnsi="Times New Roman" w:cs="Times New Roman"/>
                      <w:spacing w:val="-10"/>
                    </w:rPr>
                    <w:t>能源车辆；</w:t>
                  </w:r>
                  <w:r>
                    <w:rPr>
                      <w:rFonts w:hint="default" w:ascii="Times New Roman" w:hAnsi="Times New Roman" w:cs="Times New Roman"/>
                      <w:spacing w:val="-1"/>
                    </w:rPr>
                    <w:t>厂内运输车辆全部达到国五及以上排</w:t>
                  </w:r>
                  <w:r>
                    <w:rPr>
                      <w:rFonts w:hint="default" w:ascii="Times New Roman" w:hAnsi="Times New Roman" w:cs="Times New Roman"/>
                      <w:spacing w:val="-4"/>
                    </w:rPr>
                    <w:t>放标准（含燃气）或使用新能源车辆；</w:t>
                  </w:r>
                  <w:r>
                    <w:rPr>
                      <w:rFonts w:hint="default" w:ascii="Times New Roman" w:hAnsi="Times New Roman" w:cs="Times New Roman"/>
                      <w:spacing w:val="2"/>
                    </w:rPr>
                    <w:t>厂内非道路移动机械全部达到国三及</w:t>
                  </w:r>
                  <w:r>
                    <w:rPr>
                      <w:rFonts w:hint="default" w:ascii="Times New Roman" w:hAnsi="Times New Roman" w:cs="Times New Roman"/>
                      <w:spacing w:val="-3"/>
                    </w:rPr>
                    <w:t>以上排放标准或使用新能源机械</w:t>
                  </w:r>
                </w:p>
              </w:tc>
            </w:tr>
            <w:tr w14:paraId="1E714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769" w:type="dxa"/>
                  <w:tcBorders>
                    <w:left w:val="single" w:color="000000" w:sz="6" w:space="0"/>
                    <w:bottom w:val="single" w:color="000000" w:sz="6" w:space="0"/>
                  </w:tcBorders>
                  <w:vAlign w:val="center"/>
                </w:tcPr>
                <w:p w14:paraId="42F9D7B6">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2"/>
                    </w:rPr>
                    <w:t>运输监管</w:t>
                  </w:r>
                </w:p>
              </w:tc>
              <w:tc>
                <w:tcPr>
                  <w:tcW w:w="6642" w:type="dxa"/>
                  <w:gridSpan w:val="2"/>
                  <w:tcBorders>
                    <w:bottom w:val="single" w:color="000000" w:sz="6" w:space="0"/>
                  </w:tcBorders>
                  <w:vAlign w:val="center"/>
                </w:tcPr>
                <w:p w14:paraId="1485DCD9">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rPr>
                    <w:t>参照《重污染天气重点行业移动源应急管理技术指南》</w:t>
                  </w:r>
                  <w:r>
                    <w:rPr>
                      <w:rFonts w:hint="default" w:ascii="Times New Roman" w:hAnsi="Times New Roman" w:cs="Times New Roman"/>
                      <w:spacing w:val="-1"/>
                    </w:rPr>
                    <w:t>建立门禁系统和电子台账</w:t>
                  </w:r>
                </w:p>
              </w:tc>
              <w:tc>
                <w:tcPr>
                  <w:tcW w:w="3409" w:type="dxa"/>
                  <w:gridSpan w:val="2"/>
                  <w:tcBorders>
                    <w:bottom w:val="single" w:color="000000" w:sz="6" w:space="0"/>
                    <w:right w:val="single" w:color="000000" w:sz="6" w:space="0"/>
                  </w:tcBorders>
                  <w:vAlign w:val="center"/>
                </w:tcPr>
                <w:p w14:paraId="65372727">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rPr>
                  </w:pPr>
                  <w:r>
                    <w:rPr>
                      <w:rFonts w:hint="default" w:ascii="Times New Roman" w:hAnsi="Times New Roman" w:cs="Times New Roman"/>
                      <w:spacing w:val="-4"/>
                    </w:rPr>
                    <w:t>未达到</w:t>
                  </w:r>
                  <w:r>
                    <w:rPr>
                      <w:rFonts w:hint="default" w:ascii="Times New Roman" w:hAnsi="Times New Roman" w:cs="Times New Roman"/>
                      <w:spacing w:val="-46"/>
                    </w:rPr>
                    <w:t xml:space="preserve"> </w:t>
                  </w:r>
                  <w:r>
                    <w:rPr>
                      <w:rFonts w:hint="default" w:ascii="Times New Roman" w:hAnsi="Times New Roman" w:eastAsia="Times New Roman" w:cs="Times New Roman"/>
                      <w:spacing w:val="-4"/>
                    </w:rPr>
                    <w:t>A</w:t>
                  </w:r>
                  <w:r>
                    <w:rPr>
                      <w:rFonts w:hint="default" w:ascii="Times New Roman" w:hAnsi="Times New Roman" w:eastAsia="Times New Roman" w:cs="Times New Roman"/>
                      <w:spacing w:val="-29"/>
                    </w:rPr>
                    <w:t xml:space="preserve"> </w:t>
                  </w:r>
                  <w:r>
                    <w:rPr>
                      <w:rFonts w:hint="default" w:ascii="Times New Roman" w:hAnsi="Times New Roman" w:cs="Times New Roman"/>
                      <w:spacing w:val="-4"/>
                    </w:rPr>
                    <w:t>、</w:t>
                  </w:r>
                  <w:r>
                    <w:rPr>
                      <w:rFonts w:hint="default" w:ascii="Times New Roman" w:hAnsi="Times New Roman" w:eastAsia="Times New Roman" w:cs="Times New Roman"/>
                      <w:spacing w:val="-4"/>
                    </w:rPr>
                    <w:t xml:space="preserve">B </w:t>
                  </w:r>
                  <w:r>
                    <w:rPr>
                      <w:rFonts w:hint="default" w:ascii="Times New Roman" w:hAnsi="Times New Roman" w:cs="Times New Roman"/>
                      <w:spacing w:val="-4"/>
                    </w:rPr>
                    <w:t>级要求</w:t>
                  </w:r>
                </w:p>
              </w:tc>
              <w:tc>
                <w:tcPr>
                  <w:tcW w:w="2114" w:type="dxa"/>
                  <w:tcBorders>
                    <w:bottom w:val="single" w:color="000000" w:sz="6" w:space="0"/>
                    <w:right w:val="single" w:color="000000" w:sz="6" w:space="0"/>
                  </w:tcBorders>
                  <w:vAlign w:val="center"/>
                </w:tcPr>
                <w:p w14:paraId="7AE74DDB">
                  <w:pPr>
                    <w:pStyle w:val="205"/>
                    <w:keepNext w:val="0"/>
                    <w:keepLines w:val="0"/>
                    <w:pageBreakBefore w:val="0"/>
                    <w:widowControl w:val="0"/>
                    <w:kinsoku/>
                    <w:wordWrap/>
                    <w:overflowPunct/>
                    <w:topLinePunct w:val="0"/>
                    <w:autoSpaceDE/>
                    <w:autoSpaceDN/>
                    <w:bidi w:val="0"/>
                    <w:adjustRightInd/>
                    <w:snapToGrid/>
                    <w:spacing w:line="320" w:lineRule="atLeast"/>
                    <w:ind w:left="0" w:right="0" w:firstLine="0"/>
                    <w:jc w:val="center"/>
                    <w:textAlignment w:val="auto"/>
                    <w:rPr>
                      <w:rFonts w:hint="default" w:ascii="Times New Roman" w:hAnsi="Times New Roman" w:cs="Times New Roman"/>
                      <w:spacing w:val="-4"/>
                    </w:rPr>
                  </w:pPr>
                  <w:r>
                    <w:rPr>
                      <w:rFonts w:hint="default" w:ascii="Times New Roman" w:hAnsi="Times New Roman" w:cs="Times New Roman"/>
                      <w:lang w:val="en-US" w:eastAsia="zh-CN"/>
                    </w:rPr>
                    <w:t>本项目</w:t>
                  </w:r>
                  <w:r>
                    <w:rPr>
                      <w:rFonts w:hint="default" w:ascii="Times New Roman" w:hAnsi="Times New Roman" w:cs="Times New Roman"/>
                    </w:rPr>
                    <w:t>参照《重污染天气重点行业移动源应急管理技术指南》</w:t>
                  </w:r>
                  <w:r>
                    <w:rPr>
                      <w:rFonts w:hint="default" w:ascii="Times New Roman" w:hAnsi="Times New Roman" w:cs="Times New Roman"/>
                      <w:spacing w:val="-1"/>
                    </w:rPr>
                    <w:t>建立门禁系统和电子台账</w:t>
                  </w:r>
                </w:p>
              </w:tc>
            </w:tr>
          </w:tbl>
          <w:p w14:paraId="32E7418D">
            <w:pPr>
              <w:keepNext w:val="0"/>
              <w:keepLines w:val="0"/>
              <w:pageBreakBefore w:val="0"/>
              <w:kinsoku/>
              <w:wordWrap/>
              <w:overflowPunct/>
              <w:topLinePunct w:val="0"/>
              <w:autoSpaceDE/>
              <w:autoSpaceDN/>
              <w:bidi w:val="0"/>
              <w:adjustRightInd/>
              <w:spacing w:line="480" w:lineRule="exact"/>
              <w:ind w:right="0" w:firstLine="480" w:firstLineChars="200"/>
              <w:textAlignment w:val="auto"/>
              <w:outlineLvl w:val="0"/>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综上所述，本项目重污染天气行业绩效分级为B级，减排措施为：</w:t>
            </w:r>
          </w:p>
          <w:p w14:paraId="355C6148">
            <w:pPr>
              <w:pStyle w:val="12"/>
              <w:keepNext w:val="0"/>
              <w:keepLines w:val="0"/>
              <w:pageBreakBefore w:val="0"/>
              <w:kinsoku/>
              <w:wordWrap/>
              <w:overflowPunct/>
              <w:topLinePunct w:val="0"/>
              <w:autoSpaceDE/>
              <w:autoSpaceDN/>
              <w:bidi w:val="0"/>
              <w:adjustRightInd/>
              <w:spacing w:before="0" w:after="0" w:line="480" w:lineRule="exact"/>
              <w:ind w:right="0" w:firstLine="496" w:firstLineChars="200"/>
              <w:textAlignment w:val="auto"/>
              <w:rPr>
                <w:rFonts w:hint="default" w:ascii="Times New Roman" w:hAnsi="Times New Roman" w:cs="Times New Roman"/>
                <w:sz w:val="24"/>
                <w:szCs w:val="24"/>
              </w:rPr>
            </w:pPr>
            <w:r>
              <w:rPr>
                <w:rFonts w:hint="default" w:ascii="Times New Roman" w:hAnsi="Times New Roman" w:cs="Times New Roman"/>
                <w:spacing w:val="4"/>
                <w:sz w:val="24"/>
                <w:szCs w:val="24"/>
              </w:rPr>
              <w:t>黄色预警期间：停止使用国四及以下重型载货车辆（含燃气）</w:t>
            </w:r>
            <w:r>
              <w:rPr>
                <w:rFonts w:hint="default" w:ascii="Times New Roman" w:hAnsi="Times New Roman" w:cs="Times New Roman"/>
                <w:spacing w:val="-12"/>
                <w:sz w:val="24"/>
                <w:szCs w:val="24"/>
              </w:rPr>
              <w:t>进行运输。</w:t>
            </w:r>
          </w:p>
          <w:p w14:paraId="0B43F951">
            <w:pPr>
              <w:pStyle w:val="12"/>
              <w:keepNext w:val="0"/>
              <w:keepLines w:val="0"/>
              <w:pageBreakBefore w:val="0"/>
              <w:kinsoku/>
              <w:wordWrap/>
              <w:overflowPunct/>
              <w:topLinePunct w:val="0"/>
              <w:autoSpaceDE/>
              <w:autoSpaceDN/>
              <w:bidi w:val="0"/>
              <w:adjustRightInd/>
              <w:spacing w:before="0" w:after="0" w:line="480" w:lineRule="exact"/>
              <w:ind w:right="0" w:firstLine="500" w:firstLineChars="200"/>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橙色预警期间：禁止新坯进窑或蹲火保窑，</w:t>
            </w:r>
            <w:r>
              <w:rPr>
                <w:rFonts w:hint="default" w:ascii="Times New Roman" w:hAnsi="Times New Roman" w:cs="Times New Roman"/>
                <w:spacing w:val="4"/>
                <w:sz w:val="24"/>
                <w:szCs w:val="24"/>
              </w:rPr>
              <w:t>并保证窑内产品生</w:t>
            </w:r>
            <w:r>
              <w:rPr>
                <w:rFonts w:hint="default" w:ascii="Times New Roman" w:hAnsi="Times New Roman" w:cs="Times New Roman"/>
                <w:spacing w:val="-2"/>
                <w:sz w:val="24"/>
                <w:szCs w:val="24"/>
              </w:rPr>
              <w:t>产完成，预警响应时间连续超过</w:t>
            </w:r>
            <w:r>
              <w:rPr>
                <w:rFonts w:hint="default" w:ascii="Times New Roman" w:hAnsi="Times New Roman" w:eastAsia="Times New Roman" w:cs="Times New Roman"/>
                <w:spacing w:val="-2"/>
                <w:sz w:val="24"/>
                <w:szCs w:val="24"/>
              </w:rPr>
              <w:t>60</w:t>
            </w:r>
            <w:r>
              <w:rPr>
                <w:rFonts w:hint="default" w:ascii="Times New Roman" w:hAnsi="Times New Roman" w:cs="Times New Roman"/>
                <w:spacing w:val="-2"/>
                <w:sz w:val="24"/>
                <w:szCs w:val="24"/>
              </w:rPr>
              <w:t>小时，应减少原进窑车量</w:t>
            </w:r>
            <w:r>
              <w:rPr>
                <w:rFonts w:hint="default" w:ascii="Times New Roman" w:hAnsi="Times New Roman" w:eastAsia="Times New Roman" w:cs="Times New Roman"/>
                <w:spacing w:val="-2"/>
                <w:sz w:val="24"/>
                <w:szCs w:val="24"/>
              </w:rPr>
              <w:t>40%</w:t>
            </w:r>
            <w:r>
              <w:rPr>
                <w:rFonts w:hint="default" w:ascii="Times New Roman" w:hAnsi="Times New Roman" w:cs="Times New Roman"/>
                <w:spacing w:val="-2"/>
                <w:sz w:val="24"/>
                <w:szCs w:val="24"/>
              </w:rPr>
              <w:t>；</w:t>
            </w:r>
            <w:r>
              <w:rPr>
                <w:rFonts w:hint="default" w:ascii="Times New Roman" w:hAnsi="Times New Roman" w:cs="Times New Roman"/>
                <w:spacing w:val="4"/>
                <w:sz w:val="24"/>
                <w:szCs w:val="24"/>
              </w:rPr>
              <w:t>破碎、成型等排放颗粒物工序停产；停止使用国四及以下重型载货</w:t>
            </w:r>
            <w:r>
              <w:rPr>
                <w:rFonts w:hint="default" w:ascii="Times New Roman" w:hAnsi="Times New Roman" w:cs="Times New Roman"/>
                <w:spacing w:val="-6"/>
                <w:sz w:val="24"/>
                <w:szCs w:val="24"/>
              </w:rPr>
              <w:t>车辆（含燃气）进行运输。</w:t>
            </w:r>
          </w:p>
          <w:p w14:paraId="33EF7E6F">
            <w:pPr>
              <w:pStyle w:val="12"/>
              <w:keepNext w:val="0"/>
              <w:keepLines w:val="0"/>
              <w:pageBreakBefore w:val="0"/>
              <w:kinsoku/>
              <w:wordWrap/>
              <w:overflowPunct/>
              <w:topLinePunct w:val="0"/>
              <w:autoSpaceDE/>
              <w:autoSpaceDN/>
              <w:bidi w:val="0"/>
              <w:adjustRightInd/>
              <w:spacing w:before="0" w:after="0" w:line="480" w:lineRule="exact"/>
              <w:ind w:right="0" w:firstLine="496" w:firstLineChars="200"/>
              <w:textAlignment w:val="auto"/>
              <w:rPr>
                <w:rFonts w:hint="default" w:ascii="Times New Roman" w:hAnsi="Times New Roman" w:cs="Times New Roman"/>
                <w:sz w:val="24"/>
                <w:szCs w:val="24"/>
              </w:rPr>
            </w:pPr>
            <w:r>
              <w:rPr>
                <w:rFonts w:hint="default" w:ascii="Times New Roman" w:hAnsi="Times New Roman" w:cs="Times New Roman"/>
                <w:spacing w:val="4"/>
                <w:sz w:val="24"/>
                <w:szCs w:val="24"/>
              </w:rPr>
              <w:t>红色预警期间：禁止新坯进窑或蹲火保窑，破碎、成型等排放</w:t>
            </w:r>
            <w:r>
              <w:rPr>
                <w:rFonts w:hint="default" w:ascii="Times New Roman" w:hAnsi="Times New Roman" w:eastAsia="Times New Roman" w:cs="Times New Roman"/>
                <w:spacing w:val="-6"/>
                <w:sz w:val="24"/>
                <w:szCs w:val="24"/>
              </w:rPr>
              <w:t>PM</w:t>
            </w:r>
            <w:r>
              <w:rPr>
                <w:rFonts w:hint="default" w:ascii="Times New Roman" w:hAnsi="Times New Roman" w:cs="Times New Roman"/>
                <w:spacing w:val="-6"/>
                <w:sz w:val="24"/>
                <w:szCs w:val="24"/>
              </w:rPr>
              <w:t>工序停产；停止公路运输。</w:t>
            </w:r>
          </w:p>
          <w:p w14:paraId="452282CB">
            <w:pPr>
              <w:spacing w:line="360" w:lineRule="auto"/>
              <w:outlineLvl w:val="0"/>
              <w:rPr>
                <w:rFonts w:hint="eastAsia" w:eastAsia="黑体"/>
                <w:sz w:val="30"/>
                <w:vertAlign w:val="baseline"/>
                <w:lang w:val="en-US" w:eastAsia="zh-CN"/>
              </w:rPr>
            </w:pPr>
          </w:p>
          <w:p w14:paraId="7F173236">
            <w:pPr>
              <w:spacing w:line="360" w:lineRule="auto"/>
              <w:outlineLvl w:val="0"/>
              <w:rPr>
                <w:rFonts w:hint="default" w:eastAsia="黑体"/>
                <w:sz w:val="30"/>
                <w:vertAlign w:val="baseline"/>
                <w:lang w:val="en-US" w:eastAsia="zh-CN"/>
              </w:rPr>
            </w:pPr>
          </w:p>
        </w:tc>
      </w:tr>
    </w:tbl>
    <w:p w14:paraId="1BDF7EFD">
      <w:pPr>
        <w:spacing w:line="360" w:lineRule="auto"/>
        <w:outlineLvl w:val="0"/>
        <w:rPr>
          <w:rFonts w:eastAsia="黑体"/>
          <w:sz w:val="30"/>
        </w:rPr>
        <w:sectPr>
          <w:pgSz w:w="16838" w:h="11906" w:orient="landscape"/>
          <w:pgMar w:top="1440" w:right="1440" w:bottom="1440" w:left="1440" w:header="851" w:footer="1077" w:gutter="0"/>
          <w:pgNumType w:fmt="numberInDash" w:start="1"/>
          <w:cols w:space="720" w:num="1"/>
          <w:docGrid w:linePitch="312" w:charSpace="0"/>
        </w:sectPr>
      </w:pPr>
    </w:p>
    <w:p w14:paraId="333223CF">
      <w:pPr>
        <w:pStyle w:val="34"/>
        <w:spacing w:before="0" w:beforeAutospacing="0" w:after="0" w:afterAutospacing="0" w:line="480" w:lineRule="exact"/>
        <w:jc w:val="center"/>
        <w:outlineLvl w:val="0"/>
        <w:rPr>
          <w:rFonts w:ascii="Times New Roman" w:hAnsi="Times New Roman" w:eastAsia="黑体"/>
          <w:snapToGrid w:val="0"/>
          <w:sz w:val="36"/>
          <w:szCs w:val="36"/>
        </w:rPr>
      </w:pPr>
      <w:bookmarkStart w:id="4" w:name="_Toc67775552"/>
      <w:r>
        <w:rPr>
          <w:rFonts w:ascii="Times New Roman" w:hAnsi="Times New Roman" w:eastAsia="黑体"/>
          <w:snapToGrid w:val="0"/>
          <w:sz w:val="36"/>
          <w:szCs w:val="36"/>
        </w:rPr>
        <w:t>二、建设项目工程分析</w:t>
      </w:r>
      <w:bookmarkEnd w:id="4"/>
    </w:p>
    <w:tbl>
      <w:tblPr>
        <w:tblStyle w:val="38"/>
        <w:tblW w:w="95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8694"/>
      </w:tblGrid>
      <w:tr w14:paraId="31B4E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823" w:type="dxa"/>
            <w:noWrap w:val="0"/>
            <w:vAlign w:val="center"/>
          </w:tcPr>
          <w:p w14:paraId="063FDD7D">
            <w:pPr>
              <w:pStyle w:val="34"/>
              <w:adjustRightInd w:val="0"/>
              <w:snapToGrid w:val="0"/>
              <w:spacing w:before="0" w:beforeAutospacing="0" w:after="0" w:afterAutospacing="0" w:line="360" w:lineRule="auto"/>
              <w:jc w:val="center"/>
              <w:rPr>
                <w:rFonts w:ascii="Times New Roman" w:hAnsi="Times New Roman"/>
                <w:szCs w:val="24"/>
              </w:rPr>
            </w:pPr>
            <w:r>
              <w:rPr>
                <w:rFonts w:ascii="Times New Roman" w:hAnsi="Times New Roman"/>
                <w:szCs w:val="24"/>
              </w:rPr>
              <w:t>建设内容</w:t>
            </w:r>
          </w:p>
        </w:tc>
        <w:tc>
          <w:tcPr>
            <w:tcW w:w="8694" w:type="dxa"/>
            <w:noWrap w:val="0"/>
            <w:vAlign w:val="top"/>
          </w:tcPr>
          <w:p w14:paraId="159BCAE0">
            <w:pPr>
              <w:spacing w:line="480" w:lineRule="atLeast"/>
              <w:ind w:firstLine="480" w:firstLineChars="200"/>
              <w:rPr>
                <w:rFonts w:hint="eastAsia" w:ascii="黑体" w:hAnsi="黑体" w:eastAsia="黑体" w:cs="黑体"/>
                <w:sz w:val="24"/>
              </w:rPr>
            </w:pPr>
            <w:r>
              <w:rPr>
                <w:rFonts w:hint="eastAsia" w:ascii="黑体" w:hAnsi="黑体" w:eastAsia="黑体" w:cs="黑体"/>
                <w:sz w:val="24"/>
              </w:rPr>
              <w:t>1、项目由来</w:t>
            </w:r>
          </w:p>
          <w:p w14:paraId="1874E045">
            <w:pPr>
              <w:pStyle w:val="34"/>
              <w:adjustRightInd w:val="0"/>
              <w:snapToGrid w:val="0"/>
              <w:spacing w:before="0" w:beforeAutospacing="0" w:after="0" w:afterAutospacing="0" w:line="480" w:lineRule="atLeast"/>
              <w:ind w:firstLine="480" w:firstLineChars="200"/>
              <w:rPr>
                <w:rFonts w:hint="eastAsia" w:ascii="Times New Roman" w:hAnsi="Times New Roman"/>
              </w:rPr>
            </w:pPr>
            <w:r>
              <w:rPr>
                <w:rFonts w:hint="eastAsia" w:ascii="Times New Roman" w:hAnsi="Times New Roman"/>
              </w:rPr>
              <w:t>凤台县粹彬墙体材料有限公司位于淮南市凤台县古店乡北芹村，2016年投资1500万元建设“年产9000万块煤矸石烧结砖生产线建设项目”；2016年11月13日，该项目取得批复，文号：凤环表批[2016]48号。2017年9月30日，取得原凤台县环境保护局对该项目验收合格的函，文号：凤环函[2017]60号。</w:t>
            </w:r>
          </w:p>
          <w:p w14:paraId="44A1993A">
            <w:pPr>
              <w:pStyle w:val="34"/>
              <w:adjustRightInd w:val="0"/>
              <w:snapToGrid w:val="0"/>
              <w:spacing w:before="0" w:beforeAutospacing="0" w:after="0" w:afterAutospacing="0" w:line="480" w:lineRule="exact"/>
              <w:ind w:firstLine="480" w:firstLineChars="200"/>
              <w:rPr>
                <w:rFonts w:hint="eastAsia" w:ascii="Times New Roman" w:hAnsi="Times New Roman"/>
                <w:kern w:val="2"/>
              </w:rPr>
            </w:pPr>
            <w:r>
              <w:rPr>
                <w:rFonts w:hint="eastAsia" w:ascii="Times New Roman" w:hAnsi="Times New Roman"/>
              </w:rPr>
              <w:t>为顺应市场需求，提高生产质量，保护生态环境</w:t>
            </w:r>
            <w:r>
              <w:rPr>
                <w:rFonts w:ascii="Times New Roman" w:hAnsi="Times New Roman"/>
                <w:kern w:val="2"/>
              </w:rPr>
              <w:t>，</w:t>
            </w:r>
            <w:r>
              <w:rPr>
                <w:rFonts w:hint="eastAsia" w:ascii="Times New Roman" w:hAnsi="Times New Roman"/>
                <w:kern w:val="2"/>
              </w:rPr>
              <w:t>建设单位拟</w:t>
            </w:r>
            <w:r>
              <w:rPr>
                <w:rFonts w:ascii="Times New Roman" w:hAnsi="Times New Roman"/>
                <w:kern w:val="2"/>
              </w:rPr>
              <w:t>在</w:t>
            </w:r>
            <w:r>
              <w:rPr>
                <w:rFonts w:hint="eastAsia" w:ascii="Times New Roman" w:hAnsi="Times New Roman"/>
              </w:rPr>
              <w:t>淮南市凤台县古店乡工业园区内利用</w:t>
            </w:r>
            <w:r>
              <w:rPr>
                <w:rFonts w:hint="eastAsia" w:ascii="Times New Roman" w:hAnsi="Times New Roman"/>
                <w:kern w:val="2"/>
              </w:rPr>
              <w:t>现有场地</w:t>
            </w:r>
            <w:r>
              <w:rPr>
                <w:rFonts w:ascii="Times New Roman" w:hAnsi="Times New Roman"/>
                <w:kern w:val="2"/>
              </w:rPr>
              <w:t>建设</w:t>
            </w:r>
            <w:r>
              <w:rPr>
                <w:rFonts w:hint="eastAsia" w:ascii="Times New Roman" w:hAnsi="Times New Roman"/>
              </w:rPr>
              <w:t>凤台县粹彬墙体材料有限公司煤矸石烧结砖技术改造项目</w:t>
            </w:r>
            <w:r>
              <w:rPr>
                <w:rFonts w:ascii="Times New Roman" w:hAnsi="Times New Roman"/>
                <w:kern w:val="2"/>
              </w:rPr>
              <w:t>。</w:t>
            </w:r>
            <w:r>
              <w:rPr>
                <w:rFonts w:hint="eastAsia" w:ascii="Times New Roman" w:hAnsi="Times New Roman"/>
                <w:kern w:val="2"/>
              </w:rPr>
              <w:t>建设内容：新建2000平方米原料库并改造原有厂房和仓库；升级</w:t>
            </w:r>
            <w:r>
              <w:rPr>
                <w:rFonts w:hint="eastAsia" w:ascii="Times New Roman" w:hAnsi="Times New Roman"/>
                <w:color w:val="000000"/>
                <w:kern w:val="2"/>
                <w:highlight w:val="none"/>
              </w:rPr>
              <w:t>改造旋转窑主体结构、原有老旧设备10台</w:t>
            </w:r>
            <w:r>
              <w:rPr>
                <w:rFonts w:hint="eastAsia" w:ascii="Times New Roman" w:hAnsi="Times New Roman"/>
                <w:color w:val="0000FF"/>
                <w:kern w:val="2"/>
                <w:highlight w:val="none"/>
                <w:lang w:eastAsia="zh-CN"/>
              </w:rPr>
              <w:t>（</w:t>
            </w:r>
            <w:r>
              <w:rPr>
                <w:rFonts w:hint="eastAsia" w:ascii="Times New Roman" w:hAnsi="Times New Roman"/>
                <w:color w:val="0000FF"/>
                <w:kern w:val="2"/>
                <w:highlight w:val="none"/>
                <w:lang w:val="en-US" w:eastAsia="zh-CN"/>
              </w:rPr>
              <w:t>双轴搅拌机、对辊机、挤砖机等</w:t>
            </w:r>
            <w:r>
              <w:rPr>
                <w:rFonts w:hint="eastAsia" w:ascii="Times New Roman" w:hAnsi="Times New Roman"/>
                <w:color w:val="0000FF"/>
                <w:kern w:val="2"/>
                <w:highlight w:val="none"/>
                <w:lang w:eastAsia="zh-CN"/>
              </w:rPr>
              <w:t>）</w:t>
            </w:r>
            <w:r>
              <w:rPr>
                <w:rFonts w:hint="eastAsia" w:ascii="Times New Roman" w:hAnsi="Times New Roman"/>
                <w:color w:val="000000"/>
                <w:kern w:val="2"/>
                <w:highlight w:val="none"/>
              </w:rPr>
              <w:t>、废气处理系统；新增自动化码坯机2台、全自动打包机1台、全封闭新型环保破碎机1台；并利用建筑渣土替代原材料配比中的30%粘土。项目建成后将提升3000万片(折标砖)煤矸石烧结砖生产能力，产能达到年产1.2亿片(折标砖)煤矸石烧结砖。</w:t>
            </w:r>
          </w:p>
          <w:p w14:paraId="1516237D">
            <w:pPr>
              <w:spacing w:line="480" w:lineRule="exact"/>
              <w:ind w:firstLine="480" w:firstLineChars="200"/>
              <w:rPr>
                <w:sz w:val="24"/>
                <w:szCs w:val="28"/>
              </w:rPr>
            </w:pPr>
            <w:r>
              <w:rPr>
                <w:sz w:val="24"/>
                <w:szCs w:val="32"/>
              </w:rPr>
              <w:t>根据《中华人民共和国环境保护法》、《中华人民共和国环境影响评价法》和《建设项目环境保护管理条例》(国务院令第682号)中有关规定，建设项目应在可行性研究阶段同步开展环境影响评价工作。依据《建设项目环境影响评价分类管理名录》(</w:t>
            </w:r>
            <w:r>
              <w:rPr>
                <w:rFonts w:hint="eastAsia"/>
                <w:sz w:val="24"/>
                <w:szCs w:val="32"/>
              </w:rPr>
              <w:t>2021版</w:t>
            </w:r>
            <w:r>
              <w:rPr>
                <w:sz w:val="24"/>
                <w:szCs w:val="32"/>
              </w:rPr>
              <w:t>)的有关规定，</w:t>
            </w:r>
            <w:r>
              <w:rPr>
                <w:sz w:val="24"/>
                <w:szCs w:val="28"/>
              </w:rPr>
              <w:t>本项目属于“二十七、非金属矿物制品业”的“</w:t>
            </w:r>
            <w:r>
              <w:rPr>
                <w:rFonts w:hint="eastAsia"/>
                <w:sz w:val="24"/>
                <w:szCs w:val="28"/>
              </w:rPr>
              <w:t>56砖瓦</w:t>
            </w:r>
            <w:r>
              <w:rPr>
                <w:sz w:val="24"/>
                <w:szCs w:val="28"/>
              </w:rPr>
              <w:t>、石材等建筑材料制造</w:t>
            </w:r>
            <w:r>
              <w:rPr>
                <w:rFonts w:hint="eastAsia"/>
                <w:sz w:val="24"/>
                <w:szCs w:val="28"/>
              </w:rPr>
              <w:t>303</w:t>
            </w:r>
            <w:r>
              <w:rPr>
                <w:sz w:val="24"/>
                <w:szCs w:val="28"/>
              </w:rPr>
              <w:t>”的“</w:t>
            </w:r>
            <w:r>
              <w:rPr>
                <w:rFonts w:hint="eastAsia"/>
                <w:sz w:val="24"/>
                <w:szCs w:val="28"/>
              </w:rPr>
              <w:t>粘土</w:t>
            </w:r>
            <w:r>
              <w:rPr>
                <w:sz w:val="24"/>
                <w:szCs w:val="28"/>
              </w:rPr>
              <w:t>砖瓦及建筑砌块制造”</w:t>
            </w:r>
            <w:r>
              <w:rPr>
                <w:rFonts w:hint="eastAsia"/>
                <w:sz w:val="24"/>
                <w:szCs w:val="28"/>
                <w:lang w:val="en-US" w:eastAsia="zh-CN"/>
              </w:rPr>
              <w:t>及“三十九、废弃资源综合利用业42”的“非金属废料和碎屑加工处理”</w:t>
            </w:r>
            <w:r>
              <w:rPr>
                <w:sz w:val="24"/>
                <w:szCs w:val="28"/>
              </w:rPr>
              <w:t>，需要编制环境影响报告表，详细见下表。</w:t>
            </w:r>
          </w:p>
          <w:p w14:paraId="0E2B4EB5">
            <w:pPr>
              <w:spacing w:line="480" w:lineRule="exact"/>
              <w:jc w:val="center"/>
              <w:rPr>
                <w:rFonts w:eastAsia="黑体"/>
                <w:sz w:val="24"/>
                <w:szCs w:val="32"/>
              </w:rPr>
            </w:pPr>
            <w:r>
              <w:rPr>
                <w:rFonts w:eastAsia="黑体"/>
                <w:sz w:val="24"/>
                <w:szCs w:val="32"/>
              </w:rPr>
              <w:t>表</w:t>
            </w:r>
            <w:r>
              <w:rPr>
                <w:rFonts w:hint="eastAsia" w:eastAsia="黑体"/>
                <w:sz w:val="24"/>
                <w:szCs w:val="32"/>
              </w:rPr>
              <w:t>2-1</w:t>
            </w:r>
            <w:r>
              <w:rPr>
                <w:rFonts w:eastAsia="黑体"/>
                <w:sz w:val="24"/>
                <w:szCs w:val="32"/>
              </w:rPr>
              <w:t>环境影响评价报告类别</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1284"/>
              <w:gridCol w:w="4578"/>
              <w:gridCol w:w="22"/>
              <w:gridCol w:w="406"/>
            </w:tblGrid>
            <w:tr w14:paraId="38F9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tcBorders>
                    <w:tl2br w:val="single" w:color="auto" w:sz="6" w:space="0"/>
                  </w:tcBorders>
                  <w:noWrap w:val="0"/>
                  <w:vAlign w:val="center"/>
                </w:tcPr>
                <w:p w14:paraId="6A2E87D6">
                  <w:pPr>
                    <w:spacing w:line="276" w:lineRule="auto"/>
                    <w:jc w:val="right"/>
                    <w:rPr>
                      <w:bCs/>
                      <w:szCs w:val="21"/>
                    </w:rPr>
                  </w:pPr>
                  <w:r>
                    <w:rPr>
                      <w:bCs/>
                      <w:szCs w:val="21"/>
                    </w:rPr>
                    <w:t>环评类别</w:t>
                  </w:r>
                </w:p>
                <w:p w14:paraId="6C776C36">
                  <w:pPr>
                    <w:spacing w:line="276" w:lineRule="auto"/>
                    <w:rPr>
                      <w:bCs/>
                      <w:szCs w:val="21"/>
                    </w:rPr>
                  </w:pPr>
                  <w:r>
                    <w:rPr>
                      <w:bCs/>
                      <w:szCs w:val="21"/>
                    </w:rPr>
                    <w:t>项目类别</w:t>
                  </w:r>
                </w:p>
              </w:tc>
              <w:tc>
                <w:tcPr>
                  <w:tcW w:w="758" w:type="pct"/>
                  <w:noWrap w:val="0"/>
                  <w:vAlign w:val="center"/>
                </w:tcPr>
                <w:p w14:paraId="348E010B">
                  <w:pPr>
                    <w:spacing w:line="276" w:lineRule="auto"/>
                    <w:jc w:val="center"/>
                    <w:rPr>
                      <w:bCs/>
                      <w:szCs w:val="21"/>
                    </w:rPr>
                  </w:pPr>
                  <w:r>
                    <w:rPr>
                      <w:bCs/>
                      <w:szCs w:val="21"/>
                    </w:rPr>
                    <w:t>报告书</w:t>
                  </w:r>
                </w:p>
              </w:tc>
              <w:tc>
                <w:tcPr>
                  <w:tcW w:w="2703" w:type="pct"/>
                  <w:noWrap w:val="0"/>
                  <w:vAlign w:val="center"/>
                </w:tcPr>
                <w:p w14:paraId="3D68FE9D">
                  <w:pPr>
                    <w:spacing w:line="276" w:lineRule="auto"/>
                    <w:jc w:val="center"/>
                    <w:rPr>
                      <w:bCs/>
                      <w:szCs w:val="21"/>
                    </w:rPr>
                  </w:pPr>
                  <w:r>
                    <w:rPr>
                      <w:bCs/>
                      <w:szCs w:val="21"/>
                    </w:rPr>
                    <w:t>报告表</w:t>
                  </w:r>
                </w:p>
              </w:tc>
              <w:tc>
                <w:tcPr>
                  <w:tcW w:w="252" w:type="pct"/>
                  <w:gridSpan w:val="2"/>
                  <w:noWrap w:val="0"/>
                  <w:vAlign w:val="center"/>
                </w:tcPr>
                <w:p w14:paraId="1ACDD025">
                  <w:pPr>
                    <w:spacing w:line="276" w:lineRule="auto"/>
                    <w:jc w:val="center"/>
                    <w:rPr>
                      <w:bCs/>
                      <w:szCs w:val="21"/>
                    </w:rPr>
                  </w:pPr>
                  <w:r>
                    <w:rPr>
                      <w:bCs/>
                      <w:szCs w:val="21"/>
                    </w:rPr>
                    <w:t>登记表</w:t>
                  </w:r>
                </w:p>
              </w:tc>
            </w:tr>
            <w:tr w14:paraId="7CF7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0485AF74">
                  <w:pPr>
                    <w:spacing w:line="276" w:lineRule="auto"/>
                    <w:rPr>
                      <w:bCs/>
                      <w:szCs w:val="21"/>
                    </w:rPr>
                  </w:pPr>
                  <w:r>
                    <w:rPr>
                      <w:bCs/>
                      <w:szCs w:val="21"/>
                    </w:rPr>
                    <w:t>二十七、非金属矿物制品业</w:t>
                  </w:r>
                </w:p>
              </w:tc>
            </w:tr>
            <w:tr w14:paraId="65DE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shd w:val="clear" w:color="auto" w:fill="auto"/>
                  <w:noWrap w:val="0"/>
                  <w:vAlign w:val="center"/>
                </w:tcPr>
                <w:p w14:paraId="441FF319">
                  <w:pPr>
                    <w:spacing w:line="276" w:lineRule="auto"/>
                    <w:jc w:val="center"/>
                    <w:rPr>
                      <w:bCs/>
                      <w:szCs w:val="21"/>
                    </w:rPr>
                  </w:pPr>
                  <w:r>
                    <w:rPr>
                      <w:rFonts w:hint="eastAsia"/>
                      <w:bCs/>
                      <w:szCs w:val="21"/>
                    </w:rPr>
                    <w:t>56砖瓦、石材等建筑材料制造</w:t>
                  </w:r>
                </w:p>
              </w:tc>
              <w:tc>
                <w:tcPr>
                  <w:tcW w:w="758" w:type="pct"/>
                  <w:shd w:val="clear" w:color="auto" w:fill="auto"/>
                  <w:noWrap w:val="0"/>
                  <w:vAlign w:val="center"/>
                </w:tcPr>
                <w:p w14:paraId="21303A8D">
                  <w:pPr>
                    <w:spacing w:line="276" w:lineRule="auto"/>
                    <w:jc w:val="center"/>
                    <w:rPr>
                      <w:bCs/>
                      <w:szCs w:val="21"/>
                    </w:rPr>
                  </w:pPr>
                  <w:r>
                    <w:rPr>
                      <w:rFonts w:hint="eastAsia"/>
                      <w:bCs/>
                      <w:szCs w:val="21"/>
                    </w:rPr>
                    <w:t>/</w:t>
                  </w:r>
                </w:p>
              </w:tc>
              <w:tc>
                <w:tcPr>
                  <w:tcW w:w="2703" w:type="pct"/>
                  <w:shd w:val="clear" w:color="auto" w:fill="BEBEBE"/>
                  <w:noWrap w:val="0"/>
                  <w:vAlign w:val="center"/>
                </w:tcPr>
                <w:p w14:paraId="30877B38">
                  <w:pPr>
                    <w:spacing w:line="276" w:lineRule="auto"/>
                    <w:jc w:val="center"/>
                    <w:rPr>
                      <w:bCs/>
                      <w:szCs w:val="21"/>
                    </w:rPr>
                  </w:pPr>
                  <w:r>
                    <w:rPr>
                      <w:rFonts w:hint="eastAsia"/>
                      <w:bCs/>
                      <w:szCs w:val="21"/>
                    </w:rPr>
                    <w:t>粘土砖瓦及建筑砌块制造；</w:t>
                  </w:r>
                  <w:r>
                    <w:rPr>
                      <w:bCs/>
                      <w:szCs w:val="21"/>
                    </w:rPr>
                    <w:t>建</w:t>
                  </w:r>
                  <w:r>
                    <w:rPr>
                      <w:rFonts w:hint="eastAsia"/>
                      <w:bCs/>
                      <w:szCs w:val="21"/>
                    </w:rPr>
                    <w:t>筑用石加工；</w:t>
                  </w:r>
                  <w:r>
                    <w:rPr>
                      <w:bCs/>
                      <w:szCs w:val="21"/>
                    </w:rPr>
                    <w:t>防水建筑材料制</w:t>
                  </w:r>
                  <w:r>
                    <w:rPr>
                      <w:rFonts w:hint="eastAsia"/>
                      <w:bCs/>
                      <w:szCs w:val="21"/>
                    </w:rPr>
                    <w:t>造：</w:t>
                  </w:r>
                  <w:r>
                    <w:rPr>
                      <w:bCs/>
                      <w:szCs w:val="21"/>
                    </w:rPr>
                    <w:t>隔热、隔音材料制造</w:t>
                  </w:r>
                  <w:r>
                    <w:rPr>
                      <w:rFonts w:hint="eastAsia"/>
                      <w:bCs/>
                      <w:szCs w:val="21"/>
                    </w:rPr>
                    <w:t>；</w:t>
                  </w:r>
                  <w:r>
                    <w:rPr>
                      <w:bCs/>
                      <w:szCs w:val="21"/>
                    </w:rPr>
                    <w:t>其</w:t>
                  </w:r>
                  <w:r>
                    <w:rPr>
                      <w:rFonts w:hint="eastAsia"/>
                      <w:bCs/>
                      <w:szCs w:val="21"/>
                    </w:rPr>
                    <w:t>他建筑材料制造(</w:t>
                  </w:r>
                  <w:r>
                    <w:rPr>
                      <w:bCs/>
                      <w:szCs w:val="21"/>
                    </w:rPr>
                    <w:t>含干粉砂浆</w:t>
                  </w:r>
                  <w:r>
                    <w:rPr>
                      <w:rFonts w:hint="eastAsia"/>
                      <w:bCs/>
                      <w:szCs w:val="21"/>
                    </w:rPr>
                    <w:t>搅拌站)以上均不含利用石材板材切割、打磨、成型的</w:t>
                  </w:r>
                </w:p>
              </w:tc>
              <w:tc>
                <w:tcPr>
                  <w:tcW w:w="252" w:type="pct"/>
                  <w:gridSpan w:val="2"/>
                  <w:noWrap w:val="0"/>
                  <w:vAlign w:val="center"/>
                </w:tcPr>
                <w:p w14:paraId="7C27AC23">
                  <w:pPr>
                    <w:spacing w:line="276" w:lineRule="auto"/>
                    <w:jc w:val="center"/>
                    <w:rPr>
                      <w:bCs/>
                      <w:szCs w:val="21"/>
                    </w:rPr>
                  </w:pPr>
                  <w:r>
                    <w:rPr>
                      <w:bCs/>
                      <w:szCs w:val="21"/>
                    </w:rPr>
                    <w:t>/</w:t>
                  </w:r>
                </w:p>
              </w:tc>
            </w:tr>
            <w:tr w14:paraId="45BB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shd w:val="clear" w:color="auto" w:fill="auto"/>
                  <w:noWrap w:val="0"/>
                  <w:vAlign w:val="center"/>
                </w:tcPr>
                <w:p w14:paraId="4F14A9D6">
                  <w:pPr>
                    <w:keepNext w:val="0"/>
                    <w:keepLines w:val="0"/>
                    <w:pageBreakBefore w:val="0"/>
                    <w:widowControl w:val="0"/>
                    <w:kinsoku/>
                    <w:wordWrap/>
                    <w:overflowPunct/>
                    <w:topLinePunct w:val="0"/>
                    <w:autoSpaceDE/>
                    <w:autoSpaceDN/>
                    <w:bidi w:val="0"/>
                    <w:adjustRightInd/>
                    <w:snapToGrid/>
                    <w:spacing w:line="320" w:lineRule="exact"/>
                    <w:jc w:val="both"/>
                    <w:textAlignment w:val="auto"/>
                    <w:rPr>
                      <w:bCs/>
                      <w:color w:val="0000FF"/>
                      <w:szCs w:val="21"/>
                    </w:rPr>
                  </w:pPr>
                  <w:r>
                    <w:rPr>
                      <w:rFonts w:hint="eastAsia" w:ascii="Times New Roman" w:hAnsi="Times New Roman" w:cs="Times New Roman"/>
                      <w:b w:val="0"/>
                      <w:bCs/>
                      <w:color w:val="0000FF"/>
                      <w:kern w:val="2"/>
                      <w:sz w:val="21"/>
                      <w:szCs w:val="21"/>
                    </w:rPr>
                    <w:t>三十九、废弃资源综合利用业 42</w:t>
                  </w:r>
                </w:p>
              </w:tc>
            </w:tr>
            <w:tr w14:paraId="438F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6" w:type="pct"/>
                  <w:shd w:val="clear" w:color="auto" w:fill="auto"/>
                  <w:noWrap w:val="0"/>
                  <w:vAlign w:val="center"/>
                </w:tcPr>
                <w:p w14:paraId="290B5D4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bCs/>
                      <w:color w:val="0000FF"/>
                      <w:szCs w:val="21"/>
                    </w:rPr>
                  </w:pPr>
                  <w:r>
                    <w:rPr>
                      <w:rFonts w:hint="eastAsia" w:ascii="Times New Roman" w:hAnsi="Times New Roman" w:cs="Times New Roman"/>
                      <w:b w:val="0"/>
                      <w:bCs/>
                      <w:color w:val="0000FF"/>
                      <w:kern w:val="2"/>
                      <w:sz w:val="21"/>
                      <w:szCs w:val="21"/>
                    </w:rPr>
                    <w:t>非金属废料和碎屑加工处理422（422不含原料为危险废物的，均不含仅分拣、破碎的）</w:t>
                  </w:r>
                </w:p>
              </w:tc>
              <w:tc>
                <w:tcPr>
                  <w:tcW w:w="758" w:type="pct"/>
                  <w:shd w:val="clear" w:color="auto" w:fill="auto"/>
                  <w:noWrap w:val="0"/>
                  <w:vAlign w:val="center"/>
                </w:tcPr>
                <w:p w14:paraId="77065D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bCs/>
                      <w:color w:val="0000FF"/>
                      <w:szCs w:val="21"/>
                    </w:rPr>
                  </w:pPr>
                  <w:r>
                    <w:rPr>
                      <w:rFonts w:hint="eastAsia" w:ascii="Times New Roman" w:hAnsi="Times New Roman" w:cs="Times New Roman"/>
                      <w:b w:val="0"/>
                      <w:bCs/>
                      <w:color w:val="0000FF"/>
                      <w:kern w:val="2"/>
                      <w:sz w:val="21"/>
                      <w:szCs w:val="21"/>
                    </w:rPr>
                    <w:t>废电池、废油加工处理</w:t>
                  </w:r>
                </w:p>
              </w:tc>
              <w:tc>
                <w:tcPr>
                  <w:tcW w:w="2716" w:type="pct"/>
                  <w:gridSpan w:val="2"/>
                  <w:shd w:val="clear" w:color="auto" w:fill="BEBEBE"/>
                  <w:noWrap w:val="0"/>
                  <w:vAlign w:val="center"/>
                </w:tcPr>
                <w:p w14:paraId="68ADA8D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bCs/>
                      <w:color w:val="0000FF"/>
                      <w:szCs w:val="21"/>
                    </w:rPr>
                  </w:pPr>
                  <w:r>
                    <w:rPr>
                      <w:rFonts w:hint="eastAsia" w:ascii="Times New Roman" w:hAnsi="Times New Roman" w:cs="Times New Roman"/>
                      <w:b w:val="0"/>
                      <w:bCs/>
                      <w:color w:val="0000FF"/>
                      <w:kern w:val="2"/>
                      <w:sz w:val="21"/>
                      <w:szCs w:val="21"/>
                      <w:lang w:eastAsia="zh-CN"/>
                    </w:rPr>
                    <w:t>废弃电器电子产品、废机动车、废电机、废电线电缆、废钢、废铁、金属和金属化合物矿灰及残渣、有色金属废料与碎屑、废塑料、废轮胎、废船、含水洗工艺的其他废料和碎屑加工处理（农业生产产生的废旧秧盘、薄膜破碎和清洗工艺的除外）</w:t>
                  </w:r>
                </w:p>
              </w:tc>
              <w:tc>
                <w:tcPr>
                  <w:tcW w:w="239" w:type="pct"/>
                  <w:noWrap w:val="0"/>
                  <w:vAlign w:val="center"/>
                </w:tcPr>
                <w:p w14:paraId="05F9C4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color w:val="0000FF"/>
                      <w:szCs w:val="21"/>
                    </w:rPr>
                  </w:pPr>
                  <w:r>
                    <w:rPr>
                      <w:rFonts w:ascii="Times New Roman" w:hAnsi="Times New Roman" w:cs="Times New Roman"/>
                      <w:b w:val="0"/>
                      <w:bCs/>
                      <w:color w:val="0000FF"/>
                      <w:kern w:val="2"/>
                      <w:sz w:val="21"/>
                      <w:szCs w:val="21"/>
                    </w:rPr>
                    <w:t>/</w:t>
                  </w:r>
                </w:p>
              </w:tc>
            </w:tr>
          </w:tbl>
          <w:p w14:paraId="10553952">
            <w:pPr>
              <w:spacing w:line="360" w:lineRule="auto"/>
              <w:ind w:firstLine="420" w:firstLineChars="200"/>
              <w:rPr>
                <w:rFonts w:hint="eastAsia"/>
                <w:szCs w:val="22"/>
              </w:rPr>
            </w:pPr>
          </w:p>
          <w:p w14:paraId="2729D3CA">
            <w:pPr>
              <w:spacing w:line="480" w:lineRule="exact"/>
              <w:ind w:firstLine="480" w:firstLineChars="200"/>
              <w:rPr>
                <w:sz w:val="24"/>
                <w:szCs w:val="28"/>
              </w:rPr>
            </w:pPr>
            <w:r>
              <w:rPr>
                <w:rFonts w:hint="eastAsia"/>
                <w:sz w:val="24"/>
                <w:szCs w:val="28"/>
              </w:rPr>
              <w:t>项目排污许可管理类别判定：根据项目备案文件，可知，项目主要产品为烧结空心砖，本项目国民经济行业属于C3031</w:t>
            </w:r>
            <w:r>
              <w:rPr>
                <w:rFonts w:hint="eastAsia"/>
                <w:sz w:val="24"/>
              </w:rPr>
              <w:t>粘土砖瓦及建筑砌块制造</w:t>
            </w:r>
            <w:r>
              <w:rPr>
                <w:rFonts w:hint="eastAsia"/>
                <w:sz w:val="24"/>
                <w:szCs w:val="28"/>
              </w:rPr>
              <w:t>；根据《固定污染源排污许可分类管理名录(2</w:t>
            </w:r>
            <w:r>
              <w:rPr>
                <w:sz w:val="24"/>
                <w:szCs w:val="28"/>
              </w:rPr>
              <w:t>019</w:t>
            </w:r>
            <w:r>
              <w:rPr>
                <w:rFonts w:hint="eastAsia"/>
                <w:sz w:val="24"/>
                <w:szCs w:val="28"/>
              </w:rPr>
              <w:t>年版)》可知，烧结空心砖—C3031</w:t>
            </w:r>
            <w:r>
              <w:rPr>
                <w:rFonts w:hint="eastAsia"/>
                <w:sz w:val="24"/>
              </w:rPr>
              <w:t>粘土砖瓦及建筑砌块制造</w:t>
            </w:r>
            <w:r>
              <w:rPr>
                <w:rFonts w:hint="eastAsia"/>
                <w:sz w:val="24"/>
                <w:szCs w:val="28"/>
              </w:rPr>
              <w:t>属于名录表中“二十五、非金属矿物制品业30”之下的“64砖瓦、石材等建筑材料制造”的重点管理项：“</w:t>
            </w:r>
            <w:r>
              <w:rPr>
                <w:rFonts w:hint="eastAsia"/>
                <w:sz w:val="24"/>
              </w:rPr>
              <w:t>粘土砖瓦及建筑砌块制造</w:t>
            </w:r>
            <w:r>
              <w:rPr>
                <w:rFonts w:hint="eastAsia"/>
                <w:sz w:val="24"/>
                <w:szCs w:val="28"/>
              </w:rPr>
              <w:t>3031</w:t>
            </w:r>
            <w:r>
              <w:rPr>
                <w:sz w:val="24"/>
                <w:szCs w:val="28"/>
              </w:rPr>
              <w:t>(</w:t>
            </w:r>
            <w:r>
              <w:rPr>
                <w:rFonts w:hint="eastAsia"/>
                <w:sz w:val="24"/>
                <w:szCs w:val="28"/>
              </w:rPr>
              <w:t>以</w:t>
            </w:r>
            <w:r>
              <w:rPr>
                <w:sz w:val="24"/>
                <w:szCs w:val="28"/>
              </w:rPr>
              <w:t>煤或者煤矸石为燃料的烧结砖瓦)</w:t>
            </w:r>
            <w:r>
              <w:rPr>
                <w:rFonts w:hint="eastAsia"/>
                <w:sz w:val="24"/>
                <w:szCs w:val="28"/>
              </w:rPr>
              <w:t>”，因</w:t>
            </w:r>
            <w:r>
              <w:rPr>
                <w:sz w:val="24"/>
                <w:szCs w:val="28"/>
              </w:rPr>
              <w:t>此建设项目排污许可证类别为</w:t>
            </w:r>
            <w:r>
              <w:rPr>
                <w:rFonts w:hint="eastAsia"/>
                <w:sz w:val="24"/>
                <w:szCs w:val="28"/>
              </w:rPr>
              <w:t>重点</w:t>
            </w:r>
            <w:r>
              <w:rPr>
                <w:sz w:val="24"/>
                <w:szCs w:val="28"/>
              </w:rPr>
              <w:t>管理。</w:t>
            </w:r>
          </w:p>
          <w:p w14:paraId="0F40A6BC">
            <w:pPr>
              <w:spacing w:line="480" w:lineRule="exact"/>
              <w:jc w:val="center"/>
              <w:rPr>
                <w:rFonts w:eastAsia="黑体"/>
                <w:sz w:val="24"/>
                <w:szCs w:val="32"/>
              </w:rPr>
            </w:pPr>
            <w:r>
              <w:rPr>
                <w:rFonts w:eastAsia="黑体"/>
                <w:sz w:val="24"/>
                <w:szCs w:val="32"/>
              </w:rPr>
              <w:t>表</w:t>
            </w:r>
            <w:r>
              <w:rPr>
                <w:rFonts w:hint="eastAsia" w:eastAsia="黑体"/>
                <w:sz w:val="24"/>
                <w:szCs w:val="32"/>
              </w:rPr>
              <w:t>2</w:t>
            </w:r>
            <w:r>
              <w:rPr>
                <w:rFonts w:eastAsia="黑体"/>
                <w:sz w:val="24"/>
                <w:szCs w:val="32"/>
              </w:rPr>
              <w:t>-</w:t>
            </w:r>
            <w:r>
              <w:rPr>
                <w:rFonts w:hint="eastAsia" w:eastAsia="黑体"/>
                <w:sz w:val="24"/>
                <w:szCs w:val="32"/>
              </w:rPr>
              <w:t>2</w:t>
            </w:r>
            <w:r>
              <w:rPr>
                <w:rFonts w:eastAsia="黑体"/>
                <w:sz w:val="24"/>
                <w:szCs w:val="32"/>
              </w:rPr>
              <w:t>排污许可证申领类别一览表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051"/>
              <w:gridCol w:w="2469"/>
              <w:gridCol w:w="2810"/>
              <w:gridCol w:w="1594"/>
            </w:tblGrid>
            <w:tr w14:paraId="0D61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dxa"/>
                  <w:noWrap w:val="0"/>
                  <w:vAlign w:val="center"/>
                </w:tcPr>
                <w:p w14:paraId="349333D7">
                  <w:pPr>
                    <w:spacing w:line="276" w:lineRule="auto"/>
                    <w:jc w:val="center"/>
                    <w:rPr>
                      <w:bCs/>
                      <w:szCs w:val="21"/>
                    </w:rPr>
                  </w:pPr>
                  <w:r>
                    <w:rPr>
                      <w:bCs/>
                      <w:szCs w:val="21"/>
                    </w:rPr>
                    <w:t>序号</w:t>
                  </w:r>
                </w:p>
              </w:tc>
              <w:tc>
                <w:tcPr>
                  <w:tcW w:w="1051" w:type="dxa"/>
                  <w:noWrap w:val="0"/>
                  <w:vAlign w:val="center"/>
                </w:tcPr>
                <w:p w14:paraId="7CCF4019">
                  <w:pPr>
                    <w:spacing w:line="276" w:lineRule="auto"/>
                    <w:jc w:val="center"/>
                    <w:rPr>
                      <w:bCs/>
                      <w:szCs w:val="21"/>
                    </w:rPr>
                  </w:pPr>
                  <w:r>
                    <w:rPr>
                      <w:bCs/>
                      <w:szCs w:val="21"/>
                    </w:rPr>
                    <w:t>行业类别</w:t>
                  </w:r>
                </w:p>
              </w:tc>
              <w:tc>
                <w:tcPr>
                  <w:tcW w:w="2469" w:type="dxa"/>
                  <w:noWrap w:val="0"/>
                  <w:vAlign w:val="center"/>
                </w:tcPr>
                <w:p w14:paraId="5D86FF3D">
                  <w:pPr>
                    <w:spacing w:line="276" w:lineRule="auto"/>
                    <w:jc w:val="center"/>
                    <w:rPr>
                      <w:bCs/>
                      <w:szCs w:val="21"/>
                    </w:rPr>
                  </w:pPr>
                  <w:r>
                    <w:rPr>
                      <w:bCs/>
                      <w:szCs w:val="21"/>
                    </w:rPr>
                    <w:t>重点管理</w:t>
                  </w:r>
                </w:p>
              </w:tc>
              <w:tc>
                <w:tcPr>
                  <w:tcW w:w="2810" w:type="dxa"/>
                  <w:noWrap w:val="0"/>
                  <w:vAlign w:val="center"/>
                </w:tcPr>
                <w:p w14:paraId="3F1EFE7F">
                  <w:pPr>
                    <w:spacing w:line="276" w:lineRule="auto"/>
                    <w:jc w:val="center"/>
                    <w:rPr>
                      <w:bCs/>
                      <w:szCs w:val="21"/>
                    </w:rPr>
                  </w:pPr>
                  <w:r>
                    <w:rPr>
                      <w:bCs/>
                      <w:szCs w:val="21"/>
                    </w:rPr>
                    <w:t>简化管理</w:t>
                  </w:r>
                </w:p>
              </w:tc>
              <w:tc>
                <w:tcPr>
                  <w:tcW w:w="1594" w:type="dxa"/>
                  <w:noWrap w:val="0"/>
                  <w:vAlign w:val="center"/>
                </w:tcPr>
                <w:p w14:paraId="7183B1B6">
                  <w:pPr>
                    <w:spacing w:line="276" w:lineRule="auto"/>
                    <w:jc w:val="center"/>
                    <w:rPr>
                      <w:bCs/>
                      <w:szCs w:val="21"/>
                    </w:rPr>
                  </w:pPr>
                  <w:r>
                    <w:rPr>
                      <w:bCs/>
                      <w:szCs w:val="21"/>
                    </w:rPr>
                    <w:t>登记管理</w:t>
                  </w:r>
                </w:p>
              </w:tc>
            </w:tr>
            <w:tr w14:paraId="5656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7" w:type="dxa"/>
                  <w:gridSpan w:val="5"/>
                  <w:noWrap w:val="0"/>
                  <w:vAlign w:val="center"/>
                </w:tcPr>
                <w:p w14:paraId="404750AE">
                  <w:pPr>
                    <w:spacing w:line="276" w:lineRule="auto"/>
                    <w:rPr>
                      <w:bCs/>
                      <w:szCs w:val="21"/>
                    </w:rPr>
                  </w:pPr>
                  <w:r>
                    <w:rPr>
                      <w:bCs/>
                      <w:szCs w:val="21"/>
                    </w:rPr>
                    <w:t>二十五、非金属矿物制品业30</w:t>
                  </w:r>
                </w:p>
              </w:tc>
            </w:tr>
            <w:tr w14:paraId="3552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dxa"/>
                  <w:shd w:val="clear" w:color="auto" w:fill="auto"/>
                  <w:noWrap w:val="0"/>
                  <w:vAlign w:val="center"/>
                </w:tcPr>
                <w:p w14:paraId="45898969">
                  <w:pPr>
                    <w:spacing w:line="276" w:lineRule="auto"/>
                    <w:jc w:val="center"/>
                    <w:rPr>
                      <w:bCs/>
                      <w:szCs w:val="21"/>
                    </w:rPr>
                  </w:pPr>
                  <w:r>
                    <w:rPr>
                      <w:bCs/>
                      <w:szCs w:val="21"/>
                    </w:rPr>
                    <w:t>64</w:t>
                  </w:r>
                </w:p>
              </w:tc>
              <w:tc>
                <w:tcPr>
                  <w:tcW w:w="1051" w:type="dxa"/>
                  <w:shd w:val="clear" w:color="auto" w:fill="auto"/>
                  <w:noWrap w:val="0"/>
                  <w:vAlign w:val="center"/>
                </w:tcPr>
                <w:p w14:paraId="6CB23590">
                  <w:pPr>
                    <w:spacing w:line="276" w:lineRule="auto"/>
                    <w:jc w:val="center"/>
                    <w:rPr>
                      <w:bCs/>
                      <w:szCs w:val="21"/>
                    </w:rPr>
                  </w:pPr>
                  <w:r>
                    <w:rPr>
                      <w:bCs/>
                      <w:szCs w:val="21"/>
                    </w:rPr>
                    <w:t>砖瓦、石材等建筑材料制造</w:t>
                  </w:r>
                </w:p>
              </w:tc>
              <w:tc>
                <w:tcPr>
                  <w:tcW w:w="2469" w:type="dxa"/>
                  <w:shd w:val="clear" w:color="auto" w:fill="BEBEBE"/>
                  <w:noWrap w:val="0"/>
                  <w:vAlign w:val="center"/>
                </w:tcPr>
                <w:p w14:paraId="27D634BF">
                  <w:pPr>
                    <w:spacing w:line="276" w:lineRule="auto"/>
                    <w:jc w:val="center"/>
                    <w:rPr>
                      <w:bCs/>
                      <w:szCs w:val="21"/>
                    </w:rPr>
                  </w:pPr>
                  <w:bookmarkStart w:id="5" w:name="OLE_LINK35"/>
                  <w:r>
                    <w:rPr>
                      <w:bCs/>
                      <w:szCs w:val="21"/>
                    </w:rPr>
                    <w:t>粘土砖瓦及建筑砌块制造3031(以煤或者煤矸石为燃料的烧结砖瓦)</w:t>
                  </w:r>
                  <w:bookmarkEnd w:id="5"/>
                </w:p>
              </w:tc>
              <w:tc>
                <w:tcPr>
                  <w:tcW w:w="2810" w:type="dxa"/>
                  <w:noWrap w:val="0"/>
                  <w:vAlign w:val="center"/>
                </w:tcPr>
                <w:p w14:paraId="1E2B1934">
                  <w:pPr>
                    <w:pStyle w:val="144"/>
                    <w:spacing w:line="276" w:lineRule="auto"/>
                    <w:rPr>
                      <w:rFonts w:ascii="Times New Roman" w:hAnsi="Times New Roman"/>
                      <w:bCs/>
                      <w:kern w:val="2"/>
                      <w:sz w:val="21"/>
                      <w:szCs w:val="21"/>
                      <w:lang w:eastAsia="zh-CN"/>
                    </w:rPr>
                  </w:pPr>
                  <w:r>
                    <w:rPr>
                      <w:rFonts w:ascii="Times New Roman" w:hAnsi="宋体"/>
                      <w:bCs/>
                      <w:kern w:val="2"/>
                      <w:sz w:val="21"/>
                      <w:szCs w:val="21"/>
                      <w:lang w:eastAsia="zh-CN"/>
                    </w:rPr>
                    <w:t>粘土砖瓦及建筑砌块制造</w:t>
                  </w:r>
                  <w:r>
                    <w:rPr>
                      <w:rFonts w:ascii="Times New Roman" w:hAnsi="Times New Roman"/>
                      <w:bCs/>
                      <w:kern w:val="2"/>
                      <w:sz w:val="21"/>
                      <w:szCs w:val="21"/>
                      <w:lang w:eastAsia="zh-CN"/>
                    </w:rPr>
                    <w:t>3031</w:t>
                  </w:r>
                  <w:r>
                    <w:rPr>
                      <w:rFonts w:ascii="Times New Roman" w:hAnsi="宋体"/>
                      <w:bCs/>
                      <w:kern w:val="2"/>
                      <w:sz w:val="21"/>
                      <w:szCs w:val="21"/>
                      <w:lang w:eastAsia="zh-CN"/>
                    </w:rPr>
                    <w:t>(除以煤或者煤矸石为燃料的烧结砖瓦以外的)，建筑用石加工</w:t>
                  </w:r>
                  <w:r>
                    <w:rPr>
                      <w:rFonts w:ascii="Times New Roman" w:hAnsi="Times New Roman"/>
                      <w:bCs/>
                      <w:kern w:val="2"/>
                      <w:sz w:val="21"/>
                      <w:szCs w:val="21"/>
                      <w:lang w:eastAsia="zh-CN"/>
                    </w:rPr>
                    <w:t>3032</w:t>
                  </w:r>
                  <w:r>
                    <w:rPr>
                      <w:rFonts w:ascii="Times New Roman" w:hAnsi="宋体"/>
                      <w:bCs/>
                      <w:kern w:val="2"/>
                      <w:sz w:val="21"/>
                      <w:szCs w:val="21"/>
                      <w:lang w:eastAsia="zh-CN"/>
                    </w:rPr>
                    <w:t>，防水建筑材料制造</w:t>
                  </w:r>
                  <w:r>
                    <w:rPr>
                      <w:rFonts w:ascii="Times New Roman" w:hAnsi="Times New Roman"/>
                      <w:bCs/>
                      <w:kern w:val="2"/>
                      <w:sz w:val="21"/>
                      <w:szCs w:val="21"/>
                      <w:lang w:eastAsia="zh-CN"/>
                    </w:rPr>
                    <w:t>3033</w:t>
                  </w:r>
                  <w:r>
                    <w:rPr>
                      <w:rFonts w:ascii="Times New Roman" w:hAnsi="宋体"/>
                      <w:bCs/>
                      <w:kern w:val="2"/>
                      <w:sz w:val="21"/>
                      <w:szCs w:val="21"/>
                      <w:lang w:eastAsia="zh-CN"/>
                    </w:rPr>
                    <w:t>，隔热和隔音材料制造</w:t>
                  </w:r>
                  <w:r>
                    <w:rPr>
                      <w:rFonts w:ascii="Times New Roman" w:hAnsi="Times New Roman"/>
                      <w:bCs/>
                      <w:kern w:val="2"/>
                      <w:sz w:val="21"/>
                      <w:szCs w:val="21"/>
                      <w:lang w:eastAsia="zh-CN"/>
                    </w:rPr>
                    <w:t>3034</w:t>
                  </w:r>
                  <w:r>
                    <w:rPr>
                      <w:rFonts w:ascii="Times New Roman" w:hAnsi="宋体"/>
                      <w:bCs/>
                      <w:kern w:val="2"/>
                      <w:sz w:val="21"/>
                      <w:szCs w:val="21"/>
                      <w:lang w:eastAsia="zh-CN"/>
                    </w:rPr>
                    <w:t>，其他建筑材料制造</w:t>
                  </w:r>
                  <w:r>
                    <w:rPr>
                      <w:rFonts w:ascii="Times New Roman" w:hAnsi="Times New Roman"/>
                      <w:bCs/>
                      <w:kern w:val="2"/>
                      <w:sz w:val="21"/>
                      <w:szCs w:val="21"/>
                      <w:lang w:eastAsia="zh-CN"/>
                    </w:rPr>
                    <w:t>3039</w:t>
                  </w:r>
                  <w:r>
                    <w:rPr>
                      <w:rFonts w:ascii="Times New Roman" w:hAnsi="宋体"/>
                      <w:bCs/>
                      <w:kern w:val="2"/>
                      <w:sz w:val="21"/>
                      <w:szCs w:val="21"/>
                      <w:lang w:eastAsia="zh-CN"/>
                    </w:rPr>
                    <w:t>，以上均不含仅切割加工的</w:t>
                  </w:r>
                </w:p>
              </w:tc>
              <w:tc>
                <w:tcPr>
                  <w:tcW w:w="1594" w:type="dxa"/>
                  <w:noWrap w:val="0"/>
                  <w:vAlign w:val="center"/>
                </w:tcPr>
                <w:p w14:paraId="5FA06E5E">
                  <w:pPr>
                    <w:spacing w:line="276" w:lineRule="auto"/>
                    <w:jc w:val="center"/>
                    <w:rPr>
                      <w:bCs/>
                      <w:szCs w:val="21"/>
                    </w:rPr>
                  </w:pPr>
                  <w:r>
                    <w:rPr>
                      <w:bCs/>
                      <w:szCs w:val="21"/>
                    </w:rPr>
                    <w:t>仅切割加工的</w:t>
                  </w:r>
                </w:p>
              </w:tc>
            </w:tr>
          </w:tbl>
          <w:p w14:paraId="3CBC8E0E">
            <w:pPr>
              <w:spacing w:line="480" w:lineRule="exact"/>
              <w:ind w:firstLine="480"/>
              <w:rPr>
                <w:rFonts w:hint="eastAsia" w:ascii="黑体" w:hAnsi="黑体" w:eastAsia="黑体" w:cs="黑体"/>
                <w:bCs/>
                <w:sz w:val="24"/>
              </w:rPr>
            </w:pPr>
            <w:r>
              <w:rPr>
                <w:rFonts w:hint="eastAsia" w:ascii="黑体" w:hAnsi="黑体" w:eastAsia="黑体" w:cs="黑体"/>
                <w:bCs/>
                <w:sz w:val="24"/>
              </w:rPr>
              <w:t>2、工程基本情况</w:t>
            </w:r>
          </w:p>
          <w:p w14:paraId="1DFF9FA6">
            <w:pPr>
              <w:spacing w:line="480" w:lineRule="exact"/>
              <w:ind w:firstLine="480" w:firstLineChars="200"/>
              <w:rPr>
                <w:rFonts w:hint="eastAsia"/>
                <w:sz w:val="24"/>
              </w:rPr>
            </w:pPr>
            <w:r>
              <w:rPr>
                <w:sz w:val="24"/>
              </w:rPr>
              <w:t>项目名称：</w:t>
            </w:r>
            <w:r>
              <w:rPr>
                <w:rFonts w:hint="eastAsia"/>
                <w:sz w:val="24"/>
              </w:rPr>
              <w:t>凤台县粹彬墙体材料有限公司煤矸石烧结砖技术改造项目</w:t>
            </w:r>
          </w:p>
          <w:p w14:paraId="15C1F78C">
            <w:pPr>
              <w:spacing w:line="480" w:lineRule="exact"/>
              <w:ind w:firstLine="480" w:firstLineChars="200"/>
              <w:rPr>
                <w:rFonts w:hint="eastAsia"/>
                <w:sz w:val="24"/>
              </w:rPr>
            </w:pPr>
            <w:r>
              <w:rPr>
                <w:sz w:val="24"/>
              </w:rPr>
              <w:t>建设单位：</w:t>
            </w:r>
            <w:r>
              <w:rPr>
                <w:rFonts w:hint="eastAsia"/>
                <w:sz w:val="24"/>
              </w:rPr>
              <w:t>凤台县粹彬墙体材料有限公司</w:t>
            </w:r>
          </w:p>
          <w:p w14:paraId="4119F4FA">
            <w:pPr>
              <w:spacing w:line="480" w:lineRule="exact"/>
              <w:ind w:firstLine="480" w:firstLineChars="200"/>
              <w:rPr>
                <w:rFonts w:hint="eastAsia"/>
                <w:color w:val="000000"/>
                <w:sz w:val="24"/>
              </w:rPr>
            </w:pPr>
            <w:r>
              <w:rPr>
                <w:color w:val="000000"/>
                <w:sz w:val="24"/>
              </w:rPr>
              <w:t>建设性质：</w:t>
            </w:r>
            <w:r>
              <w:rPr>
                <w:rFonts w:hint="eastAsia"/>
                <w:color w:val="000000"/>
                <w:sz w:val="24"/>
                <w:szCs w:val="24"/>
              </w:rPr>
              <w:t>改扩建（</w:t>
            </w:r>
            <w:r>
              <w:rPr>
                <w:rFonts w:hint="eastAsia"/>
                <w:color w:val="000000"/>
                <w:sz w:val="24"/>
                <w:szCs w:val="24"/>
                <w:lang w:val="en-US" w:eastAsia="zh-CN"/>
              </w:rPr>
              <w:t>新建一座</w:t>
            </w:r>
            <w:r>
              <w:rPr>
                <w:rFonts w:hint="eastAsia" w:ascii="Times New Roman" w:hAnsi="Times New Roman"/>
                <w:color w:val="000000"/>
                <w:kern w:val="2"/>
                <w:sz w:val="24"/>
                <w:szCs w:val="24"/>
              </w:rPr>
              <w:t>2000平方米原料库</w:t>
            </w:r>
            <w:r>
              <w:rPr>
                <w:rFonts w:hint="eastAsia" w:ascii="Times New Roman" w:hAnsi="Times New Roman"/>
                <w:color w:val="000000"/>
                <w:kern w:val="2"/>
                <w:sz w:val="24"/>
                <w:szCs w:val="24"/>
                <w:lang w:eastAsia="zh-CN"/>
              </w:rPr>
              <w:t>，</w:t>
            </w:r>
            <w:r>
              <w:rPr>
                <w:rFonts w:hint="eastAsia" w:ascii="Times New Roman" w:hAnsi="Times New Roman"/>
                <w:color w:val="000000"/>
                <w:kern w:val="2"/>
                <w:sz w:val="24"/>
                <w:szCs w:val="24"/>
                <w:lang w:val="en-US" w:eastAsia="zh-CN"/>
              </w:rPr>
              <w:t>并对现有车间及原料库进行封闭处理，窑体高度增加0.6米，并新增且升级部分设备等</w:t>
            </w:r>
            <w:r>
              <w:rPr>
                <w:rFonts w:hint="eastAsia"/>
                <w:color w:val="000000"/>
                <w:sz w:val="24"/>
                <w:szCs w:val="24"/>
              </w:rPr>
              <w:t>）</w:t>
            </w:r>
          </w:p>
          <w:p w14:paraId="5C495A90">
            <w:pPr>
              <w:spacing w:line="480" w:lineRule="exact"/>
              <w:ind w:firstLine="480" w:firstLineChars="200"/>
              <w:rPr>
                <w:rFonts w:hint="eastAsia"/>
                <w:sz w:val="24"/>
              </w:rPr>
            </w:pPr>
            <w:r>
              <w:rPr>
                <w:sz w:val="24"/>
              </w:rPr>
              <w:t>行业类别及代码：</w:t>
            </w:r>
            <w:r>
              <w:rPr>
                <w:rFonts w:hint="eastAsia"/>
                <w:sz w:val="24"/>
              </w:rPr>
              <w:t>C3031粘土砖瓦及建筑砌块制造</w:t>
            </w:r>
          </w:p>
          <w:p w14:paraId="031517E5">
            <w:pPr>
              <w:spacing w:line="480" w:lineRule="exact"/>
              <w:ind w:firstLine="480" w:firstLineChars="200"/>
              <w:rPr>
                <w:sz w:val="24"/>
              </w:rPr>
            </w:pPr>
            <w:r>
              <w:rPr>
                <w:sz w:val="24"/>
              </w:rPr>
              <w:t>总投资：本项目总投资</w:t>
            </w:r>
            <w:r>
              <w:rPr>
                <w:rFonts w:hint="eastAsia"/>
                <w:sz w:val="24"/>
              </w:rPr>
              <w:t>15</w:t>
            </w:r>
            <w:r>
              <w:rPr>
                <w:sz w:val="24"/>
              </w:rPr>
              <w:t>00万元</w:t>
            </w:r>
          </w:p>
          <w:p w14:paraId="53708187">
            <w:pPr>
              <w:spacing w:line="480" w:lineRule="exact"/>
              <w:ind w:firstLine="480"/>
              <w:rPr>
                <w:bCs/>
                <w:kern w:val="0"/>
                <w:sz w:val="24"/>
              </w:rPr>
            </w:pPr>
            <w:r>
              <w:rPr>
                <w:sz w:val="24"/>
              </w:rPr>
              <w:t>建设地点：</w:t>
            </w:r>
            <w:r>
              <w:rPr>
                <w:rFonts w:hint="eastAsia"/>
                <w:sz w:val="24"/>
              </w:rPr>
              <w:t>淮南市凤台县古店乡北芹村。</w:t>
            </w:r>
          </w:p>
          <w:p w14:paraId="12297A7B">
            <w:pPr>
              <w:spacing w:line="480" w:lineRule="exact"/>
              <w:ind w:firstLine="480"/>
              <w:rPr>
                <w:rFonts w:hint="eastAsia" w:ascii="黑体" w:hAnsi="黑体" w:eastAsia="黑体" w:cs="黑体"/>
                <w:bCs/>
                <w:sz w:val="24"/>
              </w:rPr>
            </w:pPr>
            <w:r>
              <w:rPr>
                <w:rFonts w:hint="eastAsia" w:ascii="黑体" w:hAnsi="黑体" w:eastAsia="黑体" w:cs="黑体"/>
                <w:bCs/>
                <w:sz w:val="24"/>
              </w:rPr>
              <w:t>3、工程建设内容</w:t>
            </w:r>
          </w:p>
          <w:p w14:paraId="308D0030">
            <w:pPr>
              <w:spacing w:line="480" w:lineRule="exact"/>
              <w:ind w:firstLine="480"/>
              <w:rPr>
                <w:rFonts w:hint="eastAsia"/>
                <w:bCs/>
                <w:szCs w:val="21"/>
              </w:rPr>
            </w:pPr>
            <w:r>
              <w:rPr>
                <w:rFonts w:hint="eastAsia"/>
                <w:bCs/>
                <w:sz w:val="24"/>
              </w:rPr>
              <w:t>本</w:t>
            </w:r>
            <w:r>
              <w:rPr>
                <w:bCs/>
                <w:sz w:val="24"/>
              </w:rPr>
              <w:t>项目</w:t>
            </w:r>
            <w:r>
              <w:rPr>
                <w:rFonts w:hint="eastAsia"/>
                <w:bCs/>
                <w:sz w:val="24"/>
              </w:rPr>
              <w:t>在现有项目基础上进行升级改造，</w:t>
            </w:r>
            <w:r>
              <w:rPr>
                <w:sz w:val="24"/>
              </w:rPr>
              <w:t>主要工程内容及规模见下表：</w:t>
            </w:r>
          </w:p>
        </w:tc>
      </w:tr>
    </w:tbl>
    <w:p w14:paraId="43ABA896">
      <w:pPr>
        <w:pStyle w:val="34"/>
        <w:jc w:val="center"/>
        <w:rPr>
          <w:rFonts w:ascii="Times New Roman" w:hAnsi="Times New Roman" w:eastAsia="黑体"/>
          <w:snapToGrid w:val="0"/>
          <w:sz w:val="36"/>
          <w:szCs w:val="36"/>
        </w:rPr>
        <w:sectPr>
          <w:headerReference r:id="rId7" w:type="default"/>
          <w:pgSz w:w="11906" w:h="16838"/>
          <w:pgMar w:top="1440" w:right="1440" w:bottom="1304" w:left="1440" w:header="851" w:footer="851" w:gutter="0"/>
          <w:pgNumType w:fmt="numberInDash"/>
          <w:cols w:space="720" w:num="1"/>
          <w:docGrid w:linePitch="312" w:charSpace="0"/>
        </w:sect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3531"/>
      </w:tblGrid>
      <w:tr w14:paraId="78FE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noWrap w:val="0"/>
            <w:vAlign w:val="center"/>
          </w:tcPr>
          <w:p w14:paraId="12CD3A3B">
            <w:pPr>
              <w:pStyle w:val="34"/>
              <w:jc w:val="center"/>
              <w:rPr>
                <w:rFonts w:ascii="Times New Roman" w:hAnsi="Times New Roman" w:eastAsia="黑体"/>
                <w:snapToGrid w:val="0"/>
                <w:sz w:val="36"/>
                <w:szCs w:val="36"/>
              </w:rPr>
            </w:pPr>
            <w:r>
              <w:rPr>
                <w:rFonts w:ascii="Times New Roman" w:hAnsi="Times New Roman"/>
                <w:szCs w:val="24"/>
              </w:rPr>
              <w:t>建设内容</w:t>
            </w:r>
          </w:p>
        </w:tc>
        <w:tc>
          <w:tcPr>
            <w:tcW w:w="13531" w:type="dxa"/>
            <w:noWrap w:val="0"/>
            <w:vAlign w:val="top"/>
          </w:tcPr>
          <w:p w14:paraId="0BF04278">
            <w:pPr>
              <w:jc w:val="center"/>
              <w:rPr>
                <w:rFonts w:hint="eastAsia" w:eastAsia="黑体"/>
                <w:bCs/>
                <w:sz w:val="24"/>
                <w:szCs w:val="32"/>
                <w:highlight w:val="yellow"/>
              </w:rPr>
            </w:pPr>
            <w:r>
              <w:rPr>
                <w:rFonts w:eastAsia="黑体"/>
                <w:bCs/>
                <w:sz w:val="24"/>
                <w:szCs w:val="32"/>
              </w:rPr>
              <w:t>表2</w:t>
            </w:r>
            <w:bookmarkStart w:id="6" w:name="_Hlk87349170"/>
            <w:r>
              <w:rPr>
                <w:rFonts w:hint="eastAsia" w:eastAsia="黑体"/>
                <w:bCs/>
                <w:sz w:val="24"/>
                <w:szCs w:val="32"/>
              </w:rPr>
              <w:t>-3项目主要建设内容及规模</w:t>
            </w:r>
            <w:r>
              <w:rPr>
                <w:rFonts w:eastAsia="黑体"/>
                <w:bCs/>
                <w:sz w:val="24"/>
                <w:szCs w:val="32"/>
              </w:rPr>
              <w:t>组成一览表</w:t>
            </w:r>
            <w:bookmarkEnd w:id="6"/>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73"/>
              <w:gridCol w:w="1171"/>
              <w:gridCol w:w="3220"/>
              <w:gridCol w:w="2359"/>
              <w:gridCol w:w="3040"/>
              <w:gridCol w:w="2201"/>
            </w:tblGrid>
            <w:tr w14:paraId="2291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noWrap w:val="0"/>
                  <w:vAlign w:val="center"/>
                </w:tcPr>
                <w:p w14:paraId="22FD6B76">
                  <w:pPr>
                    <w:spacing w:line="276" w:lineRule="auto"/>
                    <w:jc w:val="center"/>
                    <w:rPr>
                      <w:bCs/>
                      <w:kern w:val="21"/>
                      <w:szCs w:val="21"/>
                    </w:rPr>
                  </w:pPr>
                  <w:r>
                    <w:rPr>
                      <w:bCs/>
                      <w:kern w:val="21"/>
                      <w:szCs w:val="21"/>
                    </w:rPr>
                    <w:t>工程类别</w:t>
                  </w:r>
                </w:p>
              </w:tc>
              <w:tc>
                <w:tcPr>
                  <w:tcW w:w="692" w:type="pct"/>
                  <w:gridSpan w:val="2"/>
                  <w:noWrap w:val="0"/>
                  <w:vAlign w:val="center"/>
                </w:tcPr>
                <w:p w14:paraId="7238DCCD">
                  <w:pPr>
                    <w:spacing w:line="276" w:lineRule="auto"/>
                    <w:jc w:val="center"/>
                    <w:rPr>
                      <w:bCs/>
                      <w:kern w:val="21"/>
                      <w:szCs w:val="21"/>
                    </w:rPr>
                  </w:pPr>
                  <w:r>
                    <w:rPr>
                      <w:bCs/>
                      <w:kern w:val="21"/>
                      <w:szCs w:val="21"/>
                    </w:rPr>
                    <w:t>单项工程名称</w:t>
                  </w:r>
                </w:p>
              </w:tc>
              <w:tc>
                <w:tcPr>
                  <w:tcW w:w="1210" w:type="pct"/>
                  <w:noWrap w:val="0"/>
                  <w:vAlign w:val="center"/>
                </w:tcPr>
                <w:p w14:paraId="7A9E8DBF">
                  <w:pPr>
                    <w:spacing w:line="276" w:lineRule="auto"/>
                    <w:jc w:val="center"/>
                    <w:rPr>
                      <w:bCs/>
                      <w:kern w:val="21"/>
                      <w:szCs w:val="21"/>
                    </w:rPr>
                  </w:pPr>
                  <w:r>
                    <w:rPr>
                      <w:bCs/>
                      <w:kern w:val="21"/>
                      <w:szCs w:val="21"/>
                    </w:rPr>
                    <w:t>现有项目建设内容及规模</w:t>
                  </w:r>
                </w:p>
              </w:tc>
              <w:tc>
                <w:tcPr>
                  <w:tcW w:w="886" w:type="pct"/>
                  <w:noWrap w:val="0"/>
                  <w:vAlign w:val="center"/>
                </w:tcPr>
                <w:p w14:paraId="5703F6FF">
                  <w:pPr>
                    <w:spacing w:line="276" w:lineRule="auto"/>
                    <w:jc w:val="center"/>
                    <w:rPr>
                      <w:bCs/>
                      <w:kern w:val="21"/>
                      <w:szCs w:val="21"/>
                    </w:rPr>
                  </w:pPr>
                  <w:r>
                    <w:rPr>
                      <w:rFonts w:hint="eastAsia"/>
                      <w:bCs/>
                      <w:kern w:val="21"/>
                      <w:szCs w:val="21"/>
                    </w:rPr>
                    <w:t>本</w:t>
                  </w:r>
                  <w:r>
                    <w:rPr>
                      <w:bCs/>
                      <w:kern w:val="21"/>
                      <w:szCs w:val="21"/>
                    </w:rPr>
                    <w:t>项目建设规模与规模</w:t>
                  </w:r>
                </w:p>
              </w:tc>
              <w:tc>
                <w:tcPr>
                  <w:tcW w:w="1142" w:type="pct"/>
                  <w:noWrap w:val="0"/>
                  <w:vAlign w:val="center"/>
                </w:tcPr>
                <w:p w14:paraId="0C9C5C26">
                  <w:pPr>
                    <w:spacing w:line="276" w:lineRule="auto"/>
                    <w:jc w:val="center"/>
                    <w:rPr>
                      <w:bCs/>
                      <w:kern w:val="21"/>
                      <w:szCs w:val="21"/>
                    </w:rPr>
                  </w:pPr>
                  <w:r>
                    <w:rPr>
                      <w:bCs/>
                      <w:kern w:val="21"/>
                      <w:szCs w:val="21"/>
                    </w:rPr>
                    <w:t>改建后全厂建设内容及规模</w:t>
                  </w:r>
                </w:p>
              </w:tc>
              <w:tc>
                <w:tcPr>
                  <w:tcW w:w="827" w:type="pct"/>
                  <w:noWrap w:val="0"/>
                  <w:vAlign w:val="center"/>
                </w:tcPr>
                <w:p w14:paraId="7BC7A23B">
                  <w:pPr>
                    <w:spacing w:line="276" w:lineRule="auto"/>
                    <w:jc w:val="center"/>
                    <w:rPr>
                      <w:rFonts w:hint="eastAsia"/>
                      <w:bCs/>
                      <w:szCs w:val="21"/>
                    </w:rPr>
                  </w:pPr>
                  <w:r>
                    <w:rPr>
                      <w:rFonts w:hint="eastAsia"/>
                      <w:bCs/>
                      <w:szCs w:val="21"/>
                    </w:rPr>
                    <w:t>备注</w:t>
                  </w:r>
                </w:p>
              </w:tc>
            </w:tr>
            <w:tr w14:paraId="48B5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jc w:val="center"/>
              </w:trPr>
              <w:tc>
                <w:tcPr>
                  <w:tcW w:w="240" w:type="pct"/>
                  <w:vMerge w:val="restart"/>
                  <w:noWrap w:val="0"/>
                  <w:vAlign w:val="center"/>
                </w:tcPr>
                <w:p w14:paraId="09142513">
                  <w:pPr>
                    <w:spacing w:line="276" w:lineRule="auto"/>
                    <w:jc w:val="center"/>
                    <w:rPr>
                      <w:bCs/>
                      <w:szCs w:val="21"/>
                    </w:rPr>
                  </w:pPr>
                  <w:r>
                    <w:rPr>
                      <w:bCs/>
                      <w:szCs w:val="21"/>
                    </w:rPr>
                    <w:t>主体工程</w:t>
                  </w:r>
                </w:p>
              </w:tc>
              <w:tc>
                <w:tcPr>
                  <w:tcW w:w="692" w:type="pct"/>
                  <w:gridSpan w:val="2"/>
                  <w:noWrap w:val="0"/>
                  <w:vAlign w:val="center"/>
                </w:tcPr>
                <w:p w14:paraId="7B2B8540">
                  <w:pPr>
                    <w:spacing w:line="276" w:lineRule="auto"/>
                    <w:jc w:val="center"/>
                    <w:rPr>
                      <w:bCs/>
                      <w:szCs w:val="21"/>
                    </w:rPr>
                  </w:pPr>
                  <w:r>
                    <w:rPr>
                      <w:bCs/>
                      <w:szCs w:val="21"/>
                    </w:rPr>
                    <w:t>破碎筛分</w:t>
                  </w:r>
                  <w:r>
                    <w:rPr>
                      <w:rFonts w:hint="eastAsia"/>
                      <w:bCs/>
                      <w:szCs w:val="21"/>
                    </w:rPr>
                    <w:t>、搅拌对辊车间</w:t>
                  </w:r>
                </w:p>
              </w:tc>
              <w:tc>
                <w:tcPr>
                  <w:tcW w:w="1210" w:type="pct"/>
                  <w:noWrap w:val="0"/>
                  <w:vAlign w:val="center"/>
                </w:tcPr>
                <w:p w14:paraId="4CAE994B">
                  <w:pPr>
                    <w:spacing w:line="276" w:lineRule="auto"/>
                    <w:rPr>
                      <w:bCs/>
                      <w:color w:val="000000"/>
                      <w:szCs w:val="21"/>
                    </w:rPr>
                  </w:pPr>
                  <w:r>
                    <w:rPr>
                      <w:bCs/>
                      <w:color w:val="000000"/>
                      <w:szCs w:val="21"/>
                    </w:rPr>
                    <w:t>位于</w:t>
                  </w:r>
                  <w:r>
                    <w:rPr>
                      <w:rFonts w:hint="eastAsia"/>
                      <w:bCs/>
                      <w:color w:val="000000"/>
                      <w:szCs w:val="21"/>
                    </w:rPr>
                    <w:t>厂区西南部</w:t>
                  </w:r>
                  <w:r>
                    <w:rPr>
                      <w:bCs/>
                      <w:color w:val="000000"/>
                      <w:szCs w:val="21"/>
                    </w:rPr>
                    <w:t>，占地面积约</w:t>
                  </w:r>
                  <w:r>
                    <w:rPr>
                      <w:rFonts w:hint="eastAsia"/>
                      <w:bCs/>
                      <w:color w:val="000000"/>
                      <w:szCs w:val="21"/>
                    </w:rPr>
                    <w:t>12</w:t>
                  </w:r>
                  <w:r>
                    <w:rPr>
                      <w:bCs/>
                      <w:color w:val="000000"/>
                      <w:szCs w:val="21"/>
                    </w:rPr>
                    <w:t>00m</w:t>
                  </w:r>
                  <w:r>
                    <w:rPr>
                      <w:bCs/>
                      <w:color w:val="000000"/>
                      <w:szCs w:val="21"/>
                      <w:vertAlign w:val="superscript"/>
                    </w:rPr>
                    <w:t>2</w:t>
                  </w:r>
                  <w:r>
                    <w:rPr>
                      <w:bCs/>
                      <w:color w:val="000000"/>
                      <w:szCs w:val="21"/>
                    </w:rPr>
                    <w:t>，</w:t>
                  </w:r>
                  <w:r>
                    <w:rPr>
                      <w:rFonts w:hint="eastAsia"/>
                      <w:bCs/>
                      <w:color w:val="000000"/>
                      <w:szCs w:val="21"/>
                    </w:rPr>
                    <w:t>破碎筛分区</w:t>
                  </w:r>
                  <w:r>
                    <w:rPr>
                      <w:bCs/>
                      <w:color w:val="000000"/>
                      <w:szCs w:val="21"/>
                    </w:rPr>
                    <w:t>布置锤式破碎机、</w:t>
                  </w:r>
                  <w:r>
                    <w:rPr>
                      <w:rFonts w:hint="eastAsia"/>
                      <w:bCs/>
                      <w:color w:val="000000"/>
                      <w:szCs w:val="21"/>
                    </w:rPr>
                    <w:t>电磁振动筛</w:t>
                  </w:r>
                  <w:r>
                    <w:rPr>
                      <w:bCs/>
                      <w:color w:val="000000"/>
                      <w:szCs w:val="21"/>
                    </w:rPr>
                    <w:t>等设备，用于原料破碎筛分使用</w:t>
                  </w:r>
                  <w:r>
                    <w:rPr>
                      <w:rFonts w:hint="eastAsia"/>
                      <w:bCs/>
                      <w:color w:val="000000"/>
                      <w:szCs w:val="21"/>
                    </w:rPr>
                    <w:t>；搅拌对辊车间</w:t>
                  </w:r>
                  <w:r>
                    <w:rPr>
                      <w:bCs/>
                      <w:color w:val="000000"/>
                      <w:szCs w:val="21"/>
                    </w:rPr>
                    <w:t>布置</w:t>
                  </w:r>
                  <w:r>
                    <w:rPr>
                      <w:rFonts w:hint="eastAsia"/>
                      <w:bCs/>
                      <w:color w:val="000000"/>
                      <w:szCs w:val="21"/>
                    </w:rPr>
                    <w:t>双轴搅拌机、细碎对辊机</w:t>
                  </w:r>
                  <w:r>
                    <w:rPr>
                      <w:bCs/>
                      <w:color w:val="000000"/>
                      <w:szCs w:val="21"/>
                    </w:rPr>
                    <w:t>等设备，用于原料</w:t>
                  </w:r>
                  <w:r>
                    <w:rPr>
                      <w:rFonts w:hint="eastAsia"/>
                      <w:bCs/>
                      <w:color w:val="000000"/>
                      <w:szCs w:val="21"/>
                    </w:rPr>
                    <w:t>搅拌、对辊</w:t>
                  </w:r>
                  <w:r>
                    <w:rPr>
                      <w:bCs/>
                      <w:color w:val="000000"/>
                      <w:szCs w:val="21"/>
                    </w:rPr>
                    <w:t>使用</w:t>
                  </w:r>
                </w:p>
              </w:tc>
              <w:tc>
                <w:tcPr>
                  <w:tcW w:w="886" w:type="pct"/>
                  <w:noWrap w:val="0"/>
                  <w:vAlign w:val="center"/>
                </w:tcPr>
                <w:p w14:paraId="543A56E5">
                  <w:pPr>
                    <w:spacing w:line="276" w:lineRule="auto"/>
                    <w:rPr>
                      <w:rFonts w:hint="eastAsia"/>
                      <w:bCs/>
                      <w:color w:val="000000"/>
                      <w:szCs w:val="21"/>
                    </w:rPr>
                  </w:pPr>
                  <w:r>
                    <w:rPr>
                      <w:rFonts w:hint="eastAsia"/>
                      <w:color w:val="000000"/>
                    </w:rPr>
                    <w:t>新增全封闭破碎机1台；</w:t>
                  </w:r>
                  <w:r>
                    <w:rPr>
                      <w:rFonts w:hint="eastAsia"/>
                      <w:bCs/>
                      <w:color w:val="000000"/>
                      <w:szCs w:val="21"/>
                      <w:lang w:val="en-US" w:eastAsia="zh-CN"/>
                    </w:rPr>
                    <w:t>升级1台</w:t>
                  </w:r>
                  <w:r>
                    <w:rPr>
                      <w:rFonts w:hint="eastAsia"/>
                      <w:bCs/>
                      <w:color w:val="000000"/>
                      <w:szCs w:val="21"/>
                    </w:rPr>
                    <w:t>双轴搅拌机、</w:t>
                  </w:r>
                  <w:r>
                    <w:rPr>
                      <w:rFonts w:hint="eastAsia"/>
                      <w:bCs/>
                      <w:color w:val="000000"/>
                      <w:szCs w:val="21"/>
                      <w:lang w:val="en-US" w:eastAsia="zh-CN"/>
                    </w:rPr>
                    <w:t>2台</w:t>
                  </w:r>
                  <w:r>
                    <w:rPr>
                      <w:rFonts w:hint="eastAsia"/>
                      <w:bCs/>
                      <w:color w:val="000000"/>
                      <w:szCs w:val="21"/>
                    </w:rPr>
                    <w:t>细碎对辊机</w:t>
                  </w:r>
                  <w:r>
                    <w:rPr>
                      <w:rFonts w:hint="eastAsia"/>
                      <w:bCs/>
                      <w:color w:val="000000"/>
                      <w:szCs w:val="21"/>
                      <w:lang w:eastAsia="zh-CN"/>
                    </w:rPr>
                    <w:t>，</w:t>
                  </w:r>
                  <w:r>
                    <w:rPr>
                      <w:rFonts w:hint="eastAsia"/>
                      <w:bCs/>
                      <w:color w:val="000000"/>
                      <w:szCs w:val="21"/>
                      <w:lang w:val="en-US" w:eastAsia="zh-CN"/>
                    </w:rPr>
                    <w:t>提高其生产能力</w:t>
                  </w:r>
                </w:p>
              </w:tc>
              <w:tc>
                <w:tcPr>
                  <w:tcW w:w="1142" w:type="pct"/>
                  <w:noWrap w:val="0"/>
                  <w:vAlign w:val="center"/>
                </w:tcPr>
                <w:p w14:paraId="566EFB09">
                  <w:pPr>
                    <w:spacing w:line="276" w:lineRule="auto"/>
                    <w:rPr>
                      <w:bCs/>
                      <w:color w:val="000000"/>
                      <w:szCs w:val="21"/>
                    </w:rPr>
                  </w:pPr>
                  <w:r>
                    <w:rPr>
                      <w:bCs/>
                      <w:color w:val="000000"/>
                      <w:szCs w:val="21"/>
                    </w:rPr>
                    <w:t>位于</w:t>
                  </w:r>
                  <w:r>
                    <w:rPr>
                      <w:rFonts w:hint="eastAsia"/>
                      <w:bCs/>
                      <w:color w:val="000000"/>
                      <w:szCs w:val="21"/>
                    </w:rPr>
                    <w:t>厂区西南部</w:t>
                  </w:r>
                  <w:r>
                    <w:rPr>
                      <w:bCs/>
                      <w:color w:val="000000"/>
                      <w:szCs w:val="21"/>
                    </w:rPr>
                    <w:t>，占地面积约</w:t>
                  </w:r>
                  <w:r>
                    <w:rPr>
                      <w:rFonts w:hint="eastAsia"/>
                      <w:bCs/>
                      <w:color w:val="000000"/>
                      <w:szCs w:val="21"/>
                    </w:rPr>
                    <w:t>12</w:t>
                  </w:r>
                  <w:r>
                    <w:rPr>
                      <w:bCs/>
                      <w:color w:val="000000"/>
                      <w:szCs w:val="21"/>
                    </w:rPr>
                    <w:t>00m</w:t>
                  </w:r>
                  <w:r>
                    <w:rPr>
                      <w:bCs/>
                      <w:color w:val="000000"/>
                      <w:szCs w:val="21"/>
                      <w:vertAlign w:val="superscript"/>
                    </w:rPr>
                    <w:t>2</w:t>
                  </w:r>
                  <w:r>
                    <w:rPr>
                      <w:bCs/>
                      <w:color w:val="000000"/>
                      <w:szCs w:val="21"/>
                    </w:rPr>
                    <w:t>，</w:t>
                  </w:r>
                  <w:r>
                    <w:rPr>
                      <w:rFonts w:hint="eastAsia"/>
                      <w:bCs/>
                      <w:color w:val="000000"/>
                      <w:szCs w:val="21"/>
                    </w:rPr>
                    <w:t>破碎筛分区</w:t>
                  </w:r>
                  <w:r>
                    <w:rPr>
                      <w:bCs/>
                      <w:color w:val="000000"/>
                      <w:szCs w:val="21"/>
                    </w:rPr>
                    <w:t>布置锤式破碎机、</w:t>
                  </w:r>
                  <w:r>
                    <w:rPr>
                      <w:rFonts w:hint="eastAsia"/>
                      <w:bCs/>
                      <w:color w:val="000000"/>
                      <w:szCs w:val="21"/>
                    </w:rPr>
                    <w:t>电磁振动筛</w:t>
                  </w:r>
                  <w:r>
                    <w:rPr>
                      <w:bCs/>
                      <w:color w:val="000000"/>
                      <w:szCs w:val="21"/>
                    </w:rPr>
                    <w:t>等设备，用于原料破碎筛分使用</w:t>
                  </w:r>
                  <w:r>
                    <w:rPr>
                      <w:rFonts w:hint="eastAsia"/>
                      <w:bCs/>
                      <w:color w:val="000000"/>
                      <w:szCs w:val="21"/>
                    </w:rPr>
                    <w:t>；搅拌对辊车间</w:t>
                  </w:r>
                  <w:r>
                    <w:rPr>
                      <w:bCs/>
                      <w:color w:val="000000"/>
                      <w:szCs w:val="21"/>
                    </w:rPr>
                    <w:t>布置</w:t>
                  </w:r>
                  <w:r>
                    <w:rPr>
                      <w:rFonts w:hint="eastAsia"/>
                      <w:bCs/>
                      <w:color w:val="000000"/>
                      <w:szCs w:val="21"/>
                    </w:rPr>
                    <w:t>双轴搅拌机、细碎对辊机</w:t>
                  </w:r>
                  <w:r>
                    <w:rPr>
                      <w:bCs/>
                      <w:color w:val="000000"/>
                      <w:szCs w:val="21"/>
                    </w:rPr>
                    <w:t>等设备，用于原料</w:t>
                  </w:r>
                  <w:r>
                    <w:rPr>
                      <w:rFonts w:hint="eastAsia"/>
                      <w:bCs/>
                      <w:color w:val="000000"/>
                      <w:szCs w:val="21"/>
                    </w:rPr>
                    <w:t>搅拌、对辊</w:t>
                  </w:r>
                  <w:r>
                    <w:rPr>
                      <w:bCs/>
                      <w:color w:val="000000"/>
                      <w:szCs w:val="21"/>
                    </w:rPr>
                    <w:t>使用</w:t>
                  </w:r>
                </w:p>
              </w:tc>
              <w:tc>
                <w:tcPr>
                  <w:tcW w:w="827" w:type="pct"/>
                  <w:noWrap w:val="0"/>
                  <w:vAlign w:val="center"/>
                </w:tcPr>
                <w:p w14:paraId="5D8905F0">
                  <w:pPr>
                    <w:spacing w:line="276" w:lineRule="auto"/>
                    <w:jc w:val="center"/>
                    <w:rPr>
                      <w:bCs/>
                      <w:szCs w:val="21"/>
                    </w:rPr>
                  </w:pPr>
                  <w:r>
                    <w:rPr>
                      <w:rFonts w:hint="eastAsia"/>
                      <w:bCs/>
                      <w:szCs w:val="21"/>
                    </w:rPr>
                    <w:t>新增</w:t>
                  </w:r>
                  <w:r>
                    <w:rPr>
                      <w:rFonts w:hint="eastAsia"/>
                      <w:bCs/>
                      <w:szCs w:val="21"/>
                      <w:lang w:eastAsia="zh-CN"/>
                    </w:rPr>
                    <w:t>、</w:t>
                  </w:r>
                  <w:r>
                    <w:rPr>
                      <w:rFonts w:hint="eastAsia"/>
                      <w:bCs/>
                      <w:szCs w:val="21"/>
                    </w:rPr>
                    <w:t>升级设备</w:t>
                  </w:r>
                </w:p>
              </w:tc>
            </w:tr>
            <w:tr w14:paraId="4A8A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25048F84">
                  <w:pPr>
                    <w:spacing w:line="276" w:lineRule="auto"/>
                    <w:jc w:val="center"/>
                    <w:rPr>
                      <w:bCs/>
                      <w:szCs w:val="21"/>
                    </w:rPr>
                  </w:pPr>
                </w:p>
              </w:tc>
              <w:tc>
                <w:tcPr>
                  <w:tcW w:w="692" w:type="pct"/>
                  <w:gridSpan w:val="2"/>
                  <w:noWrap w:val="0"/>
                  <w:vAlign w:val="center"/>
                </w:tcPr>
                <w:p w14:paraId="353BDF54">
                  <w:pPr>
                    <w:spacing w:line="276" w:lineRule="auto"/>
                    <w:jc w:val="center"/>
                    <w:rPr>
                      <w:bCs/>
                      <w:szCs w:val="21"/>
                    </w:rPr>
                  </w:pPr>
                  <w:r>
                    <w:rPr>
                      <w:bCs/>
                      <w:szCs w:val="21"/>
                    </w:rPr>
                    <w:t>陈化车间</w:t>
                  </w:r>
                </w:p>
              </w:tc>
              <w:tc>
                <w:tcPr>
                  <w:tcW w:w="1210" w:type="pct"/>
                  <w:noWrap w:val="0"/>
                  <w:vAlign w:val="center"/>
                </w:tcPr>
                <w:p w14:paraId="09DD10D5">
                  <w:pPr>
                    <w:spacing w:line="276" w:lineRule="auto"/>
                    <w:rPr>
                      <w:bCs/>
                      <w:color w:val="000000"/>
                      <w:szCs w:val="21"/>
                      <w:highlight w:val="none"/>
                    </w:rPr>
                  </w:pPr>
                  <w:r>
                    <w:rPr>
                      <w:bCs/>
                      <w:color w:val="000000"/>
                      <w:szCs w:val="21"/>
                      <w:highlight w:val="none"/>
                    </w:rPr>
                    <w:t>位于</w:t>
                  </w:r>
                  <w:r>
                    <w:rPr>
                      <w:rFonts w:hint="eastAsia"/>
                      <w:bCs/>
                      <w:color w:val="000000"/>
                      <w:szCs w:val="21"/>
                      <w:highlight w:val="none"/>
                    </w:rPr>
                    <w:t>旋转窑内圆东</w:t>
                  </w:r>
                  <w:r>
                    <w:rPr>
                      <w:bCs/>
                      <w:color w:val="000000"/>
                      <w:szCs w:val="21"/>
                      <w:highlight w:val="none"/>
                    </w:rPr>
                    <w:t>部，占地面积约1</w:t>
                  </w:r>
                  <w:r>
                    <w:rPr>
                      <w:rFonts w:hint="eastAsia"/>
                      <w:bCs/>
                      <w:color w:val="000000"/>
                      <w:szCs w:val="21"/>
                      <w:highlight w:val="none"/>
                    </w:rPr>
                    <w:t>5</w:t>
                  </w:r>
                  <w:r>
                    <w:rPr>
                      <w:bCs/>
                      <w:color w:val="000000"/>
                      <w:szCs w:val="21"/>
                      <w:highlight w:val="none"/>
                    </w:rPr>
                    <w:t>00m</w:t>
                  </w:r>
                  <w:r>
                    <w:rPr>
                      <w:bCs/>
                      <w:color w:val="000000"/>
                      <w:szCs w:val="21"/>
                      <w:highlight w:val="none"/>
                      <w:vertAlign w:val="superscript"/>
                    </w:rPr>
                    <w:t>2</w:t>
                  </w:r>
                  <w:r>
                    <w:rPr>
                      <w:bCs/>
                      <w:color w:val="000000"/>
                      <w:szCs w:val="21"/>
                      <w:highlight w:val="none"/>
                    </w:rPr>
                    <w:t>，用于原料搅拌后陈化使用，保证水分分布均匀，混合料进一步疏解</w:t>
                  </w:r>
                </w:p>
              </w:tc>
              <w:tc>
                <w:tcPr>
                  <w:tcW w:w="886" w:type="pct"/>
                  <w:noWrap w:val="0"/>
                  <w:vAlign w:val="center"/>
                </w:tcPr>
                <w:p w14:paraId="3BCA68AF">
                  <w:pPr>
                    <w:spacing w:line="276" w:lineRule="auto"/>
                    <w:jc w:val="center"/>
                    <w:rPr>
                      <w:rFonts w:hint="eastAsia"/>
                      <w:bCs/>
                      <w:color w:val="000000"/>
                      <w:szCs w:val="21"/>
                      <w:highlight w:val="none"/>
                    </w:rPr>
                  </w:pPr>
                  <w:r>
                    <w:rPr>
                      <w:bCs/>
                      <w:color w:val="000000"/>
                      <w:szCs w:val="21"/>
                      <w:highlight w:val="none"/>
                    </w:rPr>
                    <w:t>依托现有</w:t>
                  </w:r>
                </w:p>
              </w:tc>
              <w:tc>
                <w:tcPr>
                  <w:tcW w:w="1142" w:type="pct"/>
                  <w:noWrap w:val="0"/>
                  <w:vAlign w:val="center"/>
                </w:tcPr>
                <w:p w14:paraId="6B1B98C1">
                  <w:pPr>
                    <w:spacing w:line="276" w:lineRule="auto"/>
                    <w:rPr>
                      <w:bCs/>
                      <w:color w:val="000000"/>
                      <w:szCs w:val="21"/>
                      <w:highlight w:val="none"/>
                    </w:rPr>
                  </w:pPr>
                  <w:r>
                    <w:rPr>
                      <w:bCs/>
                      <w:color w:val="000000"/>
                      <w:szCs w:val="21"/>
                      <w:highlight w:val="none"/>
                    </w:rPr>
                    <w:t>位于</w:t>
                  </w:r>
                  <w:r>
                    <w:rPr>
                      <w:rFonts w:hint="eastAsia"/>
                      <w:bCs/>
                      <w:color w:val="000000"/>
                      <w:szCs w:val="21"/>
                      <w:highlight w:val="none"/>
                    </w:rPr>
                    <w:t>旋转窑内圆东</w:t>
                  </w:r>
                  <w:r>
                    <w:rPr>
                      <w:bCs/>
                      <w:color w:val="000000"/>
                      <w:szCs w:val="21"/>
                      <w:highlight w:val="none"/>
                    </w:rPr>
                    <w:t>部，占地面积约1</w:t>
                  </w:r>
                  <w:r>
                    <w:rPr>
                      <w:rFonts w:hint="eastAsia"/>
                      <w:bCs/>
                      <w:color w:val="000000"/>
                      <w:szCs w:val="21"/>
                      <w:highlight w:val="none"/>
                      <w:lang w:val="en-US" w:eastAsia="zh-CN"/>
                    </w:rPr>
                    <w:t>5</w:t>
                  </w:r>
                  <w:r>
                    <w:rPr>
                      <w:bCs/>
                      <w:color w:val="000000"/>
                      <w:szCs w:val="21"/>
                      <w:highlight w:val="none"/>
                    </w:rPr>
                    <w:t>00m</w:t>
                  </w:r>
                  <w:r>
                    <w:rPr>
                      <w:bCs/>
                      <w:color w:val="000000"/>
                      <w:szCs w:val="21"/>
                      <w:highlight w:val="none"/>
                      <w:vertAlign w:val="superscript"/>
                    </w:rPr>
                    <w:t>2</w:t>
                  </w:r>
                  <w:r>
                    <w:rPr>
                      <w:bCs/>
                      <w:color w:val="000000"/>
                      <w:szCs w:val="21"/>
                      <w:highlight w:val="none"/>
                    </w:rPr>
                    <w:t>，用于原料搅拌后陈化使用，保证水分分布均匀，混合料进一步疏解</w:t>
                  </w:r>
                </w:p>
              </w:tc>
              <w:tc>
                <w:tcPr>
                  <w:tcW w:w="827" w:type="pct"/>
                  <w:noWrap w:val="0"/>
                  <w:vAlign w:val="center"/>
                </w:tcPr>
                <w:p w14:paraId="79B45D53">
                  <w:pPr>
                    <w:spacing w:line="276" w:lineRule="auto"/>
                    <w:jc w:val="center"/>
                    <w:rPr>
                      <w:rFonts w:hint="eastAsia"/>
                      <w:bCs/>
                      <w:szCs w:val="21"/>
                    </w:rPr>
                  </w:pPr>
                  <w:r>
                    <w:rPr>
                      <w:rFonts w:hint="eastAsia"/>
                      <w:bCs/>
                      <w:szCs w:val="21"/>
                    </w:rPr>
                    <w:t>/</w:t>
                  </w:r>
                </w:p>
              </w:tc>
            </w:tr>
            <w:tr w14:paraId="601D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32B14148">
                  <w:pPr>
                    <w:spacing w:line="276" w:lineRule="auto"/>
                    <w:jc w:val="center"/>
                    <w:rPr>
                      <w:bCs/>
                      <w:szCs w:val="21"/>
                    </w:rPr>
                  </w:pPr>
                </w:p>
              </w:tc>
              <w:tc>
                <w:tcPr>
                  <w:tcW w:w="692" w:type="pct"/>
                  <w:gridSpan w:val="2"/>
                  <w:noWrap w:val="0"/>
                  <w:vAlign w:val="center"/>
                </w:tcPr>
                <w:p w14:paraId="72D6501B">
                  <w:pPr>
                    <w:spacing w:line="276" w:lineRule="auto"/>
                    <w:jc w:val="center"/>
                    <w:rPr>
                      <w:bCs/>
                      <w:szCs w:val="21"/>
                    </w:rPr>
                  </w:pPr>
                  <w:r>
                    <w:rPr>
                      <w:bCs/>
                      <w:szCs w:val="21"/>
                    </w:rPr>
                    <w:t>成型车间</w:t>
                  </w:r>
                </w:p>
              </w:tc>
              <w:tc>
                <w:tcPr>
                  <w:tcW w:w="1210" w:type="pct"/>
                  <w:noWrap w:val="0"/>
                  <w:vAlign w:val="center"/>
                </w:tcPr>
                <w:p w14:paraId="6E8EEBB8">
                  <w:pPr>
                    <w:spacing w:line="276" w:lineRule="auto"/>
                    <w:rPr>
                      <w:bCs/>
                      <w:color w:val="000000"/>
                      <w:szCs w:val="21"/>
                      <w:highlight w:val="none"/>
                    </w:rPr>
                  </w:pPr>
                  <w:r>
                    <w:rPr>
                      <w:bCs/>
                      <w:color w:val="000000"/>
                      <w:szCs w:val="21"/>
                      <w:highlight w:val="none"/>
                    </w:rPr>
                    <w:t>位于</w:t>
                  </w:r>
                  <w:r>
                    <w:rPr>
                      <w:rFonts w:hint="eastAsia"/>
                      <w:bCs/>
                      <w:color w:val="000000"/>
                      <w:szCs w:val="21"/>
                      <w:highlight w:val="none"/>
                    </w:rPr>
                    <w:t>旋转窑内圆北</w:t>
                  </w:r>
                  <w:r>
                    <w:rPr>
                      <w:bCs/>
                      <w:color w:val="000000"/>
                      <w:szCs w:val="21"/>
                      <w:highlight w:val="none"/>
                    </w:rPr>
                    <w:t>部</w:t>
                  </w:r>
                  <w:r>
                    <w:rPr>
                      <w:rFonts w:hint="eastAsia"/>
                      <w:bCs/>
                      <w:color w:val="000000"/>
                      <w:szCs w:val="21"/>
                      <w:highlight w:val="none"/>
                    </w:rPr>
                    <w:t>，</w:t>
                  </w:r>
                  <w:r>
                    <w:rPr>
                      <w:bCs/>
                      <w:color w:val="000000"/>
                      <w:szCs w:val="21"/>
                      <w:highlight w:val="none"/>
                    </w:rPr>
                    <w:t>占地面积约</w:t>
                  </w:r>
                  <w:r>
                    <w:rPr>
                      <w:rFonts w:hint="eastAsia"/>
                      <w:bCs/>
                      <w:color w:val="000000"/>
                      <w:szCs w:val="21"/>
                      <w:highlight w:val="none"/>
                    </w:rPr>
                    <w:t>500</w:t>
                  </w:r>
                  <w:r>
                    <w:rPr>
                      <w:bCs/>
                      <w:color w:val="000000"/>
                      <w:szCs w:val="21"/>
                      <w:highlight w:val="none"/>
                    </w:rPr>
                    <w:t>m</w:t>
                  </w:r>
                  <w:r>
                    <w:rPr>
                      <w:bCs/>
                      <w:color w:val="000000"/>
                      <w:szCs w:val="21"/>
                      <w:highlight w:val="none"/>
                      <w:vertAlign w:val="superscript"/>
                    </w:rPr>
                    <w:t>2</w:t>
                  </w:r>
                  <w:r>
                    <w:rPr>
                      <w:bCs/>
                      <w:color w:val="000000"/>
                      <w:szCs w:val="21"/>
                      <w:highlight w:val="none"/>
                    </w:rPr>
                    <w:t>，布置</w:t>
                  </w:r>
                  <w:r>
                    <w:rPr>
                      <w:rFonts w:hint="eastAsia"/>
                      <w:bCs/>
                      <w:color w:val="000000"/>
                      <w:szCs w:val="21"/>
                      <w:highlight w:val="none"/>
                    </w:rPr>
                    <w:t>双极真空挤砖机</w:t>
                  </w:r>
                  <w:r>
                    <w:rPr>
                      <w:bCs/>
                      <w:color w:val="000000"/>
                      <w:szCs w:val="21"/>
                      <w:highlight w:val="none"/>
                    </w:rPr>
                    <w:t>、</w:t>
                  </w:r>
                  <w:r>
                    <w:rPr>
                      <w:rFonts w:hint="eastAsia"/>
                      <w:bCs/>
                      <w:color w:val="000000"/>
                      <w:szCs w:val="21"/>
                      <w:highlight w:val="none"/>
                    </w:rPr>
                    <w:t>自动</w:t>
                  </w:r>
                  <w:r>
                    <w:rPr>
                      <w:bCs/>
                      <w:color w:val="000000"/>
                      <w:szCs w:val="21"/>
                      <w:highlight w:val="none"/>
                    </w:rPr>
                    <w:t>切条、</w:t>
                  </w:r>
                  <w:r>
                    <w:rPr>
                      <w:rFonts w:hint="eastAsia"/>
                      <w:bCs/>
                      <w:color w:val="000000"/>
                      <w:szCs w:val="21"/>
                      <w:highlight w:val="none"/>
                    </w:rPr>
                    <w:t>自动</w:t>
                  </w:r>
                  <w:r>
                    <w:rPr>
                      <w:bCs/>
                      <w:color w:val="000000"/>
                      <w:szCs w:val="21"/>
                      <w:highlight w:val="none"/>
                    </w:rPr>
                    <w:t>切坯机等设备，主要将陈化后的原料制坯成型</w:t>
                  </w:r>
                </w:p>
              </w:tc>
              <w:tc>
                <w:tcPr>
                  <w:tcW w:w="886" w:type="pct"/>
                  <w:noWrap w:val="0"/>
                  <w:vAlign w:val="center"/>
                </w:tcPr>
                <w:p w14:paraId="2DD516BF">
                  <w:pPr>
                    <w:spacing w:line="276" w:lineRule="auto"/>
                    <w:rPr>
                      <w:rFonts w:hint="default" w:eastAsia="宋体"/>
                      <w:bCs/>
                      <w:color w:val="000000"/>
                      <w:szCs w:val="21"/>
                      <w:highlight w:val="none"/>
                      <w:lang w:val="en-US" w:eastAsia="zh-CN"/>
                    </w:rPr>
                  </w:pPr>
                  <w:r>
                    <w:rPr>
                      <w:rFonts w:hint="eastAsia"/>
                      <w:bCs/>
                      <w:color w:val="000000"/>
                      <w:szCs w:val="21"/>
                      <w:highlight w:val="none"/>
                      <w:lang w:val="en-US" w:eastAsia="zh-CN"/>
                    </w:rPr>
                    <w:t>升级2台</w:t>
                  </w:r>
                  <w:r>
                    <w:rPr>
                      <w:rFonts w:hint="eastAsia"/>
                      <w:bCs/>
                      <w:color w:val="000000"/>
                      <w:szCs w:val="21"/>
                      <w:highlight w:val="none"/>
                    </w:rPr>
                    <w:t>真空挤砖机</w:t>
                  </w:r>
                  <w:r>
                    <w:rPr>
                      <w:bCs/>
                      <w:color w:val="000000"/>
                      <w:szCs w:val="21"/>
                      <w:highlight w:val="none"/>
                    </w:rPr>
                    <w:t>、</w:t>
                  </w:r>
                  <w:r>
                    <w:rPr>
                      <w:rFonts w:hint="eastAsia"/>
                      <w:bCs/>
                      <w:color w:val="000000"/>
                      <w:szCs w:val="21"/>
                      <w:highlight w:val="none"/>
                      <w:lang w:val="en-US" w:eastAsia="zh-CN"/>
                    </w:rPr>
                    <w:t>5台</w:t>
                  </w:r>
                  <w:r>
                    <w:rPr>
                      <w:rFonts w:hint="eastAsia"/>
                      <w:bCs/>
                      <w:color w:val="000000"/>
                      <w:szCs w:val="21"/>
                      <w:highlight w:val="none"/>
                    </w:rPr>
                    <w:t>自动</w:t>
                  </w:r>
                  <w:r>
                    <w:rPr>
                      <w:bCs/>
                      <w:color w:val="000000"/>
                      <w:szCs w:val="21"/>
                      <w:highlight w:val="none"/>
                    </w:rPr>
                    <w:t>切条切坯机</w:t>
                  </w:r>
                  <w:r>
                    <w:rPr>
                      <w:rFonts w:hint="eastAsia"/>
                      <w:bCs/>
                      <w:color w:val="000000"/>
                      <w:szCs w:val="21"/>
                      <w:highlight w:val="none"/>
                      <w:lang w:eastAsia="zh-CN"/>
                    </w:rPr>
                    <w:t>，</w:t>
                  </w:r>
                  <w:r>
                    <w:rPr>
                      <w:rFonts w:hint="eastAsia"/>
                      <w:bCs/>
                      <w:color w:val="000000"/>
                      <w:szCs w:val="21"/>
                      <w:highlight w:val="none"/>
                      <w:lang w:val="en-US" w:eastAsia="zh-CN"/>
                    </w:rPr>
                    <w:t>提高其生产能力</w:t>
                  </w:r>
                </w:p>
              </w:tc>
              <w:tc>
                <w:tcPr>
                  <w:tcW w:w="1142" w:type="pct"/>
                  <w:noWrap w:val="0"/>
                  <w:vAlign w:val="center"/>
                </w:tcPr>
                <w:p w14:paraId="56D88B36">
                  <w:pPr>
                    <w:spacing w:line="276" w:lineRule="auto"/>
                    <w:rPr>
                      <w:bCs/>
                      <w:color w:val="000000"/>
                      <w:szCs w:val="21"/>
                      <w:highlight w:val="none"/>
                    </w:rPr>
                  </w:pPr>
                  <w:r>
                    <w:rPr>
                      <w:bCs/>
                      <w:color w:val="000000"/>
                      <w:szCs w:val="21"/>
                      <w:highlight w:val="none"/>
                    </w:rPr>
                    <w:t>位于</w:t>
                  </w:r>
                  <w:r>
                    <w:rPr>
                      <w:rFonts w:hint="eastAsia"/>
                      <w:bCs/>
                      <w:color w:val="000000"/>
                      <w:szCs w:val="21"/>
                      <w:highlight w:val="none"/>
                    </w:rPr>
                    <w:t>旋转窑内圆北</w:t>
                  </w:r>
                  <w:r>
                    <w:rPr>
                      <w:bCs/>
                      <w:color w:val="000000"/>
                      <w:szCs w:val="21"/>
                      <w:highlight w:val="none"/>
                    </w:rPr>
                    <w:t>部</w:t>
                  </w:r>
                  <w:r>
                    <w:rPr>
                      <w:rFonts w:hint="eastAsia"/>
                      <w:bCs/>
                      <w:color w:val="000000"/>
                      <w:szCs w:val="21"/>
                      <w:highlight w:val="none"/>
                    </w:rPr>
                    <w:t>，</w:t>
                  </w:r>
                  <w:r>
                    <w:rPr>
                      <w:bCs/>
                      <w:color w:val="000000"/>
                      <w:szCs w:val="21"/>
                      <w:highlight w:val="none"/>
                    </w:rPr>
                    <w:t>占地面积约</w:t>
                  </w:r>
                  <w:r>
                    <w:rPr>
                      <w:rFonts w:hint="eastAsia"/>
                      <w:bCs/>
                      <w:color w:val="000000"/>
                      <w:szCs w:val="21"/>
                      <w:highlight w:val="none"/>
                    </w:rPr>
                    <w:t>500</w:t>
                  </w:r>
                  <w:r>
                    <w:rPr>
                      <w:bCs/>
                      <w:color w:val="000000"/>
                      <w:szCs w:val="21"/>
                      <w:highlight w:val="none"/>
                    </w:rPr>
                    <w:t>m</w:t>
                  </w:r>
                  <w:r>
                    <w:rPr>
                      <w:bCs/>
                      <w:color w:val="000000"/>
                      <w:szCs w:val="21"/>
                      <w:highlight w:val="none"/>
                      <w:vertAlign w:val="superscript"/>
                    </w:rPr>
                    <w:t>2</w:t>
                  </w:r>
                  <w:r>
                    <w:rPr>
                      <w:bCs/>
                      <w:color w:val="000000"/>
                      <w:szCs w:val="21"/>
                      <w:highlight w:val="none"/>
                    </w:rPr>
                    <w:t>，布置</w:t>
                  </w:r>
                  <w:r>
                    <w:rPr>
                      <w:rFonts w:hint="eastAsia"/>
                      <w:bCs/>
                      <w:color w:val="000000"/>
                      <w:szCs w:val="21"/>
                      <w:highlight w:val="none"/>
                    </w:rPr>
                    <w:t>双极真空挤砖机</w:t>
                  </w:r>
                  <w:r>
                    <w:rPr>
                      <w:bCs/>
                      <w:color w:val="000000"/>
                      <w:szCs w:val="21"/>
                      <w:highlight w:val="none"/>
                    </w:rPr>
                    <w:t>、</w:t>
                  </w:r>
                  <w:r>
                    <w:rPr>
                      <w:rFonts w:hint="eastAsia"/>
                      <w:bCs/>
                      <w:color w:val="000000"/>
                      <w:szCs w:val="21"/>
                      <w:highlight w:val="none"/>
                    </w:rPr>
                    <w:t>自动</w:t>
                  </w:r>
                  <w:r>
                    <w:rPr>
                      <w:bCs/>
                      <w:color w:val="000000"/>
                      <w:szCs w:val="21"/>
                      <w:highlight w:val="none"/>
                    </w:rPr>
                    <w:t>切条、</w:t>
                  </w:r>
                  <w:r>
                    <w:rPr>
                      <w:rFonts w:hint="eastAsia"/>
                      <w:bCs/>
                      <w:color w:val="000000"/>
                      <w:szCs w:val="21"/>
                      <w:highlight w:val="none"/>
                    </w:rPr>
                    <w:t>自动</w:t>
                  </w:r>
                  <w:r>
                    <w:rPr>
                      <w:bCs/>
                      <w:color w:val="000000"/>
                      <w:szCs w:val="21"/>
                      <w:highlight w:val="none"/>
                    </w:rPr>
                    <w:t>切坯机等设备，主要将陈化后的原料制坯成型</w:t>
                  </w:r>
                </w:p>
              </w:tc>
              <w:tc>
                <w:tcPr>
                  <w:tcW w:w="827" w:type="pct"/>
                  <w:noWrap w:val="0"/>
                  <w:vAlign w:val="center"/>
                </w:tcPr>
                <w:p w14:paraId="16B8CAC4">
                  <w:pPr>
                    <w:spacing w:line="276" w:lineRule="auto"/>
                    <w:jc w:val="center"/>
                    <w:rPr>
                      <w:bCs/>
                      <w:szCs w:val="21"/>
                    </w:rPr>
                  </w:pPr>
                  <w:r>
                    <w:rPr>
                      <w:rFonts w:hint="eastAsia"/>
                      <w:bCs/>
                      <w:szCs w:val="21"/>
                    </w:rPr>
                    <w:t>升级设备</w:t>
                  </w:r>
                </w:p>
              </w:tc>
            </w:tr>
            <w:tr w14:paraId="0608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43CF1742">
                  <w:pPr>
                    <w:spacing w:line="276" w:lineRule="auto"/>
                    <w:jc w:val="center"/>
                    <w:rPr>
                      <w:bCs/>
                      <w:szCs w:val="21"/>
                    </w:rPr>
                  </w:pPr>
                </w:p>
              </w:tc>
              <w:tc>
                <w:tcPr>
                  <w:tcW w:w="692" w:type="pct"/>
                  <w:gridSpan w:val="2"/>
                  <w:noWrap w:val="0"/>
                  <w:vAlign w:val="center"/>
                </w:tcPr>
                <w:p w14:paraId="319825DD">
                  <w:pPr>
                    <w:spacing w:line="276" w:lineRule="auto"/>
                    <w:jc w:val="center"/>
                    <w:rPr>
                      <w:rFonts w:hint="eastAsia"/>
                      <w:bCs/>
                      <w:szCs w:val="21"/>
                    </w:rPr>
                  </w:pPr>
                  <w:r>
                    <w:rPr>
                      <w:rFonts w:hint="eastAsia"/>
                      <w:bCs/>
                      <w:szCs w:val="21"/>
                    </w:rPr>
                    <w:t>旋转窑</w:t>
                  </w:r>
                </w:p>
              </w:tc>
              <w:tc>
                <w:tcPr>
                  <w:tcW w:w="1210" w:type="pct"/>
                  <w:noWrap w:val="0"/>
                  <w:vAlign w:val="center"/>
                </w:tcPr>
                <w:p w14:paraId="7E0C1E8A">
                  <w:pPr>
                    <w:spacing w:line="276" w:lineRule="auto"/>
                    <w:jc w:val="both"/>
                    <w:rPr>
                      <w:bCs/>
                      <w:color w:val="000000"/>
                      <w:szCs w:val="21"/>
                      <w:highlight w:val="none"/>
                    </w:rPr>
                  </w:pPr>
                  <w:r>
                    <w:rPr>
                      <w:bCs/>
                      <w:color w:val="000000"/>
                      <w:szCs w:val="21"/>
                      <w:highlight w:val="none"/>
                    </w:rPr>
                    <w:t>位于</w:t>
                  </w:r>
                  <w:r>
                    <w:rPr>
                      <w:rFonts w:hint="eastAsia"/>
                      <w:bCs/>
                      <w:color w:val="000000"/>
                      <w:szCs w:val="21"/>
                      <w:highlight w:val="none"/>
                    </w:rPr>
                    <w:t>厂区北部</w:t>
                  </w:r>
                  <w:r>
                    <w:rPr>
                      <w:bCs/>
                      <w:color w:val="000000"/>
                      <w:szCs w:val="21"/>
                      <w:highlight w:val="none"/>
                    </w:rPr>
                    <w:t>，</w:t>
                  </w:r>
                  <w:r>
                    <w:rPr>
                      <w:rFonts w:hint="eastAsia"/>
                      <w:bCs/>
                      <w:color w:val="000000"/>
                      <w:szCs w:val="21"/>
                      <w:highlight w:val="none"/>
                    </w:rPr>
                    <w:t>窑外轨直径100m，窑内轨直径82.8m，窑截面长8.6m，</w:t>
                  </w:r>
                  <w:r>
                    <w:rPr>
                      <w:rFonts w:hint="eastAsia"/>
                      <w:bCs/>
                      <w:color w:val="0000FF"/>
                      <w:szCs w:val="21"/>
                      <w:highlight w:val="none"/>
                      <w:lang w:val="en-US" w:eastAsia="zh-CN"/>
                    </w:rPr>
                    <w:t>高</w:t>
                  </w:r>
                  <w:r>
                    <w:rPr>
                      <w:rFonts w:hint="eastAsia"/>
                      <w:bCs/>
                      <w:color w:val="0000FF"/>
                      <w:szCs w:val="21"/>
                      <w:highlight w:val="none"/>
                    </w:rPr>
                    <w:t>2.6m</w:t>
                  </w:r>
                  <w:r>
                    <w:rPr>
                      <w:bCs/>
                      <w:color w:val="000000"/>
                      <w:szCs w:val="21"/>
                      <w:highlight w:val="none"/>
                    </w:rPr>
                    <w:t>，用于砖坯的干燥</w:t>
                  </w:r>
                  <w:r>
                    <w:rPr>
                      <w:rFonts w:hint="eastAsia"/>
                      <w:bCs/>
                      <w:color w:val="000000"/>
                      <w:szCs w:val="21"/>
                      <w:highlight w:val="none"/>
                    </w:rPr>
                    <w:t>、</w:t>
                  </w:r>
                  <w:r>
                    <w:rPr>
                      <w:bCs/>
                      <w:color w:val="000000"/>
                      <w:szCs w:val="21"/>
                      <w:highlight w:val="none"/>
                    </w:rPr>
                    <w:t>焙烧</w:t>
                  </w:r>
                </w:p>
              </w:tc>
              <w:tc>
                <w:tcPr>
                  <w:tcW w:w="886" w:type="pct"/>
                  <w:noWrap w:val="0"/>
                  <w:vAlign w:val="center"/>
                </w:tcPr>
                <w:p w14:paraId="52B944F0">
                  <w:pPr>
                    <w:spacing w:line="276" w:lineRule="auto"/>
                    <w:jc w:val="both"/>
                    <w:rPr>
                      <w:bCs/>
                      <w:color w:val="000000"/>
                      <w:szCs w:val="21"/>
                      <w:highlight w:val="none"/>
                    </w:rPr>
                  </w:pPr>
                  <w:r>
                    <w:rPr>
                      <w:rFonts w:hint="eastAsia"/>
                      <w:bCs/>
                      <w:color w:val="000000"/>
                      <w:szCs w:val="21"/>
                      <w:highlight w:val="none"/>
                    </w:rPr>
                    <w:t>新增</w:t>
                  </w:r>
                  <w:r>
                    <w:rPr>
                      <w:rFonts w:hint="eastAsia"/>
                      <w:color w:val="000000"/>
                      <w:highlight w:val="none"/>
                    </w:rPr>
                    <w:t>自动化码坯机2台、打包机1台</w:t>
                  </w:r>
                  <w:r>
                    <w:rPr>
                      <w:rFonts w:hint="eastAsia"/>
                      <w:color w:val="000000"/>
                      <w:highlight w:val="none"/>
                      <w:lang w:eastAsia="zh-CN"/>
                    </w:rPr>
                    <w:t>，</w:t>
                  </w:r>
                  <w:r>
                    <w:rPr>
                      <w:bCs/>
                      <w:color w:val="000000"/>
                      <w:szCs w:val="21"/>
                      <w:highlight w:val="none"/>
                    </w:rPr>
                    <w:t>对现有</w:t>
                  </w:r>
                  <w:r>
                    <w:rPr>
                      <w:rFonts w:hint="eastAsia"/>
                      <w:bCs/>
                      <w:color w:val="000000"/>
                      <w:szCs w:val="21"/>
                      <w:highlight w:val="none"/>
                    </w:rPr>
                    <w:t>旋转窑</w:t>
                  </w:r>
                  <w:r>
                    <w:rPr>
                      <w:bCs/>
                      <w:color w:val="000000"/>
                      <w:szCs w:val="21"/>
                      <w:highlight w:val="none"/>
                    </w:rPr>
                    <w:t>进行改造，窑体高度增加约</w:t>
                  </w:r>
                  <w:r>
                    <w:rPr>
                      <w:rFonts w:hint="eastAsia"/>
                      <w:bCs/>
                      <w:color w:val="000000"/>
                      <w:szCs w:val="21"/>
                      <w:highlight w:val="none"/>
                    </w:rPr>
                    <w:t>0.6</w:t>
                  </w:r>
                  <w:r>
                    <w:rPr>
                      <w:bCs/>
                      <w:color w:val="000000"/>
                      <w:szCs w:val="21"/>
                      <w:highlight w:val="none"/>
                    </w:rPr>
                    <w:t>米</w:t>
                  </w:r>
                  <w:r>
                    <w:rPr>
                      <w:rFonts w:hint="eastAsia"/>
                      <w:bCs/>
                      <w:color w:val="000000"/>
                      <w:szCs w:val="21"/>
                      <w:highlight w:val="none"/>
                    </w:rPr>
                    <w:t>，</w:t>
                  </w:r>
                  <w:r>
                    <w:rPr>
                      <w:bCs/>
                      <w:color w:val="000000"/>
                      <w:szCs w:val="21"/>
                      <w:highlight w:val="none"/>
                    </w:rPr>
                    <w:t>新增</w:t>
                  </w:r>
                  <w:r>
                    <w:rPr>
                      <w:rFonts w:hint="eastAsia"/>
                      <w:bCs/>
                      <w:color w:val="000000"/>
                      <w:szCs w:val="21"/>
                      <w:highlight w:val="none"/>
                    </w:rPr>
                    <w:t>3</w:t>
                  </w:r>
                  <w:r>
                    <w:rPr>
                      <w:bCs/>
                      <w:color w:val="000000"/>
                      <w:szCs w:val="21"/>
                      <w:highlight w:val="none"/>
                    </w:rPr>
                    <w:t>000万块烧结空心砖的生产能力</w:t>
                  </w:r>
                </w:p>
              </w:tc>
              <w:tc>
                <w:tcPr>
                  <w:tcW w:w="1142" w:type="pct"/>
                  <w:noWrap w:val="0"/>
                  <w:vAlign w:val="center"/>
                </w:tcPr>
                <w:p w14:paraId="45B99AE5">
                  <w:pPr>
                    <w:spacing w:line="276" w:lineRule="auto"/>
                    <w:jc w:val="center"/>
                    <w:rPr>
                      <w:bCs/>
                      <w:color w:val="000000"/>
                      <w:szCs w:val="21"/>
                      <w:highlight w:val="none"/>
                    </w:rPr>
                  </w:pPr>
                  <w:r>
                    <w:rPr>
                      <w:bCs/>
                      <w:color w:val="000000"/>
                      <w:szCs w:val="21"/>
                      <w:highlight w:val="none"/>
                    </w:rPr>
                    <w:t>位于</w:t>
                  </w:r>
                  <w:r>
                    <w:rPr>
                      <w:rFonts w:hint="eastAsia"/>
                      <w:bCs/>
                      <w:color w:val="000000"/>
                      <w:szCs w:val="21"/>
                      <w:highlight w:val="none"/>
                    </w:rPr>
                    <w:t>厂区北部</w:t>
                  </w:r>
                  <w:r>
                    <w:rPr>
                      <w:bCs/>
                      <w:color w:val="000000"/>
                      <w:szCs w:val="21"/>
                      <w:highlight w:val="none"/>
                    </w:rPr>
                    <w:t>，</w:t>
                  </w:r>
                  <w:r>
                    <w:rPr>
                      <w:rFonts w:hint="eastAsia"/>
                      <w:bCs/>
                      <w:color w:val="000000"/>
                      <w:szCs w:val="21"/>
                      <w:highlight w:val="none"/>
                    </w:rPr>
                    <w:t>窑外轨直径100m，窑内轨直径82.8m，窑截面长8.6m</w:t>
                  </w:r>
                  <w:r>
                    <w:rPr>
                      <w:rFonts w:hint="eastAsia"/>
                      <w:bCs/>
                      <w:color w:val="0000FF"/>
                      <w:szCs w:val="21"/>
                      <w:highlight w:val="none"/>
                    </w:rPr>
                    <w:t>，</w:t>
                  </w:r>
                  <w:r>
                    <w:rPr>
                      <w:rFonts w:hint="eastAsia"/>
                      <w:bCs/>
                      <w:color w:val="0000FF"/>
                      <w:szCs w:val="21"/>
                      <w:highlight w:val="none"/>
                      <w:lang w:val="en-US" w:eastAsia="zh-CN"/>
                    </w:rPr>
                    <w:t>高</w:t>
                  </w:r>
                  <w:r>
                    <w:rPr>
                      <w:rFonts w:hint="eastAsia"/>
                      <w:bCs/>
                      <w:color w:val="0000FF"/>
                      <w:szCs w:val="21"/>
                      <w:highlight w:val="none"/>
                    </w:rPr>
                    <w:t>3.2m</w:t>
                  </w:r>
                  <w:r>
                    <w:rPr>
                      <w:bCs/>
                      <w:color w:val="000000"/>
                      <w:szCs w:val="21"/>
                      <w:highlight w:val="none"/>
                    </w:rPr>
                    <w:t>，用于砖坯的干燥</w:t>
                  </w:r>
                  <w:r>
                    <w:rPr>
                      <w:rFonts w:hint="eastAsia"/>
                      <w:bCs/>
                      <w:color w:val="000000"/>
                      <w:szCs w:val="21"/>
                      <w:highlight w:val="none"/>
                    </w:rPr>
                    <w:t>、</w:t>
                  </w:r>
                  <w:r>
                    <w:rPr>
                      <w:bCs/>
                      <w:color w:val="000000"/>
                      <w:szCs w:val="21"/>
                      <w:highlight w:val="none"/>
                    </w:rPr>
                    <w:t>焙烧</w:t>
                  </w:r>
                  <w:r>
                    <w:rPr>
                      <w:rFonts w:hint="eastAsia"/>
                      <w:bCs/>
                      <w:color w:val="000000"/>
                      <w:szCs w:val="21"/>
                      <w:highlight w:val="none"/>
                    </w:rPr>
                    <w:t>。</w:t>
                  </w:r>
                  <w:r>
                    <w:rPr>
                      <w:bCs/>
                      <w:color w:val="000000"/>
                      <w:szCs w:val="21"/>
                      <w:highlight w:val="none"/>
                    </w:rPr>
                    <w:t>形成年产1.</w:t>
                  </w:r>
                  <w:r>
                    <w:rPr>
                      <w:rFonts w:hint="eastAsia"/>
                      <w:bCs/>
                      <w:color w:val="000000"/>
                      <w:szCs w:val="21"/>
                      <w:highlight w:val="none"/>
                    </w:rPr>
                    <w:t>2</w:t>
                  </w:r>
                  <w:r>
                    <w:rPr>
                      <w:bCs/>
                      <w:color w:val="000000"/>
                      <w:szCs w:val="21"/>
                      <w:highlight w:val="none"/>
                    </w:rPr>
                    <w:t>亿块烧结空心砖生产规模</w:t>
                  </w:r>
                </w:p>
              </w:tc>
              <w:tc>
                <w:tcPr>
                  <w:tcW w:w="827" w:type="pct"/>
                  <w:noWrap w:val="0"/>
                  <w:vAlign w:val="center"/>
                </w:tcPr>
                <w:p w14:paraId="0C99DC54">
                  <w:pPr>
                    <w:spacing w:line="276" w:lineRule="auto"/>
                    <w:jc w:val="center"/>
                    <w:rPr>
                      <w:bCs/>
                      <w:color w:val="000000"/>
                      <w:szCs w:val="21"/>
                      <w:highlight w:val="none"/>
                    </w:rPr>
                  </w:pPr>
                  <w:r>
                    <w:rPr>
                      <w:rFonts w:hint="eastAsia"/>
                      <w:bCs/>
                      <w:color w:val="000000"/>
                      <w:szCs w:val="21"/>
                      <w:highlight w:val="none"/>
                    </w:rPr>
                    <w:t>新增设备，</w:t>
                  </w:r>
                  <w:r>
                    <w:rPr>
                      <w:bCs/>
                      <w:color w:val="000000"/>
                      <w:szCs w:val="21"/>
                      <w:highlight w:val="none"/>
                    </w:rPr>
                    <w:t>对现有</w:t>
                  </w:r>
                  <w:r>
                    <w:rPr>
                      <w:rFonts w:hint="eastAsia"/>
                      <w:bCs/>
                      <w:color w:val="000000"/>
                      <w:szCs w:val="21"/>
                      <w:highlight w:val="none"/>
                    </w:rPr>
                    <w:t>旋转窑</w:t>
                  </w:r>
                  <w:r>
                    <w:rPr>
                      <w:bCs/>
                      <w:color w:val="000000"/>
                      <w:szCs w:val="21"/>
                      <w:highlight w:val="none"/>
                    </w:rPr>
                    <w:t>进行改造</w:t>
                  </w:r>
                </w:p>
              </w:tc>
            </w:tr>
            <w:tr w14:paraId="44CC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 w:type="pct"/>
                  <w:noWrap w:val="0"/>
                  <w:vAlign w:val="center"/>
                </w:tcPr>
                <w:p w14:paraId="734CA5DD">
                  <w:pPr>
                    <w:spacing w:line="276" w:lineRule="auto"/>
                    <w:jc w:val="center"/>
                    <w:rPr>
                      <w:bCs/>
                      <w:szCs w:val="21"/>
                    </w:rPr>
                  </w:pPr>
                  <w:r>
                    <w:rPr>
                      <w:bCs/>
                      <w:szCs w:val="21"/>
                    </w:rPr>
                    <w:t>辅助工程</w:t>
                  </w:r>
                </w:p>
              </w:tc>
              <w:tc>
                <w:tcPr>
                  <w:tcW w:w="692" w:type="pct"/>
                  <w:gridSpan w:val="2"/>
                  <w:noWrap w:val="0"/>
                  <w:vAlign w:val="center"/>
                </w:tcPr>
                <w:p w14:paraId="549CC143">
                  <w:pPr>
                    <w:spacing w:line="276" w:lineRule="auto"/>
                    <w:jc w:val="center"/>
                    <w:rPr>
                      <w:rFonts w:hint="eastAsia"/>
                      <w:bCs/>
                      <w:szCs w:val="21"/>
                    </w:rPr>
                  </w:pPr>
                  <w:r>
                    <w:rPr>
                      <w:bCs/>
                      <w:szCs w:val="21"/>
                    </w:rPr>
                    <w:t>办公</w:t>
                  </w:r>
                  <w:r>
                    <w:rPr>
                      <w:rFonts w:hint="eastAsia"/>
                      <w:bCs/>
                      <w:szCs w:val="21"/>
                    </w:rPr>
                    <w:t>室</w:t>
                  </w:r>
                </w:p>
              </w:tc>
              <w:tc>
                <w:tcPr>
                  <w:tcW w:w="1210" w:type="pct"/>
                  <w:noWrap w:val="0"/>
                  <w:vAlign w:val="center"/>
                </w:tcPr>
                <w:p w14:paraId="3A716127">
                  <w:pPr>
                    <w:spacing w:line="276" w:lineRule="auto"/>
                    <w:jc w:val="both"/>
                    <w:rPr>
                      <w:bCs/>
                      <w:szCs w:val="21"/>
                    </w:rPr>
                  </w:pPr>
                  <w:r>
                    <w:rPr>
                      <w:bCs/>
                      <w:szCs w:val="21"/>
                    </w:rPr>
                    <w:t>位于厂区</w:t>
                  </w:r>
                  <w:r>
                    <w:rPr>
                      <w:rFonts w:hint="eastAsia"/>
                      <w:bCs/>
                      <w:szCs w:val="21"/>
                    </w:rPr>
                    <w:t>东北部</w:t>
                  </w:r>
                  <w:r>
                    <w:rPr>
                      <w:bCs/>
                      <w:szCs w:val="21"/>
                    </w:rPr>
                    <w:t>，建筑面积</w:t>
                  </w:r>
                  <w:r>
                    <w:rPr>
                      <w:rFonts w:hint="eastAsia"/>
                      <w:bCs/>
                      <w:szCs w:val="21"/>
                    </w:rPr>
                    <w:t>200</w:t>
                  </w:r>
                  <w:r>
                    <w:rPr>
                      <w:bCs/>
                      <w:szCs w:val="21"/>
                    </w:rPr>
                    <w:t>m</w:t>
                  </w:r>
                  <w:r>
                    <w:rPr>
                      <w:bCs/>
                      <w:szCs w:val="21"/>
                      <w:vertAlign w:val="superscript"/>
                    </w:rPr>
                    <w:t>2</w:t>
                  </w:r>
                  <w:r>
                    <w:rPr>
                      <w:bCs/>
                      <w:szCs w:val="21"/>
                    </w:rPr>
                    <w:t>，主要为员工办公使用</w:t>
                  </w:r>
                </w:p>
              </w:tc>
              <w:tc>
                <w:tcPr>
                  <w:tcW w:w="886" w:type="pct"/>
                  <w:noWrap w:val="0"/>
                  <w:vAlign w:val="center"/>
                </w:tcPr>
                <w:p w14:paraId="445DF37C">
                  <w:pPr>
                    <w:spacing w:line="276" w:lineRule="auto"/>
                    <w:jc w:val="center"/>
                    <w:rPr>
                      <w:bCs/>
                      <w:szCs w:val="21"/>
                    </w:rPr>
                  </w:pPr>
                  <w:r>
                    <w:rPr>
                      <w:bCs/>
                      <w:szCs w:val="21"/>
                    </w:rPr>
                    <w:t>依托现有</w:t>
                  </w:r>
                </w:p>
              </w:tc>
              <w:tc>
                <w:tcPr>
                  <w:tcW w:w="1142" w:type="pct"/>
                  <w:noWrap w:val="0"/>
                  <w:vAlign w:val="center"/>
                </w:tcPr>
                <w:p w14:paraId="0678784A">
                  <w:pPr>
                    <w:spacing w:line="276" w:lineRule="auto"/>
                    <w:jc w:val="center"/>
                    <w:rPr>
                      <w:bCs/>
                      <w:szCs w:val="21"/>
                    </w:rPr>
                  </w:pPr>
                  <w:r>
                    <w:rPr>
                      <w:bCs/>
                      <w:szCs w:val="21"/>
                    </w:rPr>
                    <w:t>位于厂区</w:t>
                  </w:r>
                  <w:r>
                    <w:rPr>
                      <w:rFonts w:hint="eastAsia"/>
                      <w:bCs/>
                      <w:szCs w:val="21"/>
                    </w:rPr>
                    <w:t>东北部</w:t>
                  </w:r>
                  <w:r>
                    <w:rPr>
                      <w:bCs/>
                      <w:szCs w:val="21"/>
                    </w:rPr>
                    <w:t>，建筑面积</w:t>
                  </w:r>
                  <w:r>
                    <w:rPr>
                      <w:rFonts w:hint="eastAsia"/>
                      <w:bCs/>
                      <w:szCs w:val="21"/>
                    </w:rPr>
                    <w:t>200</w:t>
                  </w:r>
                  <w:r>
                    <w:rPr>
                      <w:bCs/>
                      <w:szCs w:val="21"/>
                    </w:rPr>
                    <w:t>m</w:t>
                  </w:r>
                  <w:r>
                    <w:rPr>
                      <w:bCs/>
                      <w:szCs w:val="21"/>
                      <w:vertAlign w:val="superscript"/>
                    </w:rPr>
                    <w:t>2</w:t>
                  </w:r>
                  <w:r>
                    <w:rPr>
                      <w:bCs/>
                      <w:szCs w:val="21"/>
                    </w:rPr>
                    <w:t>，主要为员工办公使用</w:t>
                  </w:r>
                </w:p>
              </w:tc>
              <w:tc>
                <w:tcPr>
                  <w:tcW w:w="827" w:type="pct"/>
                  <w:noWrap w:val="0"/>
                  <w:vAlign w:val="center"/>
                </w:tcPr>
                <w:p w14:paraId="529223D6">
                  <w:pPr>
                    <w:spacing w:line="276" w:lineRule="auto"/>
                    <w:jc w:val="center"/>
                    <w:rPr>
                      <w:rFonts w:hint="eastAsia"/>
                      <w:bCs/>
                      <w:szCs w:val="21"/>
                    </w:rPr>
                  </w:pPr>
                  <w:r>
                    <w:rPr>
                      <w:rFonts w:hint="eastAsia"/>
                      <w:bCs/>
                      <w:szCs w:val="21"/>
                    </w:rPr>
                    <w:t>/</w:t>
                  </w:r>
                </w:p>
              </w:tc>
            </w:tr>
            <w:tr w14:paraId="4914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restart"/>
                  <w:noWrap w:val="0"/>
                  <w:vAlign w:val="center"/>
                </w:tcPr>
                <w:p w14:paraId="0AC6C71F">
                  <w:pPr>
                    <w:spacing w:line="276" w:lineRule="auto"/>
                    <w:jc w:val="center"/>
                    <w:rPr>
                      <w:bCs/>
                      <w:szCs w:val="21"/>
                    </w:rPr>
                  </w:pPr>
                  <w:r>
                    <w:rPr>
                      <w:bCs/>
                      <w:szCs w:val="21"/>
                    </w:rPr>
                    <w:t>储运工程</w:t>
                  </w:r>
                </w:p>
              </w:tc>
              <w:tc>
                <w:tcPr>
                  <w:tcW w:w="692" w:type="pct"/>
                  <w:gridSpan w:val="2"/>
                  <w:noWrap w:val="0"/>
                  <w:vAlign w:val="center"/>
                </w:tcPr>
                <w:p w14:paraId="6247CDE8">
                  <w:pPr>
                    <w:spacing w:line="276" w:lineRule="auto"/>
                    <w:jc w:val="center"/>
                    <w:rPr>
                      <w:bCs/>
                      <w:szCs w:val="21"/>
                    </w:rPr>
                  </w:pPr>
                  <w:r>
                    <w:rPr>
                      <w:bCs/>
                      <w:szCs w:val="21"/>
                    </w:rPr>
                    <w:t>原料库</w:t>
                  </w:r>
                </w:p>
              </w:tc>
              <w:tc>
                <w:tcPr>
                  <w:tcW w:w="1210" w:type="pct"/>
                  <w:noWrap w:val="0"/>
                  <w:vAlign w:val="center"/>
                </w:tcPr>
                <w:p w14:paraId="33E5BCE2">
                  <w:pPr>
                    <w:spacing w:line="276" w:lineRule="auto"/>
                    <w:jc w:val="center"/>
                    <w:rPr>
                      <w:bCs/>
                      <w:szCs w:val="21"/>
                    </w:rPr>
                  </w:pPr>
                  <w:r>
                    <w:rPr>
                      <w:bCs/>
                      <w:szCs w:val="21"/>
                    </w:rPr>
                    <w:t>位于厂区</w:t>
                  </w:r>
                  <w:r>
                    <w:rPr>
                      <w:rFonts w:hint="eastAsia"/>
                      <w:bCs/>
                      <w:szCs w:val="21"/>
                    </w:rPr>
                    <w:t>西</w:t>
                  </w:r>
                  <w:r>
                    <w:rPr>
                      <w:bCs/>
                      <w:szCs w:val="21"/>
                    </w:rPr>
                    <w:t>部，建筑面积</w:t>
                  </w:r>
                  <w:r>
                    <w:rPr>
                      <w:rFonts w:hint="eastAsia"/>
                      <w:bCs/>
                      <w:szCs w:val="21"/>
                    </w:rPr>
                    <w:t>10</w:t>
                  </w:r>
                  <w:r>
                    <w:rPr>
                      <w:bCs/>
                      <w:szCs w:val="21"/>
                    </w:rPr>
                    <w:t>00m</w:t>
                  </w:r>
                  <w:r>
                    <w:rPr>
                      <w:bCs/>
                      <w:szCs w:val="21"/>
                      <w:vertAlign w:val="superscript"/>
                    </w:rPr>
                    <w:t>2</w:t>
                  </w:r>
                  <w:r>
                    <w:rPr>
                      <w:bCs/>
                      <w:szCs w:val="21"/>
                    </w:rPr>
                    <w:t>，主要用于原料煤矸石</w:t>
                  </w:r>
                  <w:r>
                    <w:rPr>
                      <w:rFonts w:hint="eastAsia"/>
                      <w:bCs/>
                      <w:szCs w:val="21"/>
                    </w:rPr>
                    <w:t>等原料</w:t>
                  </w:r>
                  <w:r>
                    <w:rPr>
                      <w:bCs/>
                      <w:szCs w:val="21"/>
                    </w:rPr>
                    <w:t>暂存</w:t>
                  </w:r>
                </w:p>
              </w:tc>
              <w:tc>
                <w:tcPr>
                  <w:tcW w:w="886" w:type="pct"/>
                  <w:noWrap w:val="0"/>
                  <w:vAlign w:val="center"/>
                </w:tcPr>
                <w:p w14:paraId="2CC1C945">
                  <w:pPr>
                    <w:spacing w:line="276" w:lineRule="auto"/>
                    <w:jc w:val="center"/>
                    <w:rPr>
                      <w:bCs/>
                      <w:szCs w:val="21"/>
                    </w:rPr>
                  </w:pPr>
                  <w:r>
                    <w:rPr>
                      <w:rFonts w:hint="eastAsia"/>
                      <w:bCs/>
                      <w:szCs w:val="21"/>
                    </w:rPr>
                    <w:t>新建一座20</w:t>
                  </w:r>
                  <w:r>
                    <w:rPr>
                      <w:bCs/>
                      <w:szCs w:val="21"/>
                    </w:rPr>
                    <w:t>00m</w:t>
                  </w:r>
                  <w:r>
                    <w:rPr>
                      <w:bCs/>
                      <w:szCs w:val="21"/>
                      <w:vertAlign w:val="superscript"/>
                    </w:rPr>
                    <w:t>2</w:t>
                  </w:r>
                  <w:r>
                    <w:rPr>
                      <w:rFonts w:hint="eastAsia"/>
                      <w:bCs/>
                      <w:szCs w:val="21"/>
                    </w:rPr>
                    <w:t>原料库</w:t>
                  </w:r>
                  <w:r>
                    <w:rPr>
                      <w:bCs/>
                      <w:szCs w:val="21"/>
                    </w:rPr>
                    <w:t>，</w:t>
                  </w:r>
                  <w:r>
                    <w:rPr>
                      <w:rFonts w:hint="eastAsia"/>
                      <w:bCs/>
                      <w:szCs w:val="21"/>
                    </w:rPr>
                    <w:t>原料库总建筑面积为3000</w:t>
                  </w:r>
                  <w:r>
                    <w:rPr>
                      <w:bCs/>
                      <w:szCs w:val="21"/>
                    </w:rPr>
                    <w:t>m</w:t>
                  </w:r>
                  <w:r>
                    <w:rPr>
                      <w:bCs/>
                      <w:szCs w:val="21"/>
                      <w:vertAlign w:val="superscript"/>
                    </w:rPr>
                    <w:t>2</w:t>
                  </w:r>
                  <w:r>
                    <w:rPr>
                      <w:bCs/>
                      <w:szCs w:val="21"/>
                    </w:rPr>
                    <w:t>，主要用于原料煤矸石和</w:t>
                  </w:r>
                  <w:r>
                    <w:rPr>
                      <w:rFonts w:hint="eastAsia"/>
                      <w:bCs/>
                      <w:szCs w:val="21"/>
                    </w:rPr>
                    <w:t>建筑渣土</w:t>
                  </w:r>
                  <w:r>
                    <w:rPr>
                      <w:bCs/>
                      <w:szCs w:val="21"/>
                    </w:rPr>
                    <w:t>的暂存</w:t>
                  </w:r>
                </w:p>
              </w:tc>
              <w:tc>
                <w:tcPr>
                  <w:tcW w:w="1142" w:type="pct"/>
                  <w:noWrap w:val="0"/>
                  <w:vAlign w:val="center"/>
                </w:tcPr>
                <w:p w14:paraId="47DE4164">
                  <w:pPr>
                    <w:spacing w:line="276" w:lineRule="auto"/>
                    <w:jc w:val="center"/>
                    <w:rPr>
                      <w:bCs/>
                      <w:szCs w:val="21"/>
                    </w:rPr>
                  </w:pPr>
                  <w:r>
                    <w:rPr>
                      <w:bCs/>
                      <w:szCs w:val="21"/>
                    </w:rPr>
                    <w:t>位于厂区西部，建筑面积</w:t>
                  </w:r>
                  <w:r>
                    <w:rPr>
                      <w:rFonts w:hint="eastAsia"/>
                      <w:bCs/>
                      <w:szCs w:val="21"/>
                    </w:rPr>
                    <w:t>30</w:t>
                  </w:r>
                  <w:r>
                    <w:rPr>
                      <w:bCs/>
                      <w:szCs w:val="21"/>
                    </w:rPr>
                    <w:t>00m</w:t>
                  </w:r>
                  <w:r>
                    <w:rPr>
                      <w:bCs/>
                      <w:szCs w:val="21"/>
                      <w:vertAlign w:val="superscript"/>
                    </w:rPr>
                    <w:t>2</w:t>
                  </w:r>
                  <w:r>
                    <w:rPr>
                      <w:bCs/>
                      <w:szCs w:val="21"/>
                    </w:rPr>
                    <w:t>，主要用于原料煤矸石和</w:t>
                  </w:r>
                  <w:r>
                    <w:rPr>
                      <w:rFonts w:hint="eastAsia"/>
                      <w:bCs/>
                      <w:szCs w:val="21"/>
                    </w:rPr>
                    <w:t>建筑渣土等原料</w:t>
                  </w:r>
                  <w:r>
                    <w:rPr>
                      <w:bCs/>
                      <w:szCs w:val="21"/>
                    </w:rPr>
                    <w:t>暂存</w:t>
                  </w:r>
                </w:p>
              </w:tc>
              <w:tc>
                <w:tcPr>
                  <w:tcW w:w="827" w:type="pct"/>
                  <w:noWrap w:val="0"/>
                  <w:vAlign w:val="center"/>
                </w:tcPr>
                <w:p w14:paraId="664AA39C">
                  <w:pPr>
                    <w:spacing w:line="276" w:lineRule="auto"/>
                    <w:jc w:val="center"/>
                    <w:rPr>
                      <w:rFonts w:hint="eastAsia"/>
                      <w:bCs/>
                      <w:szCs w:val="21"/>
                    </w:rPr>
                  </w:pPr>
                  <w:r>
                    <w:rPr>
                      <w:rFonts w:hint="eastAsia"/>
                      <w:bCs/>
                      <w:szCs w:val="21"/>
                    </w:rPr>
                    <w:t>扩建</w:t>
                  </w:r>
                </w:p>
              </w:tc>
            </w:tr>
            <w:tr w14:paraId="5BD8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379CAC6C">
                  <w:pPr>
                    <w:spacing w:line="276" w:lineRule="auto"/>
                    <w:jc w:val="center"/>
                    <w:rPr>
                      <w:bCs/>
                      <w:szCs w:val="21"/>
                    </w:rPr>
                  </w:pPr>
                </w:p>
              </w:tc>
              <w:tc>
                <w:tcPr>
                  <w:tcW w:w="692" w:type="pct"/>
                  <w:gridSpan w:val="2"/>
                  <w:noWrap w:val="0"/>
                  <w:vAlign w:val="center"/>
                </w:tcPr>
                <w:p w14:paraId="43F991F6">
                  <w:pPr>
                    <w:spacing w:line="276" w:lineRule="auto"/>
                    <w:jc w:val="center"/>
                    <w:rPr>
                      <w:bCs/>
                      <w:szCs w:val="21"/>
                    </w:rPr>
                  </w:pPr>
                  <w:r>
                    <w:rPr>
                      <w:rFonts w:hint="eastAsia"/>
                      <w:bCs/>
                      <w:szCs w:val="21"/>
                    </w:rPr>
                    <w:t>成品堆场</w:t>
                  </w:r>
                </w:p>
              </w:tc>
              <w:tc>
                <w:tcPr>
                  <w:tcW w:w="1210" w:type="pct"/>
                  <w:noWrap w:val="0"/>
                  <w:vAlign w:val="center"/>
                </w:tcPr>
                <w:p w14:paraId="2085D885">
                  <w:pPr>
                    <w:spacing w:line="276" w:lineRule="auto"/>
                    <w:jc w:val="both"/>
                    <w:rPr>
                      <w:bCs/>
                      <w:szCs w:val="21"/>
                    </w:rPr>
                  </w:pPr>
                  <w:r>
                    <w:rPr>
                      <w:bCs/>
                      <w:szCs w:val="21"/>
                    </w:rPr>
                    <w:t>位于厂区</w:t>
                  </w:r>
                  <w:r>
                    <w:rPr>
                      <w:rFonts w:hint="eastAsia"/>
                      <w:bCs/>
                      <w:szCs w:val="21"/>
                    </w:rPr>
                    <w:t>南</w:t>
                  </w:r>
                  <w:r>
                    <w:rPr>
                      <w:bCs/>
                      <w:szCs w:val="21"/>
                    </w:rPr>
                    <w:t>部，</w:t>
                  </w:r>
                  <w:r>
                    <w:rPr>
                      <w:rFonts w:hint="eastAsia"/>
                      <w:bCs/>
                      <w:szCs w:val="21"/>
                    </w:rPr>
                    <w:t>占地约35</w:t>
                  </w:r>
                  <w:r>
                    <w:rPr>
                      <w:bCs/>
                      <w:szCs w:val="21"/>
                    </w:rPr>
                    <w:t>00m</w:t>
                  </w:r>
                  <w:r>
                    <w:rPr>
                      <w:bCs/>
                      <w:szCs w:val="21"/>
                      <w:vertAlign w:val="superscript"/>
                    </w:rPr>
                    <w:t>2</w:t>
                  </w:r>
                  <w:r>
                    <w:rPr>
                      <w:bCs/>
                      <w:szCs w:val="21"/>
                    </w:rPr>
                    <w:t>，堆放成品烧结空心砖</w:t>
                  </w:r>
                </w:p>
              </w:tc>
              <w:tc>
                <w:tcPr>
                  <w:tcW w:w="886" w:type="pct"/>
                  <w:noWrap w:val="0"/>
                  <w:vAlign w:val="center"/>
                </w:tcPr>
                <w:p w14:paraId="071105BE">
                  <w:pPr>
                    <w:spacing w:line="276" w:lineRule="auto"/>
                    <w:jc w:val="both"/>
                    <w:rPr>
                      <w:bCs/>
                      <w:szCs w:val="21"/>
                    </w:rPr>
                  </w:pPr>
                  <w:r>
                    <w:rPr>
                      <w:bCs/>
                      <w:szCs w:val="21"/>
                    </w:rPr>
                    <w:t>依托现有</w:t>
                  </w:r>
                </w:p>
              </w:tc>
              <w:tc>
                <w:tcPr>
                  <w:tcW w:w="1142" w:type="pct"/>
                  <w:noWrap w:val="0"/>
                  <w:vAlign w:val="center"/>
                </w:tcPr>
                <w:p w14:paraId="58638596">
                  <w:pPr>
                    <w:spacing w:line="276" w:lineRule="auto"/>
                    <w:jc w:val="both"/>
                    <w:rPr>
                      <w:bCs/>
                      <w:szCs w:val="21"/>
                    </w:rPr>
                  </w:pPr>
                  <w:r>
                    <w:rPr>
                      <w:bCs/>
                      <w:szCs w:val="21"/>
                    </w:rPr>
                    <w:t>位于厂区</w:t>
                  </w:r>
                  <w:r>
                    <w:rPr>
                      <w:rFonts w:hint="eastAsia"/>
                      <w:bCs/>
                      <w:szCs w:val="21"/>
                    </w:rPr>
                    <w:t>南</w:t>
                  </w:r>
                  <w:r>
                    <w:rPr>
                      <w:bCs/>
                      <w:szCs w:val="21"/>
                    </w:rPr>
                    <w:t>部，</w:t>
                  </w:r>
                  <w:r>
                    <w:rPr>
                      <w:rFonts w:hint="eastAsia"/>
                      <w:bCs/>
                      <w:szCs w:val="21"/>
                    </w:rPr>
                    <w:t>占地约35</w:t>
                  </w:r>
                  <w:r>
                    <w:rPr>
                      <w:bCs/>
                      <w:szCs w:val="21"/>
                    </w:rPr>
                    <w:t>00m</w:t>
                  </w:r>
                  <w:r>
                    <w:rPr>
                      <w:bCs/>
                      <w:szCs w:val="21"/>
                      <w:vertAlign w:val="superscript"/>
                    </w:rPr>
                    <w:t>2</w:t>
                  </w:r>
                  <w:r>
                    <w:rPr>
                      <w:bCs/>
                      <w:szCs w:val="21"/>
                    </w:rPr>
                    <w:t>，堆放成品烧结空心砖</w:t>
                  </w:r>
                </w:p>
              </w:tc>
              <w:tc>
                <w:tcPr>
                  <w:tcW w:w="827" w:type="pct"/>
                  <w:noWrap w:val="0"/>
                  <w:vAlign w:val="center"/>
                </w:tcPr>
                <w:p w14:paraId="4BFD8D1E">
                  <w:pPr>
                    <w:spacing w:line="276" w:lineRule="auto"/>
                    <w:jc w:val="center"/>
                    <w:rPr>
                      <w:bCs/>
                      <w:szCs w:val="21"/>
                    </w:rPr>
                  </w:pPr>
                  <w:r>
                    <w:rPr>
                      <w:rFonts w:hint="eastAsia"/>
                      <w:bCs/>
                      <w:szCs w:val="21"/>
                    </w:rPr>
                    <w:t>/</w:t>
                  </w:r>
                </w:p>
              </w:tc>
            </w:tr>
            <w:tr w14:paraId="5DCA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restart"/>
                  <w:noWrap w:val="0"/>
                  <w:vAlign w:val="center"/>
                </w:tcPr>
                <w:p w14:paraId="75A1D1A4">
                  <w:pPr>
                    <w:spacing w:line="276" w:lineRule="auto"/>
                    <w:jc w:val="center"/>
                    <w:rPr>
                      <w:bCs/>
                      <w:szCs w:val="21"/>
                    </w:rPr>
                  </w:pPr>
                  <w:r>
                    <w:rPr>
                      <w:bCs/>
                      <w:szCs w:val="21"/>
                    </w:rPr>
                    <w:t>公用工程</w:t>
                  </w:r>
                </w:p>
              </w:tc>
              <w:tc>
                <w:tcPr>
                  <w:tcW w:w="692" w:type="pct"/>
                  <w:gridSpan w:val="2"/>
                  <w:noWrap w:val="0"/>
                  <w:vAlign w:val="center"/>
                </w:tcPr>
                <w:p w14:paraId="37346670">
                  <w:pPr>
                    <w:spacing w:line="276" w:lineRule="auto"/>
                    <w:jc w:val="center"/>
                    <w:rPr>
                      <w:bCs/>
                      <w:szCs w:val="21"/>
                    </w:rPr>
                  </w:pPr>
                  <w:r>
                    <w:rPr>
                      <w:bCs/>
                      <w:szCs w:val="21"/>
                    </w:rPr>
                    <w:t>供电</w:t>
                  </w:r>
                </w:p>
              </w:tc>
              <w:tc>
                <w:tcPr>
                  <w:tcW w:w="1210" w:type="pct"/>
                  <w:noWrap w:val="0"/>
                  <w:vAlign w:val="center"/>
                </w:tcPr>
                <w:p w14:paraId="57EF06BC">
                  <w:pPr>
                    <w:spacing w:line="276" w:lineRule="auto"/>
                    <w:jc w:val="both"/>
                    <w:rPr>
                      <w:bCs/>
                      <w:szCs w:val="21"/>
                    </w:rPr>
                  </w:pPr>
                  <w:r>
                    <w:rPr>
                      <w:bCs/>
                      <w:szCs w:val="21"/>
                    </w:rPr>
                    <w:t>市政电网供电，用电量</w:t>
                  </w:r>
                  <w:r>
                    <w:rPr>
                      <w:rFonts w:hint="eastAsia"/>
                      <w:bCs/>
                      <w:szCs w:val="21"/>
                    </w:rPr>
                    <w:t>120</w:t>
                  </w:r>
                  <w:r>
                    <w:rPr>
                      <w:bCs/>
                      <w:szCs w:val="21"/>
                    </w:rPr>
                    <w:t>万kW·h/a</w:t>
                  </w:r>
                </w:p>
              </w:tc>
              <w:tc>
                <w:tcPr>
                  <w:tcW w:w="886" w:type="pct"/>
                  <w:noWrap w:val="0"/>
                  <w:vAlign w:val="center"/>
                </w:tcPr>
                <w:p w14:paraId="4BFC2EB2">
                  <w:pPr>
                    <w:spacing w:line="276" w:lineRule="auto"/>
                    <w:jc w:val="both"/>
                    <w:rPr>
                      <w:bCs/>
                      <w:szCs w:val="21"/>
                    </w:rPr>
                  </w:pPr>
                  <w:r>
                    <w:rPr>
                      <w:bCs/>
                      <w:szCs w:val="21"/>
                    </w:rPr>
                    <w:t>市政电网供电，新增用电量</w:t>
                  </w:r>
                  <w:r>
                    <w:rPr>
                      <w:rFonts w:hint="eastAsia"/>
                      <w:bCs/>
                      <w:szCs w:val="21"/>
                    </w:rPr>
                    <w:t>30</w:t>
                  </w:r>
                  <w:r>
                    <w:rPr>
                      <w:bCs/>
                      <w:szCs w:val="21"/>
                    </w:rPr>
                    <w:t>万kW·h/a</w:t>
                  </w:r>
                </w:p>
              </w:tc>
              <w:tc>
                <w:tcPr>
                  <w:tcW w:w="1142" w:type="pct"/>
                  <w:noWrap w:val="0"/>
                  <w:vAlign w:val="center"/>
                </w:tcPr>
                <w:p w14:paraId="7A6C1346">
                  <w:pPr>
                    <w:spacing w:line="276" w:lineRule="auto"/>
                    <w:jc w:val="both"/>
                    <w:rPr>
                      <w:bCs/>
                      <w:szCs w:val="21"/>
                    </w:rPr>
                  </w:pPr>
                  <w:r>
                    <w:rPr>
                      <w:bCs/>
                      <w:szCs w:val="21"/>
                    </w:rPr>
                    <w:t>市政电网供电，总用电量</w:t>
                  </w:r>
                  <w:r>
                    <w:rPr>
                      <w:rFonts w:hint="eastAsia"/>
                      <w:bCs/>
                      <w:szCs w:val="21"/>
                    </w:rPr>
                    <w:t>150</w:t>
                  </w:r>
                  <w:r>
                    <w:rPr>
                      <w:bCs/>
                      <w:szCs w:val="21"/>
                    </w:rPr>
                    <w:t>万kW·h/a</w:t>
                  </w:r>
                </w:p>
              </w:tc>
              <w:tc>
                <w:tcPr>
                  <w:tcW w:w="827" w:type="pct"/>
                  <w:noWrap w:val="0"/>
                  <w:vAlign w:val="center"/>
                </w:tcPr>
                <w:p w14:paraId="01B5908F">
                  <w:pPr>
                    <w:spacing w:line="276" w:lineRule="auto"/>
                    <w:jc w:val="center"/>
                    <w:rPr>
                      <w:bCs/>
                      <w:szCs w:val="21"/>
                    </w:rPr>
                  </w:pPr>
                  <w:r>
                    <w:rPr>
                      <w:bCs/>
                      <w:szCs w:val="21"/>
                    </w:rPr>
                    <w:t>依托市政</w:t>
                  </w:r>
                </w:p>
              </w:tc>
            </w:tr>
            <w:tr w14:paraId="7B67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651BD26B">
                  <w:pPr>
                    <w:spacing w:line="276" w:lineRule="auto"/>
                    <w:jc w:val="center"/>
                    <w:rPr>
                      <w:bCs/>
                      <w:szCs w:val="21"/>
                    </w:rPr>
                  </w:pPr>
                </w:p>
              </w:tc>
              <w:tc>
                <w:tcPr>
                  <w:tcW w:w="692" w:type="pct"/>
                  <w:gridSpan w:val="2"/>
                  <w:noWrap w:val="0"/>
                  <w:vAlign w:val="center"/>
                </w:tcPr>
                <w:p w14:paraId="0E7F6DBE">
                  <w:pPr>
                    <w:spacing w:line="276" w:lineRule="auto"/>
                    <w:jc w:val="center"/>
                    <w:rPr>
                      <w:bCs/>
                      <w:color w:val="FF0000"/>
                      <w:szCs w:val="21"/>
                    </w:rPr>
                  </w:pPr>
                  <w:r>
                    <w:rPr>
                      <w:bCs/>
                      <w:szCs w:val="21"/>
                    </w:rPr>
                    <w:t>给水</w:t>
                  </w:r>
                </w:p>
              </w:tc>
              <w:tc>
                <w:tcPr>
                  <w:tcW w:w="1210" w:type="pct"/>
                  <w:noWrap w:val="0"/>
                  <w:vAlign w:val="center"/>
                </w:tcPr>
                <w:p w14:paraId="3FE084B8">
                  <w:pPr>
                    <w:spacing w:line="276" w:lineRule="auto"/>
                    <w:jc w:val="both"/>
                    <w:rPr>
                      <w:bCs/>
                      <w:color w:val="000000"/>
                      <w:sz w:val="21"/>
                      <w:szCs w:val="21"/>
                    </w:rPr>
                  </w:pPr>
                  <w:r>
                    <w:rPr>
                      <w:rFonts w:hint="eastAsia"/>
                      <w:bCs/>
                      <w:color w:val="000000"/>
                      <w:sz w:val="21"/>
                      <w:szCs w:val="21"/>
                    </w:rPr>
                    <w:t>依托市政供水</w:t>
                  </w:r>
                  <w:r>
                    <w:rPr>
                      <w:bCs/>
                      <w:color w:val="000000"/>
                      <w:sz w:val="21"/>
                      <w:szCs w:val="21"/>
                    </w:rPr>
                    <w:t>，用水量</w:t>
                  </w:r>
                  <w:r>
                    <w:rPr>
                      <w:rFonts w:hint="eastAsia"/>
                      <w:bCs/>
                      <w:color w:val="000000"/>
                      <w:sz w:val="21"/>
                      <w:szCs w:val="21"/>
                    </w:rPr>
                    <w:t>36620t/a</w:t>
                  </w:r>
                </w:p>
              </w:tc>
              <w:tc>
                <w:tcPr>
                  <w:tcW w:w="886" w:type="pct"/>
                  <w:noWrap w:val="0"/>
                  <w:vAlign w:val="center"/>
                </w:tcPr>
                <w:p w14:paraId="015BB4AB">
                  <w:pPr>
                    <w:pStyle w:val="210"/>
                    <w:spacing w:line="276" w:lineRule="auto"/>
                    <w:jc w:val="both"/>
                    <w:rPr>
                      <w:bCs/>
                      <w:color w:val="000000"/>
                      <w:sz w:val="21"/>
                      <w:szCs w:val="21"/>
                    </w:rPr>
                  </w:pPr>
                  <w:r>
                    <w:rPr>
                      <w:rFonts w:hint="eastAsia"/>
                      <w:bCs/>
                      <w:color w:val="000000"/>
                      <w:sz w:val="21"/>
                      <w:szCs w:val="21"/>
                    </w:rPr>
                    <w:t>依托市政</w:t>
                  </w:r>
                  <w:r>
                    <w:rPr>
                      <w:bCs/>
                      <w:color w:val="000000"/>
                      <w:sz w:val="21"/>
                      <w:szCs w:val="21"/>
                    </w:rPr>
                    <w:t>，新增用水量</w:t>
                  </w:r>
                  <w:r>
                    <w:rPr>
                      <w:rFonts w:hint="eastAsia"/>
                      <w:color w:val="000000"/>
                      <w:sz w:val="21"/>
                      <w:szCs w:val="21"/>
                    </w:rPr>
                    <w:t>16812.6</w:t>
                  </w:r>
                  <w:r>
                    <w:rPr>
                      <w:rFonts w:hint="eastAsia"/>
                      <w:bCs/>
                      <w:color w:val="000000"/>
                      <w:sz w:val="21"/>
                      <w:szCs w:val="21"/>
                    </w:rPr>
                    <w:t>t/a</w:t>
                  </w:r>
                </w:p>
              </w:tc>
              <w:tc>
                <w:tcPr>
                  <w:tcW w:w="1142" w:type="pct"/>
                  <w:noWrap w:val="0"/>
                  <w:vAlign w:val="center"/>
                </w:tcPr>
                <w:p w14:paraId="352C1779">
                  <w:pPr>
                    <w:pStyle w:val="210"/>
                    <w:spacing w:line="276" w:lineRule="auto"/>
                    <w:jc w:val="both"/>
                    <w:rPr>
                      <w:bCs/>
                      <w:color w:val="000000"/>
                      <w:sz w:val="21"/>
                      <w:szCs w:val="21"/>
                    </w:rPr>
                  </w:pPr>
                  <w:r>
                    <w:rPr>
                      <w:rFonts w:hint="eastAsia"/>
                      <w:bCs/>
                      <w:color w:val="000000"/>
                      <w:sz w:val="21"/>
                      <w:szCs w:val="21"/>
                    </w:rPr>
                    <w:t>依托市政</w:t>
                  </w:r>
                  <w:r>
                    <w:rPr>
                      <w:bCs/>
                      <w:color w:val="000000"/>
                      <w:sz w:val="21"/>
                      <w:szCs w:val="21"/>
                    </w:rPr>
                    <w:t>，用水量</w:t>
                  </w:r>
                  <w:r>
                    <w:rPr>
                      <w:rFonts w:hint="eastAsia"/>
                      <w:bCs/>
                      <w:color w:val="000000"/>
                      <w:sz w:val="21"/>
                      <w:szCs w:val="21"/>
                    </w:rPr>
                    <w:t>53432.6t/a</w:t>
                  </w:r>
                </w:p>
              </w:tc>
              <w:tc>
                <w:tcPr>
                  <w:tcW w:w="827" w:type="pct"/>
                  <w:noWrap w:val="0"/>
                  <w:vAlign w:val="center"/>
                </w:tcPr>
                <w:p w14:paraId="46293C1E">
                  <w:pPr>
                    <w:pStyle w:val="210"/>
                    <w:spacing w:line="276" w:lineRule="auto"/>
                    <w:jc w:val="center"/>
                    <w:rPr>
                      <w:bCs/>
                    </w:rPr>
                  </w:pPr>
                  <w:r>
                    <w:rPr>
                      <w:bCs/>
                    </w:rPr>
                    <w:t>依托市政</w:t>
                  </w:r>
                </w:p>
              </w:tc>
            </w:tr>
            <w:tr w14:paraId="5428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2DD3BD67">
                  <w:pPr>
                    <w:spacing w:line="276" w:lineRule="auto"/>
                    <w:jc w:val="center"/>
                    <w:rPr>
                      <w:bCs/>
                      <w:szCs w:val="21"/>
                    </w:rPr>
                  </w:pPr>
                </w:p>
              </w:tc>
              <w:tc>
                <w:tcPr>
                  <w:tcW w:w="692" w:type="pct"/>
                  <w:gridSpan w:val="2"/>
                  <w:noWrap w:val="0"/>
                  <w:vAlign w:val="center"/>
                </w:tcPr>
                <w:p w14:paraId="05B82F0E">
                  <w:pPr>
                    <w:spacing w:line="276" w:lineRule="auto"/>
                    <w:jc w:val="center"/>
                    <w:rPr>
                      <w:bCs/>
                      <w:szCs w:val="21"/>
                    </w:rPr>
                  </w:pPr>
                  <w:r>
                    <w:rPr>
                      <w:bCs/>
                      <w:szCs w:val="21"/>
                    </w:rPr>
                    <w:t>排水</w:t>
                  </w:r>
                </w:p>
              </w:tc>
              <w:tc>
                <w:tcPr>
                  <w:tcW w:w="1210" w:type="pct"/>
                  <w:noWrap w:val="0"/>
                  <w:vAlign w:val="center"/>
                </w:tcPr>
                <w:p w14:paraId="019FBA88">
                  <w:pPr>
                    <w:spacing w:line="276" w:lineRule="auto"/>
                    <w:jc w:val="both"/>
                    <w:rPr>
                      <w:rFonts w:hint="default" w:eastAsia="宋体"/>
                      <w:bCs/>
                      <w:color w:val="000000"/>
                      <w:szCs w:val="21"/>
                      <w:lang w:val="en-US" w:eastAsia="zh-CN"/>
                    </w:rPr>
                  </w:pPr>
                  <w:r>
                    <w:rPr>
                      <w:bCs/>
                      <w:color w:val="000000"/>
                      <w:szCs w:val="21"/>
                    </w:rPr>
                    <w:t>雨污分流，雨水排至雨水收集池</w:t>
                  </w:r>
                  <w:r>
                    <w:rPr>
                      <w:rFonts w:hint="eastAsia"/>
                      <w:bCs/>
                      <w:color w:val="000000"/>
                      <w:szCs w:val="21"/>
                      <w:lang w:eastAsia="zh-CN"/>
                    </w:rPr>
                    <w:t>（</w:t>
                  </w:r>
                  <w:r>
                    <w:rPr>
                      <w:rFonts w:hint="eastAsia"/>
                      <w:bCs/>
                      <w:color w:val="000000"/>
                      <w:szCs w:val="21"/>
                      <w:lang w:val="en-US" w:eastAsia="zh-CN"/>
                    </w:rPr>
                    <w:t>10.5×4.5×2m</w:t>
                  </w:r>
                  <w:r>
                    <w:rPr>
                      <w:rFonts w:hint="eastAsia"/>
                      <w:bCs/>
                      <w:color w:val="000000"/>
                      <w:szCs w:val="21"/>
                      <w:lang w:eastAsia="zh-CN"/>
                    </w:rPr>
                    <w:t>）</w:t>
                  </w:r>
                  <w:r>
                    <w:rPr>
                      <w:bCs/>
                      <w:color w:val="000000"/>
                      <w:szCs w:val="21"/>
                    </w:rPr>
                    <w:t>，</w:t>
                  </w:r>
                  <w:r>
                    <w:rPr>
                      <w:rFonts w:hint="eastAsia"/>
                      <w:bCs/>
                      <w:color w:val="000000"/>
                      <w:szCs w:val="21"/>
                      <w:lang w:val="en-US" w:eastAsia="zh-CN"/>
                    </w:rPr>
                    <w:t>收集雨水</w:t>
                  </w:r>
                  <w:r>
                    <w:rPr>
                      <w:bCs/>
                      <w:color w:val="000000"/>
                      <w:szCs w:val="21"/>
                    </w:rPr>
                    <w:t>回用于原料搅拌；</w:t>
                  </w:r>
                  <w:r>
                    <w:rPr>
                      <w:bCs/>
                      <w:color w:val="000000"/>
                      <w:szCs w:val="21"/>
                      <w:highlight w:val="none"/>
                    </w:rPr>
                    <w:t>生活污水经化粪池</w:t>
                  </w:r>
                  <w:r>
                    <w:rPr>
                      <w:rFonts w:hint="eastAsia"/>
                      <w:bCs/>
                      <w:color w:val="000000"/>
                      <w:szCs w:val="21"/>
                      <w:highlight w:val="none"/>
                      <w:lang w:val="en-US" w:eastAsia="zh-CN"/>
                    </w:rPr>
                    <w:t>收集后定期清掏</w:t>
                  </w:r>
                </w:p>
              </w:tc>
              <w:tc>
                <w:tcPr>
                  <w:tcW w:w="886" w:type="pct"/>
                  <w:noWrap w:val="0"/>
                  <w:vAlign w:val="center"/>
                </w:tcPr>
                <w:p w14:paraId="3775C781">
                  <w:pPr>
                    <w:spacing w:line="276" w:lineRule="auto"/>
                    <w:jc w:val="both"/>
                    <w:rPr>
                      <w:bCs/>
                      <w:color w:val="000000"/>
                      <w:szCs w:val="21"/>
                    </w:rPr>
                  </w:pPr>
                  <w:r>
                    <w:rPr>
                      <w:bCs/>
                      <w:color w:val="000000"/>
                      <w:szCs w:val="21"/>
                    </w:rPr>
                    <w:t>新增车辆清洗废水，</w:t>
                  </w:r>
                  <w:r>
                    <w:rPr>
                      <w:rFonts w:hint="eastAsia"/>
                      <w:bCs/>
                      <w:color w:val="000000"/>
                      <w:szCs w:val="21"/>
                    </w:rPr>
                    <w:t>经</w:t>
                  </w:r>
                  <w:r>
                    <w:rPr>
                      <w:bCs/>
                      <w:color w:val="000000"/>
                      <w:szCs w:val="21"/>
                    </w:rPr>
                    <w:t>沉淀池沉淀后，回用于车辆清洗</w:t>
                  </w:r>
                </w:p>
              </w:tc>
              <w:tc>
                <w:tcPr>
                  <w:tcW w:w="1142" w:type="pct"/>
                  <w:noWrap w:val="0"/>
                  <w:vAlign w:val="center"/>
                </w:tcPr>
                <w:p w14:paraId="16C6A2DB">
                  <w:pPr>
                    <w:spacing w:line="276" w:lineRule="auto"/>
                    <w:jc w:val="both"/>
                    <w:rPr>
                      <w:bCs/>
                      <w:color w:val="000000"/>
                      <w:szCs w:val="21"/>
                    </w:rPr>
                  </w:pPr>
                  <w:r>
                    <w:rPr>
                      <w:bCs/>
                      <w:color w:val="000000"/>
                      <w:szCs w:val="21"/>
                    </w:rPr>
                    <w:t>雨污分流，雨水排至雨水收集池</w:t>
                  </w:r>
                  <w:r>
                    <w:rPr>
                      <w:rFonts w:hint="eastAsia"/>
                      <w:bCs/>
                      <w:color w:val="000000"/>
                      <w:szCs w:val="21"/>
                      <w:lang w:eastAsia="zh-CN"/>
                    </w:rPr>
                    <w:t>（</w:t>
                  </w:r>
                  <w:r>
                    <w:rPr>
                      <w:rFonts w:hint="eastAsia"/>
                      <w:bCs/>
                      <w:color w:val="000000"/>
                      <w:szCs w:val="21"/>
                      <w:lang w:val="en-US" w:eastAsia="zh-CN"/>
                    </w:rPr>
                    <w:t>10.5×4.5×2m</w:t>
                  </w:r>
                  <w:r>
                    <w:rPr>
                      <w:rFonts w:hint="eastAsia"/>
                      <w:bCs/>
                      <w:color w:val="000000"/>
                      <w:szCs w:val="21"/>
                      <w:lang w:eastAsia="zh-CN"/>
                    </w:rPr>
                    <w:t>）</w:t>
                  </w:r>
                  <w:r>
                    <w:rPr>
                      <w:bCs/>
                      <w:color w:val="000000"/>
                      <w:szCs w:val="21"/>
                    </w:rPr>
                    <w:t>，</w:t>
                  </w:r>
                  <w:r>
                    <w:rPr>
                      <w:rFonts w:hint="eastAsia"/>
                      <w:bCs/>
                      <w:color w:val="000000"/>
                      <w:szCs w:val="21"/>
                      <w:lang w:val="en-US" w:eastAsia="zh-CN"/>
                    </w:rPr>
                    <w:t>收集雨水</w:t>
                  </w:r>
                  <w:r>
                    <w:rPr>
                      <w:bCs/>
                      <w:color w:val="000000"/>
                      <w:szCs w:val="21"/>
                    </w:rPr>
                    <w:t>回用于原料搅拌；</w:t>
                  </w:r>
                  <w:r>
                    <w:rPr>
                      <w:bCs/>
                      <w:color w:val="000000"/>
                      <w:szCs w:val="21"/>
                      <w:highlight w:val="none"/>
                    </w:rPr>
                    <w:t>生活污水经化粪池</w:t>
                  </w:r>
                  <w:r>
                    <w:rPr>
                      <w:rFonts w:hint="eastAsia"/>
                      <w:bCs/>
                      <w:color w:val="000000"/>
                      <w:szCs w:val="21"/>
                      <w:highlight w:val="none"/>
                      <w:lang w:val="en-US" w:eastAsia="zh-CN"/>
                    </w:rPr>
                    <w:t>收集后定期清掏</w:t>
                  </w:r>
                </w:p>
              </w:tc>
              <w:tc>
                <w:tcPr>
                  <w:tcW w:w="827" w:type="pct"/>
                  <w:noWrap w:val="0"/>
                  <w:vAlign w:val="center"/>
                </w:tcPr>
                <w:p w14:paraId="6298888C">
                  <w:pPr>
                    <w:spacing w:line="276" w:lineRule="auto"/>
                    <w:jc w:val="center"/>
                    <w:rPr>
                      <w:rFonts w:hint="eastAsia"/>
                      <w:bCs/>
                      <w:szCs w:val="21"/>
                    </w:rPr>
                  </w:pPr>
                  <w:r>
                    <w:rPr>
                      <w:rFonts w:hint="eastAsia"/>
                      <w:bCs/>
                      <w:szCs w:val="21"/>
                    </w:rPr>
                    <w:t>/</w:t>
                  </w:r>
                </w:p>
              </w:tc>
            </w:tr>
            <w:tr w14:paraId="080B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restart"/>
                  <w:noWrap w:val="0"/>
                  <w:vAlign w:val="center"/>
                </w:tcPr>
                <w:p w14:paraId="1591D4CD">
                  <w:pPr>
                    <w:spacing w:line="276" w:lineRule="auto"/>
                    <w:jc w:val="center"/>
                    <w:rPr>
                      <w:bCs/>
                      <w:szCs w:val="21"/>
                    </w:rPr>
                  </w:pPr>
                  <w:r>
                    <w:rPr>
                      <w:bCs/>
                      <w:szCs w:val="21"/>
                    </w:rPr>
                    <w:t>环保工程</w:t>
                  </w:r>
                </w:p>
              </w:tc>
              <w:tc>
                <w:tcPr>
                  <w:tcW w:w="692" w:type="pct"/>
                  <w:gridSpan w:val="2"/>
                  <w:vMerge w:val="restart"/>
                  <w:noWrap w:val="0"/>
                  <w:vAlign w:val="center"/>
                </w:tcPr>
                <w:p w14:paraId="47CBD762">
                  <w:pPr>
                    <w:spacing w:line="276" w:lineRule="auto"/>
                    <w:jc w:val="center"/>
                    <w:rPr>
                      <w:bCs/>
                      <w:szCs w:val="21"/>
                    </w:rPr>
                  </w:pPr>
                  <w:r>
                    <w:rPr>
                      <w:bCs/>
                      <w:szCs w:val="21"/>
                    </w:rPr>
                    <w:t>废气</w:t>
                  </w:r>
                </w:p>
              </w:tc>
              <w:tc>
                <w:tcPr>
                  <w:tcW w:w="1210" w:type="pct"/>
                  <w:noWrap w:val="0"/>
                  <w:vAlign w:val="center"/>
                </w:tcPr>
                <w:p w14:paraId="2BE7EB9E">
                  <w:pPr>
                    <w:autoSpaceDE w:val="0"/>
                    <w:autoSpaceDN w:val="0"/>
                    <w:spacing w:line="276" w:lineRule="auto"/>
                    <w:jc w:val="both"/>
                    <w:rPr>
                      <w:bCs/>
                      <w:color w:val="000000"/>
                      <w:szCs w:val="21"/>
                    </w:rPr>
                  </w:pPr>
                  <w:r>
                    <w:rPr>
                      <w:bCs/>
                      <w:color w:val="000000"/>
                      <w:szCs w:val="21"/>
                    </w:rPr>
                    <w:t>卸料</w:t>
                  </w:r>
                  <w:r>
                    <w:rPr>
                      <w:rFonts w:hint="eastAsia"/>
                      <w:bCs/>
                      <w:color w:val="000000"/>
                      <w:szCs w:val="21"/>
                      <w:lang w:eastAsia="zh-CN"/>
                    </w:rPr>
                    <w:t>、</w:t>
                  </w:r>
                  <w:r>
                    <w:rPr>
                      <w:rFonts w:hint="eastAsia"/>
                      <w:bCs/>
                      <w:color w:val="000000"/>
                      <w:szCs w:val="21"/>
                      <w:lang w:val="en-US" w:eastAsia="zh-CN"/>
                    </w:rPr>
                    <w:t>上料</w:t>
                  </w:r>
                  <w:r>
                    <w:rPr>
                      <w:bCs/>
                      <w:color w:val="000000"/>
                      <w:szCs w:val="21"/>
                    </w:rPr>
                    <w:t>粉尘：原料库内无组织排放，喷雾降尘</w:t>
                  </w:r>
                </w:p>
              </w:tc>
              <w:tc>
                <w:tcPr>
                  <w:tcW w:w="886" w:type="pct"/>
                  <w:noWrap w:val="0"/>
                  <w:vAlign w:val="center"/>
                </w:tcPr>
                <w:p w14:paraId="2F87CBF2">
                  <w:pPr>
                    <w:autoSpaceDE w:val="0"/>
                    <w:autoSpaceDN w:val="0"/>
                    <w:spacing w:line="276" w:lineRule="auto"/>
                    <w:jc w:val="both"/>
                    <w:rPr>
                      <w:bCs/>
                      <w:color w:val="000000"/>
                      <w:szCs w:val="21"/>
                    </w:rPr>
                  </w:pPr>
                  <w:r>
                    <w:rPr>
                      <w:bCs/>
                      <w:color w:val="000000"/>
                      <w:szCs w:val="21"/>
                    </w:rPr>
                    <w:t>卸料粉尘：原料库内无组织排放，喷雾降尘</w:t>
                  </w:r>
                </w:p>
              </w:tc>
              <w:tc>
                <w:tcPr>
                  <w:tcW w:w="1142" w:type="pct"/>
                  <w:noWrap w:val="0"/>
                  <w:vAlign w:val="center"/>
                </w:tcPr>
                <w:p w14:paraId="69746F5F">
                  <w:pPr>
                    <w:jc w:val="both"/>
                    <w:rPr>
                      <w:bCs/>
                      <w:color w:val="000000"/>
                      <w:szCs w:val="21"/>
                    </w:rPr>
                  </w:pPr>
                  <w:r>
                    <w:rPr>
                      <w:bCs/>
                      <w:color w:val="000000"/>
                      <w:szCs w:val="21"/>
                    </w:rPr>
                    <w:t>卸料粉尘：原料库密闭，库内喷雾降尘</w:t>
                  </w:r>
                </w:p>
              </w:tc>
              <w:tc>
                <w:tcPr>
                  <w:tcW w:w="827" w:type="pct"/>
                  <w:noWrap w:val="0"/>
                  <w:vAlign w:val="center"/>
                </w:tcPr>
                <w:p w14:paraId="6DD029DE">
                  <w:pPr>
                    <w:jc w:val="both"/>
                    <w:rPr>
                      <w:bCs/>
                    </w:rPr>
                  </w:pPr>
                  <w:r>
                    <w:rPr>
                      <w:bCs/>
                      <w:szCs w:val="21"/>
                    </w:rPr>
                    <w:t>新建封闭原料库，新增喷雾装置</w:t>
                  </w:r>
                </w:p>
              </w:tc>
            </w:tr>
            <w:tr w14:paraId="133A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28AF1506">
                  <w:pPr>
                    <w:spacing w:line="276" w:lineRule="auto"/>
                    <w:jc w:val="center"/>
                    <w:rPr>
                      <w:bCs/>
                      <w:szCs w:val="21"/>
                    </w:rPr>
                  </w:pPr>
                </w:p>
              </w:tc>
              <w:tc>
                <w:tcPr>
                  <w:tcW w:w="692" w:type="pct"/>
                  <w:gridSpan w:val="2"/>
                  <w:vMerge w:val="continue"/>
                  <w:noWrap w:val="0"/>
                  <w:vAlign w:val="center"/>
                </w:tcPr>
                <w:p w14:paraId="1B00A409">
                  <w:pPr>
                    <w:spacing w:line="276" w:lineRule="auto"/>
                    <w:jc w:val="center"/>
                    <w:rPr>
                      <w:bCs/>
                      <w:szCs w:val="21"/>
                    </w:rPr>
                  </w:pPr>
                </w:p>
              </w:tc>
              <w:tc>
                <w:tcPr>
                  <w:tcW w:w="1210" w:type="pct"/>
                  <w:noWrap w:val="0"/>
                  <w:vAlign w:val="center"/>
                </w:tcPr>
                <w:p w14:paraId="37CD4CD1">
                  <w:pPr>
                    <w:autoSpaceDE w:val="0"/>
                    <w:autoSpaceDN w:val="0"/>
                    <w:spacing w:line="276" w:lineRule="auto"/>
                    <w:jc w:val="both"/>
                    <w:rPr>
                      <w:rFonts w:hint="default" w:eastAsia="宋体"/>
                      <w:bCs/>
                      <w:color w:val="000000"/>
                      <w:szCs w:val="21"/>
                      <w:lang w:val="en-US" w:eastAsia="zh-CN"/>
                    </w:rPr>
                  </w:pPr>
                  <w:r>
                    <w:rPr>
                      <w:bCs/>
                      <w:color w:val="000000"/>
                      <w:szCs w:val="21"/>
                    </w:rPr>
                    <w:t>破碎筛分粉尘：集气罩收集+布袋除尘器(TA001)+15m高排气筒(DA001)</w:t>
                  </w:r>
                  <w:r>
                    <w:rPr>
                      <w:rFonts w:hint="eastAsia"/>
                      <w:bCs/>
                      <w:color w:val="0000FF"/>
                      <w:szCs w:val="21"/>
                      <w:lang w:eastAsia="zh-CN"/>
                    </w:rPr>
                    <w:t>，</w:t>
                  </w:r>
                  <w:r>
                    <w:rPr>
                      <w:rFonts w:hint="eastAsia"/>
                      <w:bCs/>
                      <w:color w:val="0000FF"/>
                      <w:szCs w:val="21"/>
                      <w:lang w:val="en-US" w:eastAsia="zh-CN"/>
                    </w:rPr>
                    <w:t>风机风量30000m</w:t>
                  </w:r>
                  <w:r>
                    <w:rPr>
                      <w:rFonts w:hint="eastAsia"/>
                      <w:bCs/>
                      <w:color w:val="0000FF"/>
                      <w:szCs w:val="21"/>
                      <w:vertAlign w:val="superscript"/>
                      <w:lang w:val="en-US" w:eastAsia="zh-CN"/>
                    </w:rPr>
                    <w:t>3</w:t>
                  </w:r>
                  <w:r>
                    <w:rPr>
                      <w:rFonts w:hint="eastAsia"/>
                      <w:bCs/>
                      <w:color w:val="0000FF"/>
                      <w:szCs w:val="21"/>
                      <w:lang w:val="en-US" w:eastAsia="zh-CN"/>
                    </w:rPr>
                    <w:t>/h，内径0.6m</w:t>
                  </w:r>
                </w:p>
              </w:tc>
              <w:tc>
                <w:tcPr>
                  <w:tcW w:w="886" w:type="pct"/>
                  <w:noWrap w:val="0"/>
                  <w:vAlign w:val="center"/>
                </w:tcPr>
                <w:p w14:paraId="368BBDAD">
                  <w:pPr>
                    <w:autoSpaceDE w:val="0"/>
                    <w:autoSpaceDN w:val="0"/>
                    <w:spacing w:line="276" w:lineRule="auto"/>
                    <w:jc w:val="both"/>
                    <w:rPr>
                      <w:rFonts w:hint="eastAsia"/>
                      <w:bCs/>
                      <w:color w:val="000000"/>
                      <w:szCs w:val="21"/>
                    </w:rPr>
                  </w:pPr>
                  <w:r>
                    <w:rPr>
                      <w:rFonts w:hint="eastAsia"/>
                      <w:bCs/>
                      <w:color w:val="000000"/>
                      <w:szCs w:val="21"/>
                      <w:lang w:val="en-US" w:eastAsia="zh-CN"/>
                    </w:rPr>
                    <w:t>上料粉尘进行收集处理，上料、</w:t>
                  </w:r>
                  <w:r>
                    <w:rPr>
                      <w:bCs/>
                      <w:color w:val="000000"/>
                      <w:szCs w:val="21"/>
                    </w:rPr>
                    <w:t>破碎筛分粉尘：集气罩收集+</w:t>
                  </w:r>
                  <w:r>
                    <w:rPr>
                      <w:rFonts w:hint="eastAsia"/>
                      <w:bCs/>
                      <w:color w:val="000000"/>
                      <w:szCs w:val="21"/>
                      <w:lang w:val="en-US" w:eastAsia="zh-CN"/>
                    </w:rPr>
                    <w:t>布</w:t>
                  </w:r>
                  <w:r>
                    <w:rPr>
                      <w:bCs/>
                      <w:color w:val="000000"/>
                      <w:szCs w:val="21"/>
                    </w:rPr>
                    <w:t>袋除尘器(TA001)+15m高排气筒(DA001)</w:t>
                  </w:r>
                </w:p>
              </w:tc>
              <w:tc>
                <w:tcPr>
                  <w:tcW w:w="1142" w:type="pct"/>
                  <w:noWrap w:val="0"/>
                  <w:vAlign w:val="center"/>
                </w:tcPr>
                <w:p w14:paraId="733FB2EC">
                  <w:pPr>
                    <w:pStyle w:val="62"/>
                    <w:numPr>
                      <w:ilvl w:val="0"/>
                      <w:numId w:val="0"/>
                    </w:numPr>
                    <w:adjustRightInd/>
                    <w:spacing w:line="276" w:lineRule="auto"/>
                    <w:jc w:val="both"/>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破碎筛分粉尘：集气罩收集+布袋除尘器(TA001)+15m高排气筒(DA001)</w:t>
                  </w:r>
                  <w:r>
                    <w:rPr>
                      <w:rFonts w:hint="default" w:ascii="Times New Roman" w:hAnsi="Times New Roman" w:eastAsia="宋体" w:cs="Times New Roman"/>
                      <w:bCs/>
                      <w:color w:val="000000"/>
                      <w:szCs w:val="21"/>
                      <w:lang w:eastAsia="zh-CN"/>
                    </w:rPr>
                    <w:t>，</w:t>
                  </w:r>
                  <w:r>
                    <w:rPr>
                      <w:rFonts w:hint="default" w:ascii="Times New Roman" w:hAnsi="Times New Roman" w:eastAsia="宋体" w:cs="Times New Roman"/>
                      <w:bCs/>
                      <w:color w:val="0000FF"/>
                      <w:sz w:val="21"/>
                      <w:szCs w:val="18"/>
                      <w:lang w:val="en-US" w:eastAsia="zh-CN"/>
                    </w:rPr>
                    <w:t>风机风量</w:t>
                  </w:r>
                  <w:r>
                    <w:rPr>
                      <w:rFonts w:hint="eastAsia" w:ascii="Times New Roman" w:hAnsi="Times New Roman" w:eastAsia="宋体" w:cs="Times New Roman"/>
                      <w:bCs/>
                      <w:color w:val="0000FF"/>
                      <w:sz w:val="21"/>
                      <w:szCs w:val="18"/>
                      <w:lang w:val="en-US" w:eastAsia="zh-CN"/>
                    </w:rPr>
                    <w:t>5</w:t>
                  </w:r>
                  <w:r>
                    <w:rPr>
                      <w:rFonts w:hint="default" w:ascii="Times New Roman" w:hAnsi="Times New Roman" w:eastAsia="宋体" w:cs="Times New Roman"/>
                      <w:bCs/>
                      <w:color w:val="0000FF"/>
                      <w:sz w:val="21"/>
                      <w:szCs w:val="18"/>
                      <w:lang w:val="en-US" w:eastAsia="zh-CN"/>
                    </w:rPr>
                    <w:t>0000m</w:t>
                  </w:r>
                  <w:r>
                    <w:rPr>
                      <w:rFonts w:hint="default" w:ascii="Times New Roman" w:hAnsi="Times New Roman" w:eastAsia="宋体" w:cs="Times New Roman"/>
                      <w:bCs/>
                      <w:color w:val="0000FF"/>
                      <w:sz w:val="21"/>
                      <w:szCs w:val="18"/>
                      <w:vertAlign w:val="superscript"/>
                      <w:lang w:val="en-US" w:eastAsia="zh-CN"/>
                    </w:rPr>
                    <w:t>3</w:t>
                  </w:r>
                  <w:r>
                    <w:rPr>
                      <w:rFonts w:hint="default" w:ascii="Times New Roman" w:hAnsi="Times New Roman" w:eastAsia="宋体" w:cs="Times New Roman"/>
                      <w:bCs/>
                      <w:color w:val="0000FF"/>
                      <w:sz w:val="21"/>
                      <w:szCs w:val="18"/>
                      <w:lang w:val="en-US" w:eastAsia="zh-CN"/>
                    </w:rPr>
                    <w:t>/h，内径</w:t>
                  </w:r>
                  <w:r>
                    <w:rPr>
                      <w:rFonts w:hint="eastAsia" w:ascii="Times New Roman" w:hAnsi="Times New Roman" w:eastAsia="宋体" w:cs="Times New Roman"/>
                      <w:bCs/>
                      <w:color w:val="0000FF"/>
                      <w:sz w:val="21"/>
                      <w:szCs w:val="18"/>
                      <w:lang w:val="en-US" w:eastAsia="zh-CN"/>
                    </w:rPr>
                    <w:t>1</w:t>
                  </w:r>
                  <w:r>
                    <w:rPr>
                      <w:rFonts w:hint="default" w:ascii="Times New Roman" w:hAnsi="Times New Roman" w:eastAsia="宋体" w:cs="Times New Roman"/>
                      <w:bCs/>
                      <w:color w:val="0000FF"/>
                      <w:sz w:val="21"/>
                      <w:szCs w:val="18"/>
                      <w:lang w:val="en-US" w:eastAsia="zh-CN"/>
                    </w:rPr>
                    <w:t>m</w:t>
                  </w:r>
                </w:p>
              </w:tc>
              <w:tc>
                <w:tcPr>
                  <w:tcW w:w="827" w:type="pct"/>
                  <w:noWrap w:val="0"/>
                  <w:vAlign w:val="center"/>
                </w:tcPr>
                <w:p w14:paraId="387E4D57">
                  <w:pPr>
                    <w:pStyle w:val="62"/>
                    <w:numPr>
                      <w:ilvl w:val="0"/>
                      <w:numId w:val="0"/>
                    </w:numPr>
                    <w:adjustRightInd/>
                    <w:spacing w:line="276" w:lineRule="auto"/>
                    <w:jc w:val="center"/>
                    <w:rPr>
                      <w:rFonts w:hint="default" w:ascii="Times New Roman" w:hAnsi="Times New Roman" w:eastAsia="宋体" w:cs="Times New Roman"/>
                      <w:b w:val="0"/>
                      <w:color w:val="auto"/>
                      <w:lang w:val="en-US"/>
                    </w:rPr>
                  </w:pPr>
                  <w:r>
                    <w:rPr>
                      <w:rFonts w:hint="eastAsia" w:ascii="宋体" w:hAnsi="宋体" w:eastAsia="宋体" w:cs="宋体"/>
                      <w:b w:val="0"/>
                      <w:bCs w:val="0"/>
                      <w:i w:val="0"/>
                      <w:iCs w:val="0"/>
                      <w:color w:val="000000"/>
                      <w:sz w:val="21"/>
                      <w:szCs w:val="18"/>
                      <w:lang w:val="en-US" w:eastAsia="zh-CN"/>
                    </w:rPr>
                    <w:t>上料粉尘进行</w:t>
                  </w:r>
                  <w:r>
                    <w:rPr>
                      <w:rFonts w:hint="eastAsia" w:hAnsi="宋体" w:eastAsia="宋体" w:cs="宋体"/>
                      <w:b w:val="0"/>
                      <w:bCs w:val="0"/>
                      <w:i w:val="0"/>
                      <w:iCs w:val="0"/>
                      <w:color w:val="000000"/>
                      <w:sz w:val="21"/>
                      <w:szCs w:val="18"/>
                      <w:lang w:val="en-US" w:eastAsia="zh-CN"/>
                    </w:rPr>
                    <w:t>收集处理</w:t>
                  </w:r>
                </w:p>
              </w:tc>
            </w:tr>
            <w:tr w14:paraId="56F6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40" w:type="pct"/>
                  <w:vMerge w:val="continue"/>
                  <w:noWrap w:val="0"/>
                  <w:vAlign w:val="center"/>
                </w:tcPr>
                <w:p w14:paraId="0ADFE77A">
                  <w:pPr>
                    <w:spacing w:line="276" w:lineRule="auto"/>
                    <w:jc w:val="center"/>
                    <w:rPr>
                      <w:bCs/>
                      <w:szCs w:val="21"/>
                    </w:rPr>
                  </w:pPr>
                </w:p>
              </w:tc>
              <w:tc>
                <w:tcPr>
                  <w:tcW w:w="692" w:type="pct"/>
                  <w:gridSpan w:val="2"/>
                  <w:vMerge w:val="continue"/>
                  <w:noWrap w:val="0"/>
                  <w:vAlign w:val="center"/>
                </w:tcPr>
                <w:p w14:paraId="6B7D7DA5">
                  <w:pPr>
                    <w:spacing w:line="276" w:lineRule="auto"/>
                    <w:jc w:val="center"/>
                    <w:rPr>
                      <w:bCs/>
                      <w:szCs w:val="21"/>
                    </w:rPr>
                  </w:pPr>
                </w:p>
              </w:tc>
              <w:tc>
                <w:tcPr>
                  <w:tcW w:w="1210" w:type="pct"/>
                  <w:noWrap w:val="0"/>
                  <w:vAlign w:val="center"/>
                </w:tcPr>
                <w:p w14:paraId="5A15D1A6">
                  <w:pPr>
                    <w:autoSpaceDE w:val="0"/>
                    <w:autoSpaceDN w:val="0"/>
                    <w:spacing w:line="276" w:lineRule="auto"/>
                    <w:jc w:val="both"/>
                    <w:rPr>
                      <w:bCs/>
                      <w:color w:val="000000"/>
                      <w:szCs w:val="21"/>
                    </w:rPr>
                  </w:pPr>
                  <w:r>
                    <w:rPr>
                      <w:rFonts w:hint="eastAsia"/>
                      <w:bCs/>
                      <w:color w:val="000000"/>
                      <w:szCs w:val="21"/>
                      <w:lang w:val="en-US" w:eastAsia="zh-CN"/>
                    </w:rPr>
                    <w:t>干燥焙烧</w:t>
                  </w:r>
                  <w:r>
                    <w:rPr>
                      <w:bCs/>
                      <w:color w:val="000000"/>
                      <w:szCs w:val="21"/>
                    </w:rPr>
                    <w:t>废气：管道收集+“石灰石-石膏法+湿电除尘”(TA002)+</w:t>
                  </w:r>
                  <w:r>
                    <w:rPr>
                      <w:rFonts w:hint="eastAsia"/>
                      <w:bCs/>
                      <w:color w:val="000000"/>
                      <w:szCs w:val="21"/>
                    </w:rPr>
                    <w:t>35</w:t>
                  </w:r>
                  <w:r>
                    <w:rPr>
                      <w:bCs/>
                      <w:color w:val="000000"/>
                      <w:szCs w:val="21"/>
                    </w:rPr>
                    <w:t>m高排气筒(DA002)</w:t>
                  </w:r>
                  <w:r>
                    <w:rPr>
                      <w:rFonts w:hint="eastAsia"/>
                      <w:bCs/>
                      <w:color w:val="0000FF"/>
                      <w:szCs w:val="21"/>
                      <w:lang w:eastAsia="zh-CN"/>
                    </w:rPr>
                    <w:t>，</w:t>
                  </w:r>
                  <w:r>
                    <w:rPr>
                      <w:rFonts w:hint="eastAsia"/>
                      <w:bCs/>
                      <w:color w:val="0000FF"/>
                      <w:szCs w:val="21"/>
                      <w:lang w:val="en-US" w:eastAsia="zh-CN"/>
                    </w:rPr>
                    <w:t>风机风量220000m</w:t>
                  </w:r>
                  <w:r>
                    <w:rPr>
                      <w:rFonts w:hint="eastAsia"/>
                      <w:bCs/>
                      <w:color w:val="0000FF"/>
                      <w:szCs w:val="21"/>
                      <w:vertAlign w:val="superscript"/>
                      <w:lang w:val="en-US" w:eastAsia="zh-CN"/>
                    </w:rPr>
                    <w:t>3</w:t>
                  </w:r>
                  <w:r>
                    <w:rPr>
                      <w:rFonts w:hint="eastAsia"/>
                      <w:bCs/>
                      <w:color w:val="0000FF"/>
                      <w:szCs w:val="21"/>
                      <w:lang w:val="en-US" w:eastAsia="zh-CN"/>
                    </w:rPr>
                    <w:t>/h，内径2.7m</w:t>
                  </w:r>
                </w:p>
              </w:tc>
              <w:tc>
                <w:tcPr>
                  <w:tcW w:w="886" w:type="pct"/>
                  <w:noWrap w:val="0"/>
                  <w:vAlign w:val="center"/>
                </w:tcPr>
                <w:p w14:paraId="56610281">
                  <w:pPr>
                    <w:autoSpaceDE w:val="0"/>
                    <w:autoSpaceDN w:val="0"/>
                    <w:spacing w:line="276" w:lineRule="auto"/>
                    <w:jc w:val="both"/>
                    <w:rPr>
                      <w:rFonts w:hint="default" w:eastAsia="宋体"/>
                      <w:bCs/>
                      <w:color w:val="000000"/>
                      <w:szCs w:val="21"/>
                      <w:lang w:val="en-US" w:eastAsia="zh-CN"/>
                    </w:rPr>
                  </w:pPr>
                  <w:r>
                    <w:rPr>
                      <w:rFonts w:hint="eastAsia"/>
                      <w:bCs/>
                      <w:color w:val="000000"/>
                      <w:szCs w:val="21"/>
                    </w:rPr>
                    <w:t>采用新型负压排潮技术</w:t>
                  </w:r>
                  <w:r>
                    <w:rPr>
                      <w:rFonts w:hint="eastAsia"/>
                      <w:bCs/>
                      <w:color w:val="000000"/>
                      <w:szCs w:val="21"/>
                      <w:lang w:eastAsia="zh-CN"/>
                    </w:rPr>
                    <w:t>，</w:t>
                  </w:r>
                  <w:r>
                    <w:rPr>
                      <w:rFonts w:hint="eastAsia"/>
                      <w:bCs/>
                      <w:color w:val="000000"/>
                      <w:szCs w:val="21"/>
                      <w:lang w:val="en-US" w:eastAsia="zh-CN"/>
                    </w:rPr>
                    <w:t>避免废气外泄</w:t>
                  </w:r>
                  <w:r>
                    <w:rPr>
                      <w:rFonts w:hint="eastAsia"/>
                      <w:bCs/>
                      <w:color w:val="0000FF"/>
                      <w:szCs w:val="21"/>
                      <w:lang w:val="en-US" w:eastAsia="zh-CN"/>
                    </w:rPr>
                    <w:t>；新增SNCR脱销措施</w:t>
                  </w:r>
                </w:p>
              </w:tc>
              <w:tc>
                <w:tcPr>
                  <w:tcW w:w="1142" w:type="pct"/>
                  <w:noWrap w:val="0"/>
                  <w:vAlign w:val="center"/>
                </w:tcPr>
                <w:p w14:paraId="5B0B18A6">
                  <w:pPr>
                    <w:pStyle w:val="62"/>
                    <w:numPr>
                      <w:ilvl w:val="0"/>
                      <w:numId w:val="0"/>
                    </w:numPr>
                    <w:adjustRightInd/>
                    <w:spacing w:line="276" w:lineRule="auto"/>
                    <w:jc w:val="both"/>
                    <w:rPr>
                      <w:rFonts w:ascii="Times New Roman" w:hAnsi="Times New Roman" w:eastAsia="宋体" w:cs="Times New Roman"/>
                      <w:b w:val="0"/>
                      <w:color w:val="000000"/>
                      <w:sz w:val="21"/>
                      <w:szCs w:val="21"/>
                    </w:rPr>
                  </w:pPr>
                  <w:r>
                    <w:rPr>
                      <w:rFonts w:hint="eastAsia" w:ascii="Times New Roman" w:hAnsi="Times New Roman" w:eastAsia="宋体" w:cs="Times New Roman"/>
                      <w:b w:val="0"/>
                      <w:color w:val="000000"/>
                      <w:sz w:val="21"/>
                      <w:szCs w:val="21"/>
                      <w:lang w:val="en-US" w:eastAsia="zh-CN"/>
                    </w:rPr>
                    <w:t>干燥焙烧</w:t>
                  </w:r>
                  <w:r>
                    <w:rPr>
                      <w:rFonts w:ascii="Times New Roman" w:hAnsi="Times New Roman" w:eastAsia="宋体" w:cs="Times New Roman"/>
                      <w:b w:val="0"/>
                      <w:color w:val="000000"/>
                      <w:sz w:val="21"/>
                      <w:szCs w:val="21"/>
                    </w:rPr>
                    <w:t>废气：</w:t>
                  </w:r>
                  <w:r>
                    <w:rPr>
                      <w:rFonts w:hint="eastAsia" w:ascii="Times New Roman" w:hAnsi="Times New Roman" w:eastAsia="宋体" w:cs="Times New Roman"/>
                      <w:b w:val="0"/>
                      <w:color w:val="000000"/>
                      <w:sz w:val="21"/>
                      <w:szCs w:val="21"/>
                      <w:lang w:val="en-US" w:eastAsia="zh-CN"/>
                    </w:rPr>
                    <w:t>负压排潮</w:t>
                  </w:r>
                  <w:r>
                    <w:rPr>
                      <w:rFonts w:ascii="Times New Roman" w:hAnsi="Times New Roman" w:eastAsia="宋体" w:cs="Times New Roman"/>
                      <w:b w:val="0"/>
                      <w:color w:val="000000"/>
                      <w:sz w:val="21"/>
                      <w:szCs w:val="21"/>
                    </w:rPr>
                    <w:t>+“</w:t>
                  </w:r>
                  <w:r>
                    <w:rPr>
                      <w:rFonts w:hint="eastAsia" w:ascii="Times New Roman" w:hAnsi="Times New Roman" w:eastAsia="宋体" w:cs="Times New Roman"/>
                      <w:b w:val="0"/>
                      <w:color w:val="000000"/>
                      <w:sz w:val="21"/>
                      <w:szCs w:val="21"/>
                      <w:lang w:val="en-US" w:eastAsia="zh-CN"/>
                    </w:rPr>
                    <w:t>SNCR+</w:t>
                  </w:r>
                  <w:r>
                    <w:rPr>
                      <w:rFonts w:ascii="Times New Roman" w:hAnsi="Times New Roman" w:eastAsia="宋体" w:cs="Times New Roman"/>
                      <w:b w:val="0"/>
                      <w:color w:val="000000"/>
                      <w:sz w:val="21"/>
                      <w:szCs w:val="21"/>
                    </w:rPr>
                    <w:t>石灰石—石膏法+湿电除尘)”(TA002)+</w:t>
                  </w:r>
                  <w:r>
                    <w:rPr>
                      <w:rFonts w:hint="eastAsia" w:ascii="Times New Roman" w:hAnsi="Times New Roman" w:eastAsia="宋体" w:cs="Times New Roman"/>
                      <w:b w:val="0"/>
                      <w:color w:val="000000"/>
                      <w:sz w:val="21"/>
                      <w:szCs w:val="21"/>
                    </w:rPr>
                    <w:t>35</w:t>
                  </w:r>
                  <w:r>
                    <w:rPr>
                      <w:rFonts w:ascii="Times New Roman" w:hAnsi="Times New Roman" w:eastAsia="宋体" w:cs="Times New Roman"/>
                      <w:b w:val="0"/>
                      <w:color w:val="000000"/>
                      <w:sz w:val="21"/>
                      <w:szCs w:val="21"/>
                    </w:rPr>
                    <w:t>m高排气筒(DA002)</w:t>
                  </w:r>
                  <w:r>
                    <w:rPr>
                      <w:rFonts w:hint="default" w:ascii="Times New Roman" w:hAnsi="Times New Roman" w:eastAsia="宋体" w:cs="Times New Roman"/>
                      <w:bCs/>
                      <w:color w:val="0000FF"/>
                      <w:szCs w:val="21"/>
                      <w:lang w:eastAsia="zh-CN"/>
                    </w:rPr>
                    <w:t>，</w:t>
                  </w:r>
                  <w:r>
                    <w:rPr>
                      <w:rFonts w:hint="default" w:ascii="Times New Roman" w:hAnsi="Times New Roman" w:eastAsia="宋体" w:cs="Times New Roman"/>
                      <w:bCs/>
                      <w:color w:val="0000FF"/>
                      <w:sz w:val="21"/>
                      <w:szCs w:val="18"/>
                      <w:lang w:val="en-US" w:eastAsia="zh-CN"/>
                    </w:rPr>
                    <w:t>风机风量220000m</w:t>
                  </w:r>
                  <w:r>
                    <w:rPr>
                      <w:rFonts w:hint="default" w:ascii="Times New Roman" w:hAnsi="Times New Roman" w:eastAsia="宋体" w:cs="Times New Roman"/>
                      <w:bCs/>
                      <w:color w:val="0000FF"/>
                      <w:sz w:val="21"/>
                      <w:szCs w:val="18"/>
                      <w:vertAlign w:val="superscript"/>
                      <w:lang w:val="en-US" w:eastAsia="zh-CN"/>
                    </w:rPr>
                    <w:t>3</w:t>
                  </w:r>
                  <w:r>
                    <w:rPr>
                      <w:rFonts w:hint="default" w:ascii="Times New Roman" w:hAnsi="Times New Roman" w:eastAsia="宋体" w:cs="Times New Roman"/>
                      <w:bCs/>
                      <w:color w:val="0000FF"/>
                      <w:sz w:val="21"/>
                      <w:szCs w:val="18"/>
                      <w:lang w:val="en-US" w:eastAsia="zh-CN"/>
                    </w:rPr>
                    <w:t>/h，内径</w:t>
                  </w:r>
                  <w:r>
                    <w:rPr>
                      <w:rFonts w:hint="eastAsia" w:ascii="Times New Roman" w:hAnsi="Times New Roman" w:eastAsia="宋体" w:cs="Times New Roman"/>
                      <w:bCs/>
                      <w:color w:val="0000FF"/>
                      <w:sz w:val="21"/>
                      <w:szCs w:val="18"/>
                      <w:lang w:val="en-US" w:eastAsia="zh-CN"/>
                    </w:rPr>
                    <w:t>3</w:t>
                  </w:r>
                  <w:r>
                    <w:rPr>
                      <w:rFonts w:hint="default" w:ascii="Times New Roman" w:hAnsi="Times New Roman" w:eastAsia="宋体" w:cs="Times New Roman"/>
                      <w:bCs/>
                      <w:color w:val="0000FF"/>
                      <w:sz w:val="21"/>
                      <w:szCs w:val="18"/>
                      <w:lang w:val="en-US" w:eastAsia="zh-CN"/>
                    </w:rPr>
                    <w:t>m</w:t>
                  </w:r>
                </w:p>
              </w:tc>
              <w:tc>
                <w:tcPr>
                  <w:tcW w:w="827" w:type="pct"/>
                  <w:noWrap w:val="0"/>
                  <w:vAlign w:val="center"/>
                </w:tcPr>
                <w:p w14:paraId="49DE3F57">
                  <w:pPr>
                    <w:jc w:val="both"/>
                    <w:rPr>
                      <w:rFonts w:hint="default" w:eastAsia="宋体"/>
                      <w:bCs/>
                      <w:color w:val="000000"/>
                      <w:lang w:val="en-US" w:eastAsia="zh-CN"/>
                    </w:rPr>
                  </w:pPr>
                  <w:r>
                    <w:rPr>
                      <w:rFonts w:hint="eastAsia"/>
                      <w:bCs/>
                      <w:color w:val="000000"/>
                    </w:rPr>
                    <w:t>升级</w:t>
                  </w:r>
                  <w:r>
                    <w:rPr>
                      <w:rFonts w:hint="eastAsia"/>
                      <w:bCs/>
                      <w:color w:val="000000"/>
                      <w:lang w:val="en-US" w:eastAsia="zh-CN"/>
                    </w:rPr>
                    <w:t>收集方式</w:t>
                  </w:r>
                  <w:r>
                    <w:rPr>
                      <w:rFonts w:hint="eastAsia"/>
                      <w:bCs/>
                      <w:color w:val="0000FF"/>
                      <w:szCs w:val="21"/>
                      <w:lang w:val="en-US" w:eastAsia="zh-CN"/>
                    </w:rPr>
                    <w:t>；新增SNCR脱销措施</w:t>
                  </w:r>
                </w:p>
              </w:tc>
            </w:tr>
            <w:tr w14:paraId="65E0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226C0C2B">
                  <w:pPr>
                    <w:spacing w:line="276" w:lineRule="auto"/>
                    <w:jc w:val="center"/>
                    <w:rPr>
                      <w:bCs/>
                      <w:szCs w:val="21"/>
                    </w:rPr>
                  </w:pPr>
                </w:p>
              </w:tc>
              <w:tc>
                <w:tcPr>
                  <w:tcW w:w="692" w:type="pct"/>
                  <w:gridSpan w:val="2"/>
                  <w:noWrap w:val="0"/>
                  <w:vAlign w:val="center"/>
                </w:tcPr>
                <w:p w14:paraId="5866A309">
                  <w:pPr>
                    <w:pStyle w:val="62"/>
                    <w:numPr>
                      <w:ilvl w:val="0"/>
                      <w:numId w:val="0"/>
                    </w:numPr>
                    <w:adjustRightInd/>
                    <w:spacing w:line="276" w:lineRule="auto"/>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废水</w:t>
                  </w:r>
                </w:p>
              </w:tc>
              <w:tc>
                <w:tcPr>
                  <w:tcW w:w="1210" w:type="pct"/>
                  <w:noWrap w:val="0"/>
                  <w:vAlign w:val="center"/>
                </w:tcPr>
                <w:p w14:paraId="6C55B247">
                  <w:pPr>
                    <w:spacing w:line="276" w:lineRule="auto"/>
                    <w:jc w:val="both"/>
                    <w:rPr>
                      <w:bCs/>
                      <w:color w:val="000000"/>
                      <w:szCs w:val="21"/>
                    </w:rPr>
                  </w:pPr>
                  <w:r>
                    <w:rPr>
                      <w:bCs/>
                      <w:color w:val="000000"/>
                      <w:szCs w:val="21"/>
                    </w:rPr>
                    <w:t>雨污分流，雨水排至初期雨水收集池</w:t>
                  </w:r>
                  <w:r>
                    <w:rPr>
                      <w:rFonts w:hint="eastAsia"/>
                      <w:bCs/>
                      <w:color w:val="000000"/>
                      <w:szCs w:val="21"/>
                      <w:lang w:eastAsia="zh-CN"/>
                    </w:rPr>
                    <w:t>（</w:t>
                  </w:r>
                  <w:r>
                    <w:rPr>
                      <w:rFonts w:hint="eastAsia"/>
                      <w:bCs/>
                      <w:color w:val="000000"/>
                      <w:szCs w:val="21"/>
                      <w:lang w:val="en-US" w:eastAsia="zh-CN"/>
                    </w:rPr>
                    <w:t>10.5×4.5×2m</w:t>
                  </w:r>
                  <w:r>
                    <w:rPr>
                      <w:rFonts w:hint="eastAsia"/>
                      <w:bCs/>
                      <w:color w:val="000000"/>
                      <w:szCs w:val="21"/>
                      <w:lang w:eastAsia="zh-CN"/>
                    </w:rPr>
                    <w:t>）</w:t>
                  </w:r>
                  <w:r>
                    <w:rPr>
                      <w:bCs/>
                      <w:color w:val="000000"/>
                      <w:szCs w:val="21"/>
                    </w:rPr>
                    <w:t>，</w:t>
                  </w:r>
                  <w:r>
                    <w:rPr>
                      <w:rFonts w:hint="eastAsia"/>
                      <w:bCs/>
                      <w:color w:val="000000"/>
                      <w:szCs w:val="21"/>
                      <w:lang w:val="en-US" w:eastAsia="zh-CN"/>
                    </w:rPr>
                    <w:t>收集雨水</w:t>
                  </w:r>
                  <w:r>
                    <w:rPr>
                      <w:bCs/>
                      <w:color w:val="000000"/>
                      <w:szCs w:val="21"/>
                    </w:rPr>
                    <w:t>回用于原料搅拌；</w:t>
                  </w:r>
                  <w:r>
                    <w:rPr>
                      <w:bCs/>
                      <w:color w:val="000000"/>
                      <w:szCs w:val="21"/>
                      <w:highlight w:val="none"/>
                    </w:rPr>
                    <w:t>生活污水经化粪池</w:t>
                  </w:r>
                  <w:r>
                    <w:rPr>
                      <w:rFonts w:hint="eastAsia"/>
                      <w:bCs/>
                      <w:color w:val="000000"/>
                      <w:szCs w:val="21"/>
                      <w:highlight w:val="none"/>
                      <w:lang w:val="en-US" w:eastAsia="zh-CN"/>
                    </w:rPr>
                    <w:t>收集后定期清掏</w:t>
                  </w:r>
                </w:p>
              </w:tc>
              <w:tc>
                <w:tcPr>
                  <w:tcW w:w="886" w:type="pct"/>
                  <w:noWrap w:val="0"/>
                  <w:vAlign w:val="center"/>
                </w:tcPr>
                <w:p w14:paraId="1B7515E0">
                  <w:pPr>
                    <w:spacing w:line="276" w:lineRule="auto"/>
                    <w:jc w:val="both"/>
                    <w:rPr>
                      <w:bCs/>
                      <w:color w:val="000000"/>
                      <w:szCs w:val="21"/>
                    </w:rPr>
                  </w:pPr>
                  <w:r>
                    <w:rPr>
                      <w:bCs/>
                      <w:color w:val="000000"/>
                      <w:szCs w:val="21"/>
                    </w:rPr>
                    <w:t>新增车辆清洗废水，</w:t>
                  </w:r>
                  <w:r>
                    <w:rPr>
                      <w:rFonts w:hint="eastAsia"/>
                      <w:bCs/>
                      <w:color w:val="000000"/>
                      <w:szCs w:val="21"/>
                    </w:rPr>
                    <w:t>经</w:t>
                  </w:r>
                  <w:r>
                    <w:rPr>
                      <w:bCs/>
                      <w:color w:val="000000"/>
                      <w:szCs w:val="21"/>
                    </w:rPr>
                    <w:t>沉淀池</w:t>
                  </w:r>
                  <w:r>
                    <w:rPr>
                      <w:rFonts w:hint="eastAsia"/>
                      <w:bCs/>
                      <w:color w:val="000000"/>
                      <w:szCs w:val="21"/>
                      <w:lang w:eastAsia="zh-CN"/>
                    </w:rPr>
                    <w:t>（</w:t>
                  </w:r>
                  <w:r>
                    <w:rPr>
                      <w:rFonts w:hint="eastAsia"/>
                      <w:bCs/>
                      <w:color w:val="000000"/>
                      <w:szCs w:val="21"/>
                      <w:lang w:val="en-US" w:eastAsia="zh-CN"/>
                    </w:rPr>
                    <w:t>8×3×2m</w:t>
                  </w:r>
                  <w:r>
                    <w:rPr>
                      <w:rFonts w:hint="eastAsia"/>
                      <w:bCs/>
                      <w:color w:val="000000"/>
                      <w:szCs w:val="21"/>
                      <w:lang w:eastAsia="zh-CN"/>
                    </w:rPr>
                    <w:t>）</w:t>
                  </w:r>
                  <w:r>
                    <w:rPr>
                      <w:bCs/>
                      <w:color w:val="000000"/>
                      <w:szCs w:val="21"/>
                    </w:rPr>
                    <w:t>沉淀后，回用于车辆清洗</w:t>
                  </w:r>
                </w:p>
              </w:tc>
              <w:tc>
                <w:tcPr>
                  <w:tcW w:w="1142" w:type="pct"/>
                  <w:noWrap w:val="0"/>
                  <w:vAlign w:val="center"/>
                </w:tcPr>
                <w:p w14:paraId="525E6FC6">
                  <w:pPr>
                    <w:spacing w:line="276" w:lineRule="auto"/>
                    <w:jc w:val="both"/>
                    <w:rPr>
                      <w:bCs/>
                      <w:color w:val="000000"/>
                      <w:szCs w:val="21"/>
                    </w:rPr>
                  </w:pPr>
                  <w:r>
                    <w:rPr>
                      <w:bCs/>
                      <w:color w:val="000000"/>
                      <w:szCs w:val="21"/>
                    </w:rPr>
                    <w:t>雨污分流，雨水排至初期雨水收集池</w:t>
                  </w:r>
                  <w:r>
                    <w:rPr>
                      <w:rFonts w:hint="eastAsia"/>
                      <w:bCs/>
                      <w:color w:val="000000"/>
                      <w:szCs w:val="21"/>
                      <w:lang w:eastAsia="zh-CN"/>
                    </w:rPr>
                    <w:t>（</w:t>
                  </w:r>
                  <w:r>
                    <w:rPr>
                      <w:rFonts w:hint="eastAsia"/>
                      <w:bCs/>
                      <w:color w:val="000000"/>
                      <w:szCs w:val="21"/>
                      <w:lang w:val="en-US" w:eastAsia="zh-CN"/>
                    </w:rPr>
                    <w:t>10.5×4.5×2m</w:t>
                  </w:r>
                  <w:r>
                    <w:rPr>
                      <w:rFonts w:hint="eastAsia"/>
                      <w:bCs/>
                      <w:color w:val="000000"/>
                      <w:szCs w:val="21"/>
                      <w:lang w:eastAsia="zh-CN"/>
                    </w:rPr>
                    <w:t>）</w:t>
                  </w:r>
                  <w:r>
                    <w:rPr>
                      <w:bCs/>
                      <w:color w:val="000000"/>
                      <w:szCs w:val="21"/>
                    </w:rPr>
                    <w:t>，</w:t>
                  </w:r>
                  <w:r>
                    <w:rPr>
                      <w:rFonts w:hint="eastAsia"/>
                      <w:bCs/>
                      <w:color w:val="000000"/>
                      <w:szCs w:val="21"/>
                      <w:lang w:val="en-US" w:eastAsia="zh-CN"/>
                    </w:rPr>
                    <w:t>收集雨水</w:t>
                  </w:r>
                  <w:r>
                    <w:rPr>
                      <w:bCs/>
                      <w:color w:val="000000"/>
                      <w:szCs w:val="21"/>
                    </w:rPr>
                    <w:t>回用于原料搅拌；车辆清洗</w:t>
                  </w:r>
                  <w:r>
                    <w:rPr>
                      <w:rFonts w:hint="eastAsia"/>
                      <w:bCs/>
                      <w:color w:val="000000"/>
                      <w:szCs w:val="21"/>
                      <w:lang w:val="en-US" w:eastAsia="zh-CN"/>
                    </w:rPr>
                    <w:t>等</w:t>
                  </w:r>
                  <w:r>
                    <w:rPr>
                      <w:bCs/>
                      <w:color w:val="000000"/>
                      <w:szCs w:val="21"/>
                    </w:rPr>
                    <w:t>废水，</w:t>
                  </w:r>
                  <w:r>
                    <w:rPr>
                      <w:rFonts w:hint="eastAsia"/>
                      <w:bCs/>
                      <w:color w:val="000000"/>
                      <w:szCs w:val="21"/>
                    </w:rPr>
                    <w:t>经</w:t>
                  </w:r>
                  <w:r>
                    <w:rPr>
                      <w:bCs/>
                      <w:color w:val="000000"/>
                      <w:szCs w:val="21"/>
                    </w:rPr>
                    <w:t>沉淀池</w:t>
                  </w:r>
                  <w:r>
                    <w:rPr>
                      <w:rFonts w:hint="eastAsia"/>
                      <w:bCs/>
                      <w:color w:val="000000"/>
                      <w:szCs w:val="21"/>
                      <w:lang w:eastAsia="zh-CN"/>
                    </w:rPr>
                    <w:t>（</w:t>
                  </w:r>
                  <w:r>
                    <w:rPr>
                      <w:rFonts w:hint="eastAsia"/>
                      <w:bCs/>
                      <w:color w:val="000000"/>
                      <w:szCs w:val="21"/>
                      <w:lang w:val="en-US" w:eastAsia="zh-CN"/>
                    </w:rPr>
                    <w:t>8×3×2m</w:t>
                  </w:r>
                  <w:r>
                    <w:rPr>
                      <w:rFonts w:hint="eastAsia"/>
                      <w:bCs/>
                      <w:color w:val="000000"/>
                      <w:szCs w:val="21"/>
                      <w:lang w:eastAsia="zh-CN"/>
                    </w:rPr>
                    <w:t>）</w:t>
                  </w:r>
                  <w:r>
                    <w:rPr>
                      <w:bCs/>
                      <w:color w:val="000000"/>
                      <w:szCs w:val="21"/>
                    </w:rPr>
                    <w:t>沉淀后回用</w:t>
                  </w:r>
                  <w:r>
                    <w:rPr>
                      <w:rFonts w:hint="eastAsia"/>
                      <w:bCs/>
                      <w:color w:val="000000"/>
                      <w:szCs w:val="21"/>
                      <w:lang w:eastAsia="zh-CN"/>
                    </w:rPr>
                    <w:t>；</w:t>
                  </w:r>
                  <w:r>
                    <w:rPr>
                      <w:bCs/>
                      <w:color w:val="000000"/>
                      <w:szCs w:val="21"/>
                      <w:highlight w:val="none"/>
                    </w:rPr>
                    <w:t>生活污水经化粪池</w:t>
                  </w:r>
                  <w:r>
                    <w:rPr>
                      <w:rFonts w:hint="eastAsia"/>
                      <w:bCs/>
                      <w:color w:val="000000"/>
                      <w:szCs w:val="21"/>
                      <w:highlight w:val="none"/>
                      <w:lang w:val="en-US" w:eastAsia="zh-CN"/>
                    </w:rPr>
                    <w:t>收集后定期清掏</w:t>
                  </w:r>
                </w:p>
              </w:tc>
              <w:tc>
                <w:tcPr>
                  <w:tcW w:w="827" w:type="pct"/>
                  <w:noWrap w:val="0"/>
                  <w:vAlign w:val="center"/>
                </w:tcPr>
                <w:p w14:paraId="1C7AA70A">
                  <w:pPr>
                    <w:spacing w:line="276" w:lineRule="auto"/>
                    <w:jc w:val="center"/>
                    <w:rPr>
                      <w:bCs/>
                      <w:szCs w:val="21"/>
                    </w:rPr>
                  </w:pPr>
                  <w:r>
                    <w:rPr>
                      <w:rFonts w:hint="eastAsia"/>
                      <w:bCs/>
                      <w:szCs w:val="21"/>
                    </w:rPr>
                    <w:t>/</w:t>
                  </w:r>
                </w:p>
              </w:tc>
            </w:tr>
            <w:tr w14:paraId="25A6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39F84CE9">
                  <w:pPr>
                    <w:spacing w:line="276" w:lineRule="auto"/>
                    <w:jc w:val="center"/>
                    <w:rPr>
                      <w:bCs/>
                      <w:szCs w:val="21"/>
                    </w:rPr>
                  </w:pPr>
                </w:p>
              </w:tc>
              <w:tc>
                <w:tcPr>
                  <w:tcW w:w="692" w:type="pct"/>
                  <w:gridSpan w:val="2"/>
                  <w:noWrap w:val="0"/>
                  <w:vAlign w:val="center"/>
                </w:tcPr>
                <w:p w14:paraId="18E5E747">
                  <w:pPr>
                    <w:pStyle w:val="62"/>
                    <w:numPr>
                      <w:ilvl w:val="0"/>
                      <w:numId w:val="0"/>
                    </w:numPr>
                    <w:adjustRightInd/>
                    <w:spacing w:line="276" w:lineRule="auto"/>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噪声</w:t>
                  </w:r>
                </w:p>
              </w:tc>
              <w:tc>
                <w:tcPr>
                  <w:tcW w:w="1210" w:type="pct"/>
                  <w:noWrap w:val="0"/>
                  <w:vAlign w:val="center"/>
                </w:tcPr>
                <w:p w14:paraId="03826FFA">
                  <w:pPr>
                    <w:pStyle w:val="62"/>
                    <w:numPr>
                      <w:ilvl w:val="0"/>
                      <w:numId w:val="0"/>
                    </w:numPr>
                    <w:adjustRightInd/>
                    <w:spacing w:line="276" w:lineRule="auto"/>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产噪设备采取消声、减振、隔声等措施</w:t>
                  </w:r>
                </w:p>
              </w:tc>
              <w:tc>
                <w:tcPr>
                  <w:tcW w:w="886" w:type="pct"/>
                  <w:noWrap w:val="0"/>
                  <w:vAlign w:val="center"/>
                </w:tcPr>
                <w:p w14:paraId="120FF52B">
                  <w:pPr>
                    <w:pStyle w:val="62"/>
                    <w:numPr>
                      <w:ilvl w:val="0"/>
                      <w:numId w:val="0"/>
                    </w:numPr>
                    <w:adjustRightInd/>
                    <w:spacing w:line="276" w:lineRule="auto"/>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新增产噪设备采取消声、减振、隔声等措施，调整的窑炉废气风机加强消声、减振等措施</w:t>
                  </w:r>
                </w:p>
              </w:tc>
              <w:tc>
                <w:tcPr>
                  <w:tcW w:w="1142" w:type="pct"/>
                  <w:noWrap w:val="0"/>
                  <w:vAlign w:val="center"/>
                </w:tcPr>
                <w:p w14:paraId="15E63768">
                  <w:pPr>
                    <w:pStyle w:val="62"/>
                    <w:numPr>
                      <w:ilvl w:val="0"/>
                      <w:numId w:val="0"/>
                    </w:numPr>
                    <w:adjustRightInd/>
                    <w:spacing w:line="276" w:lineRule="auto"/>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产噪设备采取消声、减振、隔声等措施</w:t>
                  </w:r>
                </w:p>
              </w:tc>
              <w:tc>
                <w:tcPr>
                  <w:tcW w:w="827" w:type="pct"/>
                  <w:noWrap w:val="0"/>
                  <w:vAlign w:val="center"/>
                </w:tcPr>
                <w:p w14:paraId="2BC45CE3">
                  <w:pPr>
                    <w:pStyle w:val="62"/>
                    <w:numPr>
                      <w:ilvl w:val="0"/>
                      <w:numId w:val="0"/>
                    </w:numPr>
                    <w:adjustRightInd/>
                    <w:spacing w:line="276" w:lineRule="auto"/>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新增产噪设备采取消声、减振、隔声等措施，调整的窑炉废气风机加强消声、减振等措施，其余设备减噪设施依托现有</w:t>
                  </w:r>
                </w:p>
              </w:tc>
            </w:tr>
            <w:tr w14:paraId="77DF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40" w:type="pct"/>
                  <w:vMerge w:val="continue"/>
                  <w:noWrap w:val="0"/>
                  <w:vAlign w:val="center"/>
                </w:tcPr>
                <w:p w14:paraId="549B9E81">
                  <w:pPr>
                    <w:spacing w:line="276" w:lineRule="auto"/>
                    <w:jc w:val="center"/>
                    <w:rPr>
                      <w:bCs/>
                      <w:szCs w:val="21"/>
                    </w:rPr>
                  </w:pPr>
                </w:p>
              </w:tc>
              <w:tc>
                <w:tcPr>
                  <w:tcW w:w="252" w:type="pct"/>
                  <w:vMerge w:val="restart"/>
                  <w:noWrap w:val="0"/>
                  <w:vAlign w:val="center"/>
                </w:tcPr>
                <w:p w14:paraId="3575A7C6">
                  <w:pPr>
                    <w:spacing w:line="276" w:lineRule="auto"/>
                    <w:jc w:val="center"/>
                    <w:rPr>
                      <w:bCs/>
                      <w:szCs w:val="21"/>
                    </w:rPr>
                  </w:pPr>
                  <w:r>
                    <w:rPr>
                      <w:bCs/>
                      <w:szCs w:val="21"/>
                    </w:rPr>
                    <w:t>固废</w:t>
                  </w:r>
                </w:p>
              </w:tc>
              <w:tc>
                <w:tcPr>
                  <w:tcW w:w="440" w:type="pct"/>
                  <w:noWrap w:val="0"/>
                  <w:vAlign w:val="center"/>
                </w:tcPr>
                <w:p w14:paraId="3C41E424">
                  <w:pPr>
                    <w:spacing w:line="276" w:lineRule="auto"/>
                    <w:jc w:val="center"/>
                    <w:rPr>
                      <w:bCs/>
                      <w:szCs w:val="21"/>
                    </w:rPr>
                  </w:pPr>
                  <w:r>
                    <w:rPr>
                      <w:bCs/>
                      <w:szCs w:val="21"/>
                    </w:rPr>
                    <w:t>一般工业固体废物</w:t>
                  </w:r>
                </w:p>
              </w:tc>
              <w:tc>
                <w:tcPr>
                  <w:tcW w:w="1210" w:type="pct"/>
                  <w:noWrap w:val="0"/>
                  <w:vAlign w:val="center"/>
                </w:tcPr>
                <w:p w14:paraId="4323B609">
                  <w:pPr>
                    <w:pStyle w:val="62"/>
                    <w:numPr>
                      <w:ilvl w:val="0"/>
                      <w:numId w:val="0"/>
                    </w:numPr>
                    <w:spacing w:line="276" w:lineRule="auto"/>
                    <w:rPr>
                      <w:rFonts w:ascii="Times New Roman" w:hAnsi="Times New Roman" w:eastAsia="宋体" w:cs="Times New Roman"/>
                      <w:b w:val="0"/>
                      <w:color w:val="auto"/>
                      <w:kern w:val="2"/>
                      <w:sz w:val="21"/>
                      <w:szCs w:val="21"/>
                    </w:rPr>
                  </w:pPr>
                  <w:r>
                    <w:rPr>
                      <w:rFonts w:ascii="Times New Roman" w:hAnsi="Times New Roman" w:eastAsia="宋体" w:cs="Times New Roman"/>
                      <w:b w:val="0"/>
                      <w:color w:val="auto"/>
                      <w:kern w:val="2"/>
                      <w:sz w:val="21"/>
                      <w:szCs w:val="21"/>
                    </w:rPr>
                    <w:t>一般工业固体废物暂存间位于厂房</w:t>
                  </w:r>
                  <w:r>
                    <w:rPr>
                      <w:rFonts w:hint="eastAsia" w:ascii="Times New Roman" w:hAnsi="Times New Roman" w:eastAsia="宋体" w:cs="Times New Roman"/>
                      <w:b w:val="0"/>
                      <w:color w:val="auto"/>
                      <w:kern w:val="2"/>
                      <w:sz w:val="21"/>
                      <w:szCs w:val="21"/>
                    </w:rPr>
                    <w:t>东北部</w:t>
                  </w:r>
                  <w:r>
                    <w:rPr>
                      <w:rFonts w:ascii="Times New Roman" w:hAnsi="Times New Roman" w:eastAsia="宋体" w:cs="Times New Roman"/>
                      <w:b w:val="0"/>
                      <w:color w:val="auto"/>
                      <w:kern w:val="2"/>
                      <w:sz w:val="21"/>
                      <w:szCs w:val="21"/>
                    </w:rPr>
                    <w:t>，占地面积20m</w:t>
                  </w:r>
                  <w:r>
                    <w:rPr>
                      <w:rFonts w:ascii="Times New Roman" w:hAnsi="Times New Roman" w:eastAsia="宋体" w:cs="Times New Roman"/>
                      <w:b w:val="0"/>
                      <w:color w:val="auto"/>
                      <w:kern w:val="2"/>
                      <w:sz w:val="21"/>
                      <w:szCs w:val="21"/>
                      <w:vertAlign w:val="superscript"/>
                    </w:rPr>
                    <w:t>2</w:t>
                  </w:r>
                  <w:r>
                    <w:rPr>
                      <w:rFonts w:ascii="Times New Roman" w:hAnsi="Times New Roman" w:eastAsia="宋体" w:cs="Times New Roman"/>
                      <w:b w:val="0"/>
                      <w:color w:val="auto"/>
                      <w:kern w:val="2"/>
                      <w:sz w:val="21"/>
                      <w:szCs w:val="21"/>
                    </w:rPr>
                    <w:t>，主要暂存磁选废物和废布袋，收集后外售综合利用</w:t>
                  </w:r>
                </w:p>
              </w:tc>
              <w:tc>
                <w:tcPr>
                  <w:tcW w:w="886" w:type="pct"/>
                  <w:noWrap w:val="0"/>
                  <w:vAlign w:val="center"/>
                </w:tcPr>
                <w:p w14:paraId="56EE5FC5">
                  <w:pPr>
                    <w:pStyle w:val="62"/>
                    <w:numPr>
                      <w:ilvl w:val="0"/>
                      <w:numId w:val="0"/>
                    </w:numPr>
                    <w:spacing w:line="276" w:lineRule="auto"/>
                    <w:rPr>
                      <w:rFonts w:hint="default" w:ascii="Times New Roman" w:hAnsi="Times New Roman" w:eastAsia="宋体" w:cs="Times New Roman"/>
                      <w:b w:val="0"/>
                      <w:color w:val="auto"/>
                      <w:kern w:val="2"/>
                      <w:sz w:val="21"/>
                      <w:szCs w:val="21"/>
                      <w:lang w:val="en-US" w:eastAsia="zh-CN"/>
                    </w:rPr>
                  </w:pPr>
                  <w:r>
                    <w:rPr>
                      <w:rFonts w:ascii="Times New Roman" w:hAnsi="Times New Roman" w:eastAsia="宋体" w:cs="Times New Roman"/>
                      <w:b w:val="0"/>
                      <w:color w:val="auto"/>
                      <w:kern w:val="2"/>
                      <w:sz w:val="21"/>
                      <w:szCs w:val="21"/>
                    </w:rPr>
                    <w:t>新增一般工业固体废物磁选废物和废布袋</w:t>
                  </w:r>
                  <w:r>
                    <w:rPr>
                      <w:rFonts w:hint="eastAsia" w:ascii="Times New Roman" w:hAnsi="Times New Roman" w:eastAsia="宋体" w:cs="Times New Roman"/>
                      <w:b w:val="0"/>
                      <w:color w:val="auto"/>
                      <w:kern w:val="2"/>
                      <w:sz w:val="21"/>
                      <w:szCs w:val="21"/>
                      <w:lang w:val="en-US" w:eastAsia="zh-CN"/>
                    </w:rPr>
                    <w:t>等产生量，</w:t>
                  </w:r>
                  <w:r>
                    <w:rPr>
                      <w:rFonts w:ascii="Times New Roman" w:hAnsi="Times New Roman" w:eastAsia="宋体" w:cs="Times New Roman"/>
                      <w:b w:val="0"/>
                      <w:color w:val="auto"/>
                      <w:kern w:val="2"/>
                      <w:sz w:val="21"/>
                      <w:szCs w:val="21"/>
                    </w:rPr>
                    <w:t>依托现有</w:t>
                  </w:r>
                  <w:r>
                    <w:rPr>
                      <w:rFonts w:hint="eastAsia" w:ascii="Times New Roman" w:hAnsi="Times New Roman" w:eastAsia="宋体" w:cs="Times New Roman"/>
                      <w:b w:val="0"/>
                      <w:color w:val="auto"/>
                      <w:kern w:val="2"/>
                      <w:sz w:val="21"/>
                      <w:szCs w:val="21"/>
                      <w:lang w:val="en-US" w:eastAsia="zh-CN"/>
                    </w:rPr>
                    <w:t>措施处理处置</w:t>
                  </w:r>
                </w:p>
              </w:tc>
              <w:tc>
                <w:tcPr>
                  <w:tcW w:w="1142" w:type="pct"/>
                  <w:noWrap w:val="0"/>
                  <w:vAlign w:val="center"/>
                </w:tcPr>
                <w:p w14:paraId="0322D697">
                  <w:pPr>
                    <w:pStyle w:val="62"/>
                    <w:numPr>
                      <w:ilvl w:val="0"/>
                      <w:numId w:val="0"/>
                    </w:numPr>
                    <w:adjustRightInd/>
                    <w:spacing w:line="276" w:lineRule="auto"/>
                    <w:rPr>
                      <w:rFonts w:ascii="Times New Roman" w:hAnsi="Times New Roman" w:eastAsia="宋体" w:cs="Times New Roman"/>
                      <w:b w:val="0"/>
                      <w:color w:val="auto"/>
                      <w:sz w:val="21"/>
                      <w:szCs w:val="21"/>
                    </w:rPr>
                  </w:pPr>
                  <w:r>
                    <w:rPr>
                      <w:rFonts w:ascii="Times New Roman" w:hAnsi="Times New Roman" w:eastAsia="宋体" w:cs="Times New Roman"/>
                      <w:b w:val="0"/>
                      <w:color w:val="auto"/>
                      <w:kern w:val="2"/>
                      <w:sz w:val="21"/>
                      <w:szCs w:val="21"/>
                    </w:rPr>
                    <w:t>一般工业固体废物暂存间位于厂房</w:t>
                  </w:r>
                  <w:r>
                    <w:rPr>
                      <w:rFonts w:hint="eastAsia" w:ascii="Times New Roman" w:hAnsi="Times New Roman" w:eastAsia="宋体" w:cs="Times New Roman"/>
                      <w:b w:val="0"/>
                      <w:color w:val="auto"/>
                      <w:kern w:val="2"/>
                      <w:sz w:val="21"/>
                      <w:szCs w:val="21"/>
                    </w:rPr>
                    <w:t>东北部</w:t>
                  </w:r>
                  <w:r>
                    <w:rPr>
                      <w:rFonts w:ascii="Times New Roman" w:hAnsi="Times New Roman" w:eastAsia="宋体" w:cs="Times New Roman"/>
                      <w:b w:val="0"/>
                      <w:color w:val="auto"/>
                      <w:kern w:val="2"/>
                      <w:sz w:val="21"/>
                      <w:szCs w:val="21"/>
                    </w:rPr>
                    <w:t>，占地面积20m</w:t>
                  </w:r>
                  <w:r>
                    <w:rPr>
                      <w:rFonts w:ascii="Times New Roman" w:hAnsi="Times New Roman" w:eastAsia="宋体" w:cs="Times New Roman"/>
                      <w:b w:val="0"/>
                      <w:color w:val="auto"/>
                      <w:kern w:val="2"/>
                      <w:sz w:val="21"/>
                      <w:szCs w:val="21"/>
                      <w:vertAlign w:val="superscript"/>
                    </w:rPr>
                    <w:t>2</w:t>
                  </w:r>
                  <w:r>
                    <w:rPr>
                      <w:rFonts w:ascii="Times New Roman" w:hAnsi="Times New Roman" w:eastAsia="宋体" w:cs="Times New Roman"/>
                      <w:b w:val="0"/>
                      <w:color w:val="auto"/>
                      <w:kern w:val="2"/>
                      <w:sz w:val="21"/>
                      <w:szCs w:val="21"/>
                    </w:rPr>
                    <w:t>，主要暂存磁选废物和废布袋</w:t>
                  </w:r>
                  <w:r>
                    <w:rPr>
                      <w:rFonts w:hint="eastAsia" w:ascii="Times New Roman" w:hAnsi="Times New Roman" w:eastAsia="宋体" w:cs="Times New Roman"/>
                      <w:b w:val="0"/>
                      <w:color w:val="auto"/>
                      <w:kern w:val="2"/>
                      <w:sz w:val="21"/>
                      <w:szCs w:val="21"/>
                      <w:lang w:val="en-US" w:eastAsia="zh-CN"/>
                    </w:rPr>
                    <w:t>等</w:t>
                  </w:r>
                  <w:r>
                    <w:rPr>
                      <w:rFonts w:ascii="Times New Roman" w:hAnsi="Times New Roman" w:eastAsia="宋体" w:cs="Times New Roman"/>
                      <w:b w:val="0"/>
                      <w:color w:val="auto"/>
                      <w:kern w:val="2"/>
                      <w:sz w:val="21"/>
                      <w:szCs w:val="21"/>
                    </w:rPr>
                    <w:t>，收集后外售综合利用</w:t>
                  </w:r>
                </w:p>
              </w:tc>
              <w:tc>
                <w:tcPr>
                  <w:tcW w:w="827" w:type="pct"/>
                  <w:noWrap w:val="0"/>
                  <w:vAlign w:val="center"/>
                </w:tcPr>
                <w:p w14:paraId="13BF5F3A">
                  <w:pPr>
                    <w:pStyle w:val="62"/>
                    <w:numPr>
                      <w:ilvl w:val="0"/>
                      <w:numId w:val="0"/>
                    </w:numPr>
                    <w:spacing w:line="276" w:lineRule="auto"/>
                    <w:jc w:val="center"/>
                    <w:rPr>
                      <w:rFonts w:hint="eastAsia" w:ascii="Times New Roman" w:hAnsi="Times New Roman" w:eastAsia="宋体" w:cs="Times New Roman"/>
                      <w:b w:val="0"/>
                      <w:color w:val="auto"/>
                      <w:kern w:val="2"/>
                      <w:sz w:val="21"/>
                      <w:szCs w:val="21"/>
                      <w:lang w:eastAsia="zh-CN"/>
                    </w:rPr>
                  </w:pPr>
                  <w:r>
                    <w:rPr>
                      <w:rFonts w:hint="eastAsia" w:ascii="Times New Roman" w:hAnsi="Times New Roman" w:eastAsia="宋体" w:cs="Times New Roman"/>
                      <w:b w:val="0"/>
                      <w:color w:val="auto"/>
                      <w:kern w:val="2"/>
                      <w:sz w:val="21"/>
                      <w:szCs w:val="21"/>
                      <w:lang w:val="en-US" w:eastAsia="zh-CN"/>
                    </w:rPr>
                    <w:t>/</w:t>
                  </w:r>
                </w:p>
              </w:tc>
            </w:tr>
            <w:tr w14:paraId="1FB2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084CFEFD">
                  <w:pPr>
                    <w:spacing w:line="276" w:lineRule="auto"/>
                    <w:jc w:val="center"/>
                    <w:rPr>
                      <w:bCs/>
                      <w:szCs w:val="21"/>
                    </w:rPr>
                  </w:pPr>
                </w:p>
              </w:tc>
              <w:tc>
                <w:tcPr>
                  <w:tcW w:w="252" w:type="pct"/>
                  <w:vMerge w:val="continue"/>
                  <w:noWrap w:val="0"/>
                  <w:vAlign w:val="center"/>
                </w:tcPr>
                <w:p w14:paraId="2081B0A2">
                  <w:pPr>
                    <w:spacing w:line="276" w:lineRule="auto"/>
                    <w:jc w:val="center"/>
                    <w:rPr>
                      <w:bCs/>
                      <w:szCs w:val="21"/>
                    </w:rPr>
                  </w:pPr>
                </w:p>
              </w:tc>
              <w:tc>
                <w:tcPr>
                  <w:tcW w:w="440" w:type="pct"/>
                  <w:noWrap w:val="0"/>
                  <w:vAlign w:val="center"/>
                </w:tcPr>
                <w:p w14:paraId="73953F7D">
                  <w:pPr>
                    <w:spacing w:line="276" w:lineRule="auto"/>
                    <w:jc w:val="center"/>
                    <w:rPr>
                      <w:bCs/>
                      <w:szCs w:val="21"/>
                    </w:rPr>
                  </w:pPr>
                  <w:r>
                    <w:rPr>
                      <w:bCs/>
                      <w:szCs w:val="21"/>
                    </w:rPr>
                    <w:t>危险废物</w:t>
                  </w:r>
                </w:p>
              </w:tc>
              <w:tc>
                <w:tcPr>
                  <w:tcW w:w="1210" w:type="pct"/>
                  <w:noWrap w:val="0"/>
                  <w:vAlign w:val="center"/>
                </w:tcPr>
                <w:p w14:paraId="37821AB1">
                  <w:pPr>
                    <w:pStyle w:val="62"/>
                    <w:numPr>
                      <w:ilvl w:val="0"/>
                      <w:numId w:val="0"/>
                    </w:numPr>
                    <w:spacing w:line="276" w:lineRule="auto"/>
                    <w:rPr>
                      <w:rFonts w:ascii="Times New Roman" w:hAnsi="Times New Roman" w:eastAsia="宋体" w:cs="Times New Roman"/>
                      <w:b w:val="0"/>
                      <w:color w:val="000000"/>
                      <w:kern w:val="2"/>
                      <w:sz w:val="21"/>
                      <w:szCs w:val="21"/>
                    </w:rPr>
                  </w:pPr>
                  <w:r>
                    <w:rPr>
                      <w:rFonts w:ascii="Times New Roman" w:hAnsi="Times New Roman" w:eastAsia="宋体" w:cs="Times New Roman"/>
                      <w:b w:val="0"/>
                      <w:color w:val="000000"/>
                      <w:kern w:val="2"/>
                      <w:sz w:val="21"/>
                      <w:szCs w:val="21"/>
                    </w:rPr>
                    <w:t>危险废物暂存间位于厂</w:t>
                  </w:r>
                  <w:r>
                    <w:rPr>
                      <w:rFonts w:hint="eastAsia" w:ascii="Times New Roman" w:hAnsi="Times New Roman" w:eastAsia="宋体" w:cs="Times New Roman"/>
                      <w:b w:val="0"/>
                      <w:color w:val="000000"/>
                      <w:kern w:val="2"/>
                      <w:sz w:val="21"/>
                      <w:szCs w:val="21"/>
                    </w:rPr>
                    <w:t>区东北部</w:t>
                  </w:r>
                  <w:r>
                    <w:rPr>
                      <w:rFonts w:ascii="Times New Roman" w:hAnsi="Times New Roman" w:eastAsia="宋体" w:cs="Times New Roman"/>
                      <w:b w:val="0"/>
                      <w:color w:val="000000"/>
                      <w:kern w:val="2"/>
                      <w:sz w:val="21"/>
                      <w:szCs w:val="21"/>
                    </w:rPr>
                    <w:t>，占地面积10m</w:t>
                  </w:r>
                  <w:r>
                    <w:rPr>
                      <w:rFonts w:ascii="Times New Roman" w:hAnsi="Times New Roman" w:eastAsia="宋体" w:cs="Times New Roman"/>
                      <w:b w:val="0"/>
                      <w:color w:val="000000"/>
                      <w:kern w:val="2"/>
                      <w:sz w:val="21"/>
                      <w:szCs w:val="21"/>
                      <w:vertAlign w:val="superscript"/>
                    </w:rPr>
                    <w:t>2</w:t>
                  </w:r>
                  <w:r>
                    <w:rPr>
                      <w:rFonts w:ascii="Times New Roman" w:hAnsi="Times New Roman" w:eastAsia="宋体" w:cs="Times New Roman"/>
                      <w:b w:val="0"/>
                      <w:color w:val="000000"/>
                      <w:kern w:val="2"/>
                      <w:sz w:val="21"/>
                      <w:szCs w:val="21"/>
                    </w:rPr>
                    <w:t>，主要暂存废机油、废机油桶，暂存后委托有资质单位定期处置</w:t>
                  </w:r>
                </w:p>
              </w:tc>
              <w:tc>
                <w:tcPr>
                  <w:tcW w:w="886" w:type="pct"/>
                  <w:noWrap w:val="0"/>
                  <w:vAlign w:val="center"/>
                </w:tcPr>
                <w:p w14:paraId="5E3FD8FD">
                  <w:pPr>
                    <w:pStyle w:val="62"/>
                    <w:numPr>
                      <w:ilvl w:val="0"/>
                      <w:numId w:val="0"/>
                    </w:numPr>
                    <w:spacing w:line="276" w:lineRule="auto"/>
                    <w:rPr>
                      <w:rFonts w:hint="default" w:ascii="Times New Roman" w:hAnsi="Times New Roman" w:eastAsia="宋体" w:cs="Times New Roman"/>
                      <w:b w:val="0"/>
                      <w:color w:val="000000"/>
                      <w:kern w:val="2"/>
                      <w:sz w:val="21"/>
                      <w:szCs w:val="21"/>
                      <w:lang w:val="en-US" w:eastAsia="zh-CN"/>
                    </w:rPr>
                  </w:pPr>
                  <w:r>
                    <w:rPr>
                      <w:rFonts w:ascii="Times New Roman" w:hAnsi="Times New Roman" w:eastAsia="宋体" w:cs="Times New Roman"/>
                      <w:b w:val="0"/>
                      <w:color w:val="000000"/>
                      <w:kern w:val="2"/>
                      <w:sz w:val="21"/>
                      <w:szCs w:val="21"/>
                    </w:rPr>
                    <w:t>新增危险废物废机油、废机油桶</w:t>
                  </w:r>
                  <w:r>
                    <w:rPr>
                      <w:rFonts w:hint="eastAsia" w:ascii="Times New Roman" w:hAnsi="Times New Roman" w:eastAsia="宋体" w:cs="Times New Roman"/>
                      <w:b w:val="0"/>
                      <w:color w:val="000000"/>
                      <w:kern w:val="2"/>
                      <w:sz w:val="21"/>
                      <w:szCs w:val="21"/>
                      <w:lang w:val="en-US" w:eastAsia="zh-CN"/>
                    </w:rPr>
                    <w:t>产生量</w:t>
                  </w:r>
                  <w:r>
                    <w:rPr>
                      <w:rFonts w:hint="eastAsia" w:ascii="Times New Roman" w:hAnsi="Times New Roman" w:eastAsia="宋体" w:cs="Times New Roman"/>
                      <w:b w:val="0"/>
                      <w:color w:val="auto"/>
                      <w:kern w:val="2"/>
                      <w:sz w:val="21"/>
                      <w:szCs w:val="21"/>
                      <w:lang w:val="en-US" w:eastAsia="zh-CN"/>
                    </w:rPr>
                    <w:t>，</w:t>
                  </w:r>
                  <w:r>
                    <w:rPr>
                      <w:rFonts w:ascii="Times New Roman" w:hAnsi="Times New Roman" w:eastAsia="宋体" w:cs="Times New Roman"/>
                      <w:b w:val="0"/>
                      <w:color w:val="auto"/>
                      <w:kern w:val="2"/>
                      <w:sz w:val="21"/>
                      <w:szCs w:val="21"/>
                    </w:rPr>
                    <w:t>依托现有</w:t>
                  </w:r>
                  <w:r>
                    <w:rPr>
                      <w:rFonts w:hint="eastAsia" w:ascii="Times New Roman" w:hAnsi="Times New Roman" w:eastAsia="宋体" w:cs="Times New Roman"/>
                      <w:b w:val="0"/>
                      <w:color w:val="auto"/>
                      <w:kern w:val="2"/>
                      <w:sz w:val="21"/>
                      <w:szCs w:val="21"/>
                      <w:lang w:val="en-US" w:eastAsia="zh-CN"/>
                    </w:rPr>
                    <w:t>措施处理处置</w:t>
                  </w:r>
                </w:p>
              </w:tc>
              <w:tc>
                <w:tcPr>
                  <w:tcW w:w="1142" w:type="pct"/>
                  <w:noWrap w:val="0"/>
                  <w:vAlign w:val="center"/>
                </w:tcPr>
                <w:p w14:paraId="19B15EFE">
                  <w:pPr>
                    <w:pStyle w:val="62"/>
                    <w:numPr>
                      <w:ilvl w:val="0"/>
                      <w:numId w:val="0"/>
                    </w:numPr>
                    <w:spacing w:line="276" w:lineRule="auto"/>
                    <w:rPr>
                      <w:rFonts w:ascii="Times New Roman" w:hAnsi="Times New Roman" w:eastAsia="宋体" w:cs="Times New Roman"/>
                      <w:b w:val="0"/>
                      <w:color w:val="auto"/>
                      <w:kern w:val="2"/>
                      <w:sz w:val="21"/>
                      <w:szCs w:val="21"/>
                    </w:rPr>
                  </w:pPr>
                  <w:r>
                    <w:rPr>
                      <w:rFonts w:ascii="Times New Roman" w:hAnsi="Times New Roman" w:eastAsia="宋体" w:cs="Times New Roman"/>
                      <w:b w:val="0"/>
                      <w:color w:val="auto"/>
                      <w:kern w:val="2"/>
                      <w:sz w:val="21"/>
                      <w:szCs w:val="21"/>
                    </w:rPr>
                    <w:t>危险废物暂存间位于厂</w:t>
                  </w:r>
                  <w:r>
                    <w:rPr>
                      <w:rFonts w:hint="eastAsia" w:ascii="Times New Roman" w:hAnsi="Times New Roman" w:eastAsia="宋体" w:cs="Times New Roman"/>
                      <w:b w:val="0"/>
                      <w:color w:val="auto"/>
                      <w:kern w:val="2"/>
                      <w:sz w:val="21"/>
                      <w:szCs w:val="21"/>
                    </w:rPr>
                    <w:t>区东北部</w:t>
                  </w:r>
                  <w:r>
                    <w:rPr>
                      <w:rFonts w:ascii="Times New Roman" w:hAnsi="Times New Roman" w:eastAsia="宋体" w:cs="Times New Roman"/>
                      <w:b w:val="0"/>
                      <w:color w:val="auto"/>
                      <w:kern w:val="2"/>
                      <w:sz w:val="21"/>
                      <w:szCs w:val="21"/>
                    </w:rPr>
                    <w:t>，占地面积10m</w:t>
                  </w:r>
                  <w:r>
                    <w:rPr>
                      <w:rFonts w:ascii="Times New Roman" w:hAnsi="Times New Roman" w:eastAsia="宋体" w:cs="Times New Roman"/>
                      <w:b w:val="0"/>
                      <w:color w:val="auto"/>
                      <w:kern w:val="2"/>
                      <w:sz w:val="21"/>
                      <w:szCs w:val="21"/>
                      <w:vertAlign w:val="superscript"/>
                    </w:rPr>
                    <w:t>2</w:t>
                  </w:r>
                  <w:r>
                    <w:rPr>
                      <w:rFonts w:ascii="Times New Roman" w:hAnsi="Times New Roman" w:eastAsia="宋体" w:cs="Times New Roman"/>
                      <w:b w:val="0"/>
                      <w:color w:val="auto"/>
                      <w:kern w:val="2"/>
                      <w:sz w:val="21"/>
                      <w:szCs w:val="21"/>
                    </w:rPr>
                    <w:t>，主要暂存废机油、废机油桶，暂存后委托有资质单位定期处置</w:t>
                  </w:r>
                </w:p>
              </w:tc>
              <w:tc>
                <w:tcPr>
                  <w:tcW w:w="827" w:type="pct"/>
                  <w:noWrap w:val="0"/>
                  <w:vAlign w:val="center"/>
                </w:tcPr>
                <w:p w14:paraId="6DA6C6B7">
                  <w:pPr>
                    <w:pStyle w:val="62"/>
                    <w:numPr>
                      <w:ilvl w:val="0"/>
                      <w:numId w:val="0"/>
                    </w:numPr>
                    <w:spacing w:line="276" w:lineRule="auto"/>
                    <w:jc w:val="center"/>
                    <w:rPr>
                      <w:rFonts w:hint="eastAsia" w:ascii="Times New Roman" w:hAnsi="Times New Roman" w:eastAsia="宋体" w:cs="Times New Roman"/>
                      <w:b w:val="0"/>
                      <w:color w:val="auto"/>
                      <w:kern w:val="2"/>
                      <w:sz w:val="21"/>
                      <w:szCs w:val="21"/>
                      <w:lang w:eastAsia="zh-CN"/>
                    </w:rPr>
                  </w:pPr>
                  <w:r>
                    <w:rPr>
                      <w:rFonts w:hint="eastAsia" w:ascii="Times New Roman" w:hAnsi="Times New Roman" w:eastAsia="宋体" w:cs="Times New Roman"/>
                      <w:b w:val="0"/>
                      <w:color w:val="auto"/>
                      <w:kern w:val="2"/>
                      <w:sz w:val="21"/>
                      <w:szCs w:val="21"/>
                      <w:lang w:val="en-US" w:eastAsia="zh-CN"/>
                    </w:rPr>
                    <w:t>/</w:t>
                  </w:r>
                </w:p>
              </w:tc>
            </w:tr>
            <w:tr w14:paraId="792F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52736D4B">
                  <w:pPr>
                    <w:spacing w:line="276" w:lineRule="auto"/>
                    <w:jc w:val="center"/>
                    <w:rPr>
                      <w:bCs/>
                      <w:szCs w:val="21"/>
                    </w:rPr>
                  </w:pPr>
                </w:p>
              </w:tc>
              <w:tc>
                <w:tcPr>
                  <w:tcW w:w="252" w:type="pct"/>
                  <w:vMerge w:val="continue"/>
                  <w:noWrap w:val="0"/>
                  <w:vAlign w:val="center"/>
                </w:tcPr>
                <w:p w14:paraId="15CD20CB">
                  <w:pPr>
                    <w:spacing w:line="276" w:lineRule="auto"/>
                    <w:jc w:val="center"/>
                    <w:rPr>
                      <w:bCs/>
                      <w:szCs w:val="21"/>
                    </w:rPr>
                  </w:pPr>
                </w:p>
              </w:tc>
              <w:tc>
                <w:tcPr>
                  <w:tcW w:w="440" w:type="pct"/>
                  <w:noWrap w:val="0"/>
                  <w:vAlign w:val="center"/>
                </w:tcPr>
                <w:p w14:paraId="2CEC7472">
                  <w:pPr>
                    <w:spacing w:line="276" w:lineRule="auto"/>
                    <w:jc w:val="center"/>
                    <w:rPr>
                      <w:bCs/>
                      <w:szCs w:val="21"/>
                    </w:rPr>
                  </w:pPr>
                  <w:r>
                    <w:rPr>
                      <w:bCs/>
                      <w:szCs w:val="21"/>
                    </w:rPr>
                    <w:t>生活垃圾</w:t>
                  </w:r>
                </w:p>
              </w:tc>
              <w:tc>
                <w:tcPr>
                  <w:tcW w:w="1210" w:type="pct"/>
                  <w:noWrap w:val="0"/>
                  <w:vAlign w:val="center"/>
                </w:tcPr>
                <w:p w14:paraId="0DA0B254">
                  <w:pPr>
                    <w:spacing w:line="276" w:lineRule="auto"/>
                    <w:jc w:val="left"/>
                    <w:rPr>
                      <w:bCs/>
                      <w:szCs w:val="21"/>
                    </w:rPr>
                  </w:pPr>
                  <w:r>
                    <w:rPr>
                      <w:bCs/>
                      <w:szCs w:val="21"/>
                    </w:rPr>
                    <w:t>生活垃圾集中收集后，委托环卫部门清运</w:t>
                  </w:r>
                </w:p>
              </w:tc>
              <w:tc>
                <w:tcPr>
                  <w:tcW w:w="886" w:type="pct"/>
                  <w:noWrap w:val="0"/>
                  <w:vAlign w:val="center"/>
                </w:tcPr>
                <w:p w14:paraId="07A5EB10">
                  <w:pPr>
                    <w:spacing w:line="276" w:lineRule="auto"/>
                    <w:jc w:val="center"/>
                    <w:rPr>
                      <w:rFonts w:hint="eastAsia" w:eastAsia="宋体"/>
                      <w:bCs/>
                      <w:szCs w:val="21"/>
                      <w:lang w:eastAsia="zh-CN"/>
                    </w:rPr>
                  </w:pPr>
                  <w:r>
                    <w:rPr>
                      <w:bCs/>
                      <w:szCs w:val="21"/>
                    </w:rPr>
                    <w:t>依托现有</w:t>
                  </w:r>
                </w:p>
              </w:tc>
              <w:tc>
                <w:tcPr>
                  <w:tcW w:w="1142" w:type="pct"/>
                  <w:noWrap w:val="0"/>
                  <w:vAlign w:val="center"/>
                </w:tcPr>
                <w:p w14:paraId="2ECB4CE0">
                  <w:pPr>
                    <w:spacing w:line="276" w:lineRule="auto"/>
                    <w:jc w:val="left"/>
                    <w:rPr>
                      <w:bCs/>
                      <w:szCs w:val="21"/>
                    </w:rPr>
                  </w:pPr>
                  <w:r>
                    <w:rPr>
                      <w:bCs/>
                      <w:szCs w:val="21"/>
                    </w:rPr>
                    <w:t>生活垃圾集中收集后，委托环卫部门清运</w:t>
                  </w:r>
                </w:p>
              </w:tc>
              <w:tc>
                <w:tcPr>
                  <w:tcW w:w="827" w:type="pct"/>
                  <w:noWrap w:val="0"/>
                  <w:vAlign w:val="center"/>
                </w:tcPr>
                <w:p w14:paraId="13E54DB6">
                  <w:pPr>
                    <w:spacing w:line="276" w:lineRule="auto"/>
                    <w:jc w:val="center"/>
                    <w:rPr>
                      <w:bCs/>
                      <w:szCs w:val="21"/>
                    </w:rPr>
                  </w:pPr>
                  <w:r>
                    <w:rPr>
                      <w:rFonts w:hint="eastAsia" w:ascii="Times New Roman" w:hAnsi="Times New Roman" w:eastAsia="宋体" w:cs="Times New Roman"/>
                      <w:b w:val="0"/>
                      <w:color w:val="auto"/>
                      <w:kern w:val="2"/>
                      <w:sz w:val="21"/>
                      <w:szCs w:val="21"/>
                      <w:lang w:val="en-US" w:eastAsia="zh-CN"/>
                    </w:rPr>
                    <w:t>/</w:t>
                  </w:r>
                </w:p>
              </w:tc>
            </w:tr>
            <w:tr w14:paraId="17A8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74E3B398">
                  <w:pPr>
                    <w:spacing w:line="276" w:lineRule="auto"/>
                    <w:jc w:val="center"/>
                    <w:rPr>
                      <w:bCs/>
                      <w:szCs w:val="21"/>
                    </w:rPr>
                  </w:pPr>
                </w:p>
              </w:tc>
              <w:tc>
                <w:tcPr>
                  <w:tcW w:w="692" w:type="pct"/>
                  <w:gridSpan w:val="2"/>
                  <w:noWrap w:val="0"/>
                  <w:vAlign w:val="center"/>
                </w:tcPr>
                <w:p w14:paraId="72ACDA08">
                  <w:pPr>
                    <w:spacing w:line="276" w:lineRule="auto"/>
                    <w:jc w:val="center"/>
                    <w:rPr>
                      <w:bCs/>
                      <w:szCs w:val="21"/>
                    </w:rPr>
                  </w:pPr>
                  <w:r>
                    <w:rPr>
                      <w:bCs/>
                      <w:szCs w:val="21"/>
                    </w:rPr>
                    <w:t>土壤、地下水防治</w:t>
                  </w:r>
                </w:p>
              </w:tc>
              <w:tc>
                <w:tcPr>
                  <w:tcW w:w="1210" w:type="pct"/>
                  <w:noWrap w:val="0"/>
                  <w:vAlign w:val="center"/>
                </w:tcPr>
                <w:p w14:paraId="7E402DE7">
                  <w:pPr>
                    <w:pStyle w:val="62"/>
                    <w:numPr>
                      <w:ilvl w:val="0"/>
                      <w:numId w:val="0"/>
                    </w:numPr>
                    <w:adjustRightInd/>
                    <w:spacing w:line="276" w:lineRule="auto"/>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重点防渗：危险废物暂存间</w:t>
                  </w:r>
                </w:p>
                <w:p w14:paraId="49A4509F">
                  <w:pPr>
                    <w:pStyle w:val="62"/>
                    <w:numPr>
                      <w:ilvl w:val="0"/>
                      <w:numId w:val="0"/>
                    </w:numPr>
                    <w:adjustRightInd/>
                    <w:spacing w:line="276" w:lineRule="auto"/>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一般防渗：原料库、生产车间其他区域</w:t>
                  </w:r>
                </w:p>
                <w:p w14:paraId="6A488FE6">
                  <w:pPr>
                    <w:pStyle w:val="62"/>
                    <w:numPr>
                      <w:ilvl w:val="0"/>
                      <w:numId w:val="0"/>
                    </w:numPr>
                    <w:adjustRightInd/>
                    <w:spacing w:line="276" w:lineRule="auto"/>
                    <w:rPr>
                      <w:rFonts w:ascii="Times New Roman" w:hAnsi="Times New Roman" w:eastAsia="宋体" w:cs="Times New Roman"/>
                      <w:b w:val="0"/>
                      <w:color w:val="000000"/>
                      <w:kern w:val="2"/>
                      <w:sz w:val="21"/>
                      <w:szCs w:val="21"/>
                    </w:rPr>
                  </w:pPr>
                  <w:r>
                    <w:rPr>
                      <w:rFonts w:ascii="Times New Roman" w:hAnsi="Times New Roman" w:eastAsia="宋体" w:cs="Times New Roman"/>
                      <w:b w:val="0"/>
                      <w:color w:val="000000"/>
                      <w:sz w:val="21"/>
                      <w:szCs w:val="21"/>
                    </w:rPr>
                    <w:t>简单防渗：</w:t>
                  </w:r>
                  <w:r>
                    <w:rPr>
                      <w:rFonts w:hint="eastAsia" w:ascii="Times New Roman" w:hAnsi="Times New Roman" w:eastAsia="宋体" w:cs="Times New Roman"/>
                      <w:b w:val="0"/>
                      <w:color w:val="000000"/>
                      <w:sz w:val="21"/>
                      <w:szCs w:val="21"/>
                    </w:rPr>
                    <w:t>其他区域</w:t>
                  </w:r>
                </w:p>
              </w:tc>
              <w:tc>
                <w:tcPr>
                  <w:tcW w:w="886" w:type="pct"/>
                  <w:noWrap w:val="0"/>
                  <w:vAlign w:val="center"/>
                </w:tcPr>
                <w:p w14:paraId="5D85070C">
                  <w:pPr>
                    <w:pStyle w:val="62"/>
                    <w:numPr>
                      <w:ilvl w:val="0"/>
                      <w:numId w:val="0"/>
                    </w:numPr>
                    <w:adjustRightInd/>
                    <w:spacing w:line="276" w:lineRule="auto"/>
                    <w:rPr>
                      <w:rFonts w:ascii="Times New Roman" w:hAnsi="Times New Roman" w:eastAsia="宋体" w:cs="Times New Roman"/>
                      <w:b w:val="0"/>
                      <w:color w:val="000000"/>
                      <w:kern w:val="2"/>
                      <w:sz w:val="21"/>
                      <w:szCs w:val="21"/>
                    </w:rPr>
                  </w:pPr>
                  <w:r>
                    <w:rPr>
                      <w:rFonts w:hint="eastAsia" w:ascii="Times New Roman" w:hAnsi="Times New Roman" w:eastAsia="宋体" w:cs="Times New Roman"/>
                      <w:b w:val="0"/>
                      <w:color w:val="000000"/>
                      <w:kern w:val="2"/>
                      <w:sz w:val="21"/>
                      <w:szCs w:val="21"/>
                      <w:lang w:val="en-US" w:eastAsia="zh-CN"/>
                    </w:rPr>
                    <w:t>新建</w:t>
                  </w:r>
                  <w:r>
                    <w:rPr>
                      <w:rFonts w:ascii="Times New Roman" w:hAnsi="Times New Roman" w:eastAsia="宋体" w:cs="Times New Roman"/>
                      <w:b w:val="0"/>
                      <w:color w:val="000000"/>
                      <w:kern w:val="2"/>
                      <w:sz w:val="21"/>
                      <w:szCs w:val="21"/>
                    </w:rPr>
                    <w:t>原料库设置一般防渗</w:t>
                  </w:r>
                </w:p>
              </w:tc>
              <w:tc>
                <w:tcPr>
                  <w:tcW w:w="1142" w:type="pct"/>
                  <w:noWrap w:val="0"/>
                  <w:vAlign w:val="center"/>
                </w:tcPr>
                <w:p w14:paraId="30420828">
                  <w:pPr>
                    <w:pStyle w:val="62"/>
                    <w:numPr>
                      <w:ilvl w:val="0"/>
                      <w:numId w:val="0"/>
                    </w:numPr>
                    <w:adjustRightInd/>
                    <w:spacing w:line="276" w:lineRule="auto"/>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重点防渗：危险废物暂存间</w:t>
                  </w:r>
                </w:p>
                <w:p w14:paraId="585069F7">
                  <w:pPr>
                    <w:pStyle w:val="62"/>
                    <w:numPr>
                      <w:ilvl w:val="0"/>
                      <w:numId w:val="0"/>
                    </w:numPr>
                    <w:adjustRightInd/>
                    <w:spacing w:line="276" w:lineRule="auto"/>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一般防渗：原料库、生产车间其他区域</w:t>
                  </w:r>
                </w:p>
                <w:p w14:paraId="6D8ED4F9">
                  <w:pPr>
                    <w:pStyle w:val="62"/>
                    <w:numPr>
                      <w:ilvl w:val="0"/>
                      <w:numId w:val="0"/>
                    </w:numPr>
                    <w:adjustRightInd/>
                    <w:spacing w:line="276" w:lineRule="auto"/>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简单防渗：</w:t>
                  </w:r>
                  <w:r>
                    <w:rPr>
                      <w:rFonts w:hint="eastAsia" w:ascii="Times New Roman" w:hAnsi="Times New Roman" w:eastAsia="宋体" w:cs="Times New Roman"/>
                      <w:b w:val="0"/>
                      <w:color w:val="000000"/>
                      <w:sz w:val="21"/>
                      <w:szCs w:val="21"/>
                    </w:rPr>
                    <w:t>其他区域</w:t>
                  </w:r>
                </w:p>
              </w:tc>
              <w:tc>
                <w:tcPr>
                  <w:tcW w:w="827" w:type="pct"/>
                  <w:noWrap w:val="0"/>
                  <w:vAlign w:val="center"/>
                </w:tcPr>
                <w:p w14:paraId="6CFE605E">
                  <w:pPr>
                    <w:pStyle w:val="62"/>
                    <w:numPr>
                      <w:ilvl w:val="0"/>
                      <w:numId w:val="0"/>
                    </w:numPr>
                    <w:adjustRightInd/>
                    <w:spacing w:line="276" w:lineRule="auto"/>
                    <w:rPr>
                      <w:rFonts w:ascii="Times New Roman" w:hAnsi="Times New Roman" w:eastAsia="宋体" w:cs="Times New Roman"/>
                      <w:b w:val="0"/>
                      <w:color w:val="000000"/>
                      <w:sz w:val="21"/>
                      <w:szCs w:val="21"/>
                    </w:rPr>
                  </w:pPr>
                  <w:r>
                    <w:rPr>
                      <w:rFonts w:ascii="Times New Roman" w:hAnsi="Times New Roman" w:eastAsia="宋体" w:cs="Times New Roman"/>
                      <w:b w:val="0"/>
                      <w:color w:val="000000"/>
                      <w:sz w:val="21"/>
                      <w:szCs w:val="21"/>
                    </w:rPr>
                    <w:t>依托现有工程防渗，</w:t>
                  </w:r>
                  <w:r>
                    <w:rPr>
                      <w:rFonts w:hint="eastAsia" w:ascii="Times New Roman" w:hAnsi="Times New Roman" w:eastAsia="宋体" w:cs="Times New Roman"/>
                      <w:b w:val="0"/>
                      <w:color w:val="000000"/>
                      <w:sz w:val="21"/>
                      <w:szCs w:val="21"/>
                      <w:lang w:val="en-US" w:eastAsia="zh-CN"/>
                    </w:rPr>
                    <w:t>新建</w:t>
                  </w:r>
                  <w:r>
                    <w:rPr>
                      <w:rFonts w:ascii="Times New Roman" w:hAnsi="Times New Roman" w:eastAsia="宋体" w:cs="Times New Roman"/>
                      <w:b w:val="0"/>
                      <w:color w:val="000000"/>
                      <w:sz w:val="21"/>
                      <w:szCs w:val="21"/>
                    </w:rPr>
                    <w:t>原料库采取一般防渗</w:t>
                  </w:r>
                </w:p>
              </w:tc>
            </w:tr>
            <w:tr w14:paraId="485A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 w:type="pct"/>
                  <w:vMerge w:val="continue"/>
                  <w:noWrap w:val="0"/>
                  <w:vAlign w:val="center"/>
                </w:tcPr>
                <w:p w14:paraId="7DEE5620">
                  <w:pPr>
                    <w:spacing w:line="276" w:lineRule="auto"/>
                    <w:jc w:val="center"/>
                    <w:rPr>
                      <w:bCs/>
                      <w:szCs w:val="21"/>
                    </w:rPr>
                  </w:pPr>
                </w:p>
              </w:tc>
              <w:tc>
                <w:tcPr>
                  <w:tcW w:w="692" w:type="pct"/>
                  <w:gridSpan w:val="2"/>
                  <w:noWrap w:val="0"/>
                  <w:vAlign w:val="center"/>
                </w:tcPr>
                <w:p w14:paraId="7C2119B8">
                  <w:pPr>
                    <w:spacing w:line="276" w:lineRule="auto"/>
                    <w:jc w:val="center"/>
                    <w:rPr>
                      <w:bCs/>
                      <w:szCs w:val="21"/>
                    </w:rPr>
                  </w:pPr>
                  <w:r>
                    <w:rPr>
                      <w:bCs/>
                      <w:szCs w:val="21"/>
                    </w:rPr>
                    <w:t>环境风险防范措施</w:t>
                  </w:r>
                </w:p>
              </w:tc>
              <w:tc>
                <w:tcPr>
                  <w:tcW w:w="1210" w:type="pct"/>
                  <w:noWrap w:val="0"/>
                  <w:vAlign w:val="center"/>
                </w:tcPr>
                <w:p w14:paraId="6A652BFF">
                  <w:pPr>
                    <w:pStyle w:val="62"/>
                    <w:numPr>
                      <w:ilvl w:val="0"/>
                      <w:numId w:val="0"/>
                    </w:numPr>
                    <w:spacing w:line="276" w:lineRule="auto"/>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危险废物暂存间内做重点防渗，设置防渗托盘；</w:t>
                  </w:r>
                  <w:r>
                    <w:rPr>
                      <w:rFonts w:hint="eastAsia" w:ascii="Times New Roman" w:hAnsi="Times New Roman" w:eastAsia="宋体" w:cs="Times New Roman"/>
                      <w:b w:val="0"/>
                      <w:color w:val="auto"/>
                      <w:sz w:val="21"/>
                      <w:szCs w:val="21"/>
                    </w:rPr>
                    <w:t>编制</w:t>
                  </w:r>
                  <w:r>
                    <w:rPr>
                      <w:rFonts w:ascii="Times New Roman" w:hAnsi="Times New Roman" w:eastAsia="宋体" w:cs="Times New Roman"/>
                      <w:b w:val="0"/>
                      <w:color w:val="auto"/>
                      <w:sz w:val="21"/>
                      <w:szCs w:val="21"/>
                    </w:rPr>
                    <w:t>突发环境事件应急预案</w:t>
                  </w:r>
                </w:p>
              </w:tc>
              <w:tc>
                <w:tcPr>
                  <w:tcW w:w="886" w:type="pct"/>
                  <w:noWrap w:val="0"/>
                  <w:vAlign w:val="center"/>
                </w:tcPr>
                <w:p w14:paraId="36893AAB">
                  <w:pPr>
                    <w:pStyle w:val="62"/>
                    <w:numPr>
                      <w:ilvl w:val="0"/>
                      <w:numId w:val="0"/>
                    </w:numPr>
                    <w:spacing w:line="276" w:lineRule="auto"/>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危险废物暂存间内设置防渗托盘，</w:t>
                  </w:r>
                  <w:r>
                    <w:rPr>
                      <w:rFonts w:hint="eastAsia" w:ascii="Times New Roman" w:hAnsi="Times New Roman" w:eastAsia="宋体" w:cs="Times New Roman"/>
                      <w:b w:val="0"/>
                      <w:color w:val="auto"/>
                      <w:sz w:val="21"/>
                      <w:szCs w:val="21"/>
                    </w:rPr>
                    <w:t>修编</w:t>
                  </w:r>
                  <w:r>
                    <w:rPr>
                      <w:rFonts w:ascii="Times New Roman" w:hAnsi="Times New Roman" w:eastAsia="宋体" w:cs="Times New Roman"/>
                      <w:b w:val="0"/>
                      <w:color w:val="auto"/>
                      <w:sz w:val="21"/>
                      <w:szCs w:val="21"/>
                    </w:rPr>
                    <w:t>突发环境事件应急预案</w:t>
                  </w:r>
                </w:p>
              </w:tc>
              <w:tc>
                <w:tcPr>
                  <w:tcW w:w="1142" w:type="pct"/>
                  <w:noWrap w:val="0"/>
                  <w:vAlign w:val="center"/>
                </w:tcPr>
                <w:p w14:paraId="64E0C3FE">
                  <w:pPr>
                    <w:pStyle w:val="62"/>
                    <w:numPr>
                      <w:ilvl w:val="0"/>
                      <w:numId w:val="0"/>
                    </w:numPr>
                    <w:spacing w:line="276" w:lineRule="auto"/>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危险废物暂存间内设置防渗托盘，修编突发环境事件应急预案</w:t>
                  </w:r>
                </w:p>
              </w:tc>
              <w:tc>
                <w:tcPr>
                  <w:tcW w:w="827" w:type="pct"/>
                  <w:noWrap w:val="0"/>
                  <w:vAlign w:val="center"/>
                </w:tcPr>
                <w:p w14:paraId="43BBD3F5">
                  <w:pPr>
                    <w:pStyle w:val="62"/>
                    <w:numPr>
                      <w:ilvl w:val="0"/>
                      <w:numId w:val="0"/>
                    </w:numPr>
                    <w:spacing w:line="276" w:lineRule="auto"/>
                    <w:rPr>
                      <w:rFonts w:ascii="Times New Roman" w:hAnsi="Times New Roman" w:eastAsia="宋体" w:cs="Times New Roman"/>
                      <w:b w:val="0"/>
                      <w:color w:val="auto"/>
                      <w:sz w:val="21"/>
                      <w:szCs w:val="21"/>
                    </w:rPr>
                  </w:pPr>
                  <w:r>
                    <w:rPr>
                      <w:rFonts w:ascii="Times New Roman" w:hAnsi="Times New Roman" w:eastAsia="宋体" w:cs="Times New Roman"/>
                      <w:b w:val="0"/>
                      <w:color w:val="auto"/>
                      <w:kern w:val="2"/>
                      <w:sz w:val="21"/>
                      <w:szCs w:val="21"/>
                    </w:rPr>
                    <w:t>依托现有防渗托盘，</w:t>
                  </w:r>
                  <w:r>
                    <w:rPr>
                      <w:rFonts w:ascii="Times New Roman" w:hAnsi="Times New Roman" w:eastAsia="宋体" w:cs="Times New Roman"/>
                      <w:b w:val="0"/>
                      <w:color w:val="auto"/>
                      <w:sz w:val="21"/>
                      <w:szCs w:val="21"/>
                    </w:rPr>
                    <w:t>修编突发环境事件应急预案</w:t>
                  </w:r>
                </w:p>
              </w:tc>
            </w:tr>
          </w:tbl>
          <w:p w14:paraId="4D1B0241">
            <w:pPr>
              <w:jc w:val="center"/>
              <w:rPr>
                <w:rFonts w:ascii="Times New Roman" w:hAnsi="Times New Roman" w:eastAsia="黑体"/>
                <w:snapToGrid w:val="0"/>
                <w:sz w:val="36"/>
                <w:szCs w:val="36"/>
              </w:rPr>
            </w:pPr>
          </w:p>
        </w:tc>
      </w:tr>
    </w:tbl>
    <w:p w14:paraId="6C73350D">
      <w:pPr>
        <w:pStyle w:val="34"/>
        <w:jc w:val="center"/>
        <w:rPr>
          <w:rFonts w:ascii="Times New Roman" w:hAnsi="Times New Roman" w:eastAsia="黑体"/>
          <w:snapToGrid w:val="0"/>
          <w:sz w:val="36"/>
          <w:szCs w:val="36"/>
        </w:rPr>
        <w:sectPr>
          <w:pgSz w:w="16838" w:h="11906" w:orient="landscape"/>
          <w:pgMar w:top="1440" w:right="1440" w:bottom="1440" w:left="1304" w:header="851" w:footer="851" w:gutter="0"/>
          <w:pgNumType w:fmt="numberInDash"/>
          <w:cols w:space="720" w:num="1"/>
          <w:docGrid w:linePitch="312" w:charSpace="0"/>
        </w:sect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538"/>
      </w:tblGrid>
      <w:tr w14:paraId="61C2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noWrap w:val="0"/>
            <w:vAlign w:val="center"/>
          </w:tcPr>
          <w:p w14:paraId="21516C5E">
            <w:pPr>
              <w:pStyle w:val="34"/>
              <w:jc w:val="center"/>
              <w:rPr>
                <w:rFonts w:ascii="Times New Roman" w:hAnsi="Times New Roman" w:eastAsia="黑体"/>
                <w:snapToGrid w:val="0"/>
                <w:sz w:val="36"/>
                <w:szCs w:val="36"/>
              </w:rPr>
            </w:pPr>
            <w:r>
              <w:rPr>
                <w:rFonts w:ascii="Times New Roman" w:hAnsi="Times New Roman"/>
                <w:szCs w:val="24"/>
              </w:rPr>
              <w:t>建设内容</w:t>
            </w:r>
          </w:p>
        </w:tc>
        <w:tc>
          <w:tcPr>
            <w:tcW w:w="8538" w:type="dxa"/>
            <w:noWrap w:val="0"/>
            <w:vAlign w:val="top"/>
          </w:tcPr>
          <w:p w14:paraId="65B5A488">
            <w:pPr>
              <w:spacing w:line="480" w:lineRule="exact"/>
              <w:ind w:firstLine="470" w:firstLineChars="196"/>
              <w:rPr>
                <w:rFonts w:hint="eastAsia" w:ascii="黑体" w:hAnsi="黑体" w:eastAsia="黑体" w:cs="黑体"/>
                <w:bCs/>
                <w:sz w:val="24"/>
              </w:rPr>
            </w:pPr>
            <w:r>
              <w:rPr>
                <w:rFonts w:hint="eastAsia" w:ascii="黑体" w:hAnsi="黑体" w:eastAsia="黑体" w:cs="黑体"/>
                <w:bCs/>
                <w:sz w:val="24"/>
              </w:rPr>
              <w:t>4、产品方案</w:t>
            </w:r>
          </w:p>
          <w:p w14:paraId="65A5F780">
            <w:pPr>
              <w:spacing w:line="480" w:lineRule="exact"/>
              <w:ind w:firstLine="470" w:firstLineChars="196"/>
              <w:rPr>
                <w:sz w:val="24"/>
              </w:rPr>
            </w:pPr>
            <w:r>
              <w:rPr>
                <w:sz w:val="24"/>
              </w:rPr>
              <w:t>本项目</w:t>
            </w:r>
            <w:r>
              <w:rPr>
                <w:rFonts w:hint="eastAsia"/>
                <w:sz w:val="24"/>
              </w:rPr>
              <w:t>利用煤矸石等原料</w:t>
            </w:r>
            <w:r>
              <w:rPr>
                <w:sz w:val="24"/>
              </w:rPr>
              <w:t>从事</w:t>
            </w:r>
            <w:r>
              <w:rPr>
                <w:rFonts w:hint="eastAsia"/>
                <w:sz w:val="24"/>
              </w:rPr>
              <w:t>烧结砖</w:t>
            </w:r>
            <w:r>
              <w:rPr>
                <w:sz w:val="24"/>
              </w:rPr>
              <w:t>生产，产品方案如下：</w:t>
            </w:r>
          </w:p>
          <w:p w14:paraId="1C9D6803">
            <w:pPr>
              <w:spacing w:line="480" w:lineRule="exact"/>
              <w:jc w:val="center"/>
              <w:rPr>
                <w:rFonts w:hint="eastAsia" w:ascii="黑体" w:hAnsi="黑体" w:eastAsia="黑体" w:cs="黑体"/>
                <w:sz w:val="24"/>
                <w:szCs w:val="32"/>
              </w:rPr>
            </w:pPr>
            <w:r>
              <w:rPr>
                <w:rFonts w:hint="eastAsia" w:ascii="黑体" w:hAnsi="黑体" w:eastAsia="黑体" w:cs="黑体"/>
                <w:sz w:val="24"/>
                <w:szCs w:val="32"/>
              </w:rPr>
              <w:t>表2-4项目主要产品方案一览表</w:t>
            </w:r>
          </w:p>
          <w:tbl>
            <w:tblPr>
              <w:tblStyle w:val="38"/>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696"/>
              <w:gridCol w:w="1092"/>
              <w:gridCol w:w="1361"/>
              <w:gridCol w:w="1125"/>
              <w:gridCol w:w="1590"/>
              <w:gridCol w:w="1880"/>
            </w:tblGrid>
            <w:tr w14:paraId="2336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6" w:type="pct"/>
                  <w:noWrap w:val="0"/>
                  <w:vAlign w:val="center"/>
                </w:tcPr>
                <w:p w14:paraId="086D8518">
                  <w:pPr>
                    <w:spacing w:line="320" w:lineRule="exact"/>
                    <w:jc w:val="center"/>
                    <w:rPr>
                      <w:bCs/>
                      <w:szCs w:val="21"/>
                    </w:rPr>
                  </w:pPr>
                  <w:r>
                    <w:rPr>
                      <w:bCs/>
                      <w:szCs w:val="21"/>
                    </w:rPr>
                    <w:t>序号</w:t>
                  </w:r>
                </w:p>
              </w:tc>
              <w:tc>
                <w:tcPr>
                  <w:tcW w:w="416" w:type="pct"/>
                  <w:noWrap w:val="0"/>
                  <w:vAlign w:val="center"/>
                </w:tcPr>
                <w:p w14:paraId="6AC3F4DF">
                  <w:pPr>
                    <w:spacing w:line="320" w:lineRule="exact"/>
                    <w:jc w:val="center"/>
                    <w:rPr>
                      <w:bCs/>
                      <w:szCs w:val="21"/>
                    </w:rPr>
                  </w:pPr>
                  <w:r>
                    <w:rPr>
                      <w:bCs/>
                      <w:szCs w:val="21"/>
                    </w:rPr>
                    <w:t>产品名称</w:t>
                  </w:r>
                </w:p>
              </w:tc>
              <w:tc>
                <w:tcPr>
                  <w:tcW w:w="653" w:type="pct"/>
                  <w:noWrap w:val="0"/>
                  <w:vAlign w:val="center"/>
                </w:tcPr>
                <w:p w14:paraId="486F1196">
                  <w:pPr>
                    <w:spacing w:line="320" w:lineRule="exact"/>
                    <w:jc w:val="center"/>
                    <w:rPr>
                      <w:bCs/>
                      <w:szCs w:val="21"/>
                    </w:rPr>
                  </w:pPr>
                  <w:r>
                    <w:rPr>
                      <w:bCs/>
                      <w:szCs w:val="21"/>
                    </w:rPr>
                    <w:t>现有产量</w:t>
                  </w:r>
                </w:p>
              </w:tc>
              <w:tc>
                <w:tcPr>
                  <w:tcW w:w="814" w:type="pct"/>
                  <w:noWrap w:val="0"/>
                  <w:vAlign w:val="center"/>
                </w:tcPr>
                <w:p w14:paraId="79B920A1">
                  <w:pPr>
                    <w:spacing w:line="320" w:lineRule="exact"/>
                    <w:jc w:val="center"/>
                    <w:rPr>
                      <w:bCs/>
                      <w:szCs w:val="21"/>
                    </w:rPr>
                  </w:pPr>
                  <w:r>
                    <w:rPr>
                      <w:bCs/>
                      <w:szCs w:val="21"/>
                    </w:rPr>
                    <w:t>本次改扩建产量</w:t>
                  </w:r>
                </w:p>
              </w:tc>
              <w:tc>
                <w:tcPr>
                  <w:tcW w:w="673" w:type="pct"/>
                  <w:noWrap w:val="0"/>
                  <w:vAlign w:val="center"/>
                </w:tcPr>
                <w:p w14:paraId="2D8BC352">
                  <w:pPr>
                    <w:spacing w:line="320" w:lineRule="exact"/>
                    <w:jc w:val="center"/>
                    <w:rPr>
                      <w:bCs/>
                      <w:szCs w:val="21"/>
                    </w:rPr>
                  </w:pPr>
                  <w:r>
                    <w:rPr>
                      <w:rFonts w:hint="eastAsia"/>
                      <w:bCs/>
                      <w:szCs w:val="21"/>
                    </w:rPr>
                    <w:t>改扩建</w:t>
                  </w:r>
                  <w:r>
                    <w:rPr>
                      <w:bCs/>
                      <w:szCs w:val="21"/>
                    </w:rPr>
                    <w:t>后总产量</w:t>
                  </w:r>
                </w:p>
              </w:tc>
              <w:tc>
                <w:tcPr>
                  <w:tcW w:w="951" w:type="pct"/>
                  <w:noWrap w:val="0"/>
                  <w:vAlign w:val="center"/>
                </w:tcPr>
                <w:p w14:paraId="14547991">
                  <w:pPr>
                    <w:spacing w:line="320" w:lineRule="exact"/>
                    <w:jc w:val="center"/>
                    <w:rPr>
                      <w:bCs/>
                      <w:szCs w:val="21"/>
                    </w:rPr>
                  </w:pPr>
                  <w:r>
                    <w:rPr>
                      <w:bCs/>
                      <w:szCs w:val="21"/>
                    </w:rPr>
                    <w:t>规格(mm)</w:t>
                  </w:r>
                </w:p>
              </w:tc>
              <w:tc>
                <w:tcPr>
                  <w:tcW w:w="1124" w:type="pct"/>
                  <w:noWrap w:val="0"/>
                  <w:vAlign w:val="center"/>
                </w:tcPr>
                <w:p w14:paraId="1B7E5E7B">
                  <w:pPr>
                    <w:spacing w:line="320" w:lineRule="exact"/>
                    <w:jc w:val="center"/>
                    <w:rPr>
                      <w:bCs/>
                      <w:szCs w:val="21"/>
                    </w:rPr>
                  </w:pPr>
                  <w:r>
                    <w:rPr>
                      <w:rFonts w:hint="eastAsia"/>
                      <w:bCs/>
                      <w:szCs w:val="21"/>
                    </w:rPr>
                    <w:t>产品质量标准</w:t>
                  </w:r>
                </w:p>
              </w:tc>
            </w:tr>
            <w:tr w14:paraId="645C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366" w:type="pct"/>
                  <w:noWrap w:val="0"/>
                  <w:vAlign w:val="center"/>
                </w:tcPr>
                <w:p w14:paraId="54561B9C">
                  <w:pPr>
                    <w:spacing w:line="320" w:lineRule="exact"/>
                    <w:jc w:val="center"/>
                    <w:rPr>
                      <w:bCs/>
                      <w:szCs w:val="21"/>
                    </w:rPr>
                  </w:pPr>
                  <w:r>
                    <w:rPr>
                      <w:bCs/>
                      <w:szCs w:val="21"/>
                    </w:rPr>
                    <w:t>1</w:t>
                  </w:r>
                </w:p>
              </w:tc>
              <w:tc>
                <w:tcPr>
                  <w:tcW w:w="416" w:type="pct"/>
                  <w:noWrap w:val="0"/>
                  <w:vAlign w:val="center"/>
                </w:tcPr>
                <w:p w14:paraId="6A69AA3C">
                  <w:pPr>
                    <w:spacing w:line="320" w:lineRule="exact"/>
                    <w:jc w:val="center"/>
                    <w:rPr>
                      <w:bCs/>
                      <w:szCs w:val="21"/>
                    </w:rPr>
                  </w:pPr>
                  <w:r>
                    <w:rPr>
                      <w:rFonts w:hint="eastAsia"/>
                      <w:bCs/>
                      <w:szCs w:val="21"/>
                    </w:rPr>
                    <w:t>烧结砖</w:t>
                  </w:r>
                </w:p>
              </w:tc>
              <w:tc>
                <w:tcPr>
                  <w:tcW w:w="653" w:type="pct"/>
                  <w:noWrap w:val="0"/>
                  <w:vAlign w:val="center"/>
                </w:tcPr>
                <w:p w14:paraId="641A99CE">
                  <w:pPr>
                    <w:spacing w:line="320" w:lineRule="exact"/>
                    <w:jc w:val="center"/>
                    <w:rPr>
                      <w:bCs/>
                      <w:szCs w:val="21"/>
                    </w:rPr>
                  </w:pPr>
                  <w:r>
                    <w:rPr>
                      <w:rFonts w:hint="eastAsia"/>
                      <w:bCs/>
                      <w:szCs w:val="21"/>
                    </w:rPr>
                    <w:t>9000万块/年</w:t>
                  </w:r>
                </w:p>
              </w:tc>
              <w:tc>
                <w:tcPr>
                  <w:tcW w:w="814" w:type="pct"/>
                  <w:noWrap w:val="0"/>
                  <w:vAlign w:val="center"/>
                </w:tcPr>
                <w:p w14:paraId="2F77C4B6">
                  <w:pPr>
                    <w:spacing w:line="320" w:lineRule="exact"/>
                    <w:jc w:val="center"/>
                    <w:rPr>
                      <w:bCs/>
                      <w:szCs w:val="21"/>
                    </w:rPr>
                  </w:pPr>
                  <w:r>
                    <w:rPr>
                      <w:rFonts w:hint="eastAsia"/>
                      <w:bCs/>
                      <w:szCs w:val="21"/>
                    </w:rPr>
                    <w:t>3000万块/年</w:t>
                  </w:r>
                </w:p>
              </w:tc>
              <w:tc>
                <w:tcPr>
                  <w:tcW w:w="673" w:type="pct"/>
                  <w:noWrap w:val="0"/>
                  <w:vAlign w:val="center"/>
                </w:tcPr>
                <w:p w14:paraId="4B0BB771">
                  <w:pPr>
                    <w:spacing w:line="320" w:lineRule="exact"/>
                    <w:jc w:val="center"/>
                    <w:rPr>
                      <w:bCs/>
                      <w:szCs w:val="21"/>
                    </w:rPr>
                  </w:pPr>
                  <w:r>
                    <w:rPr>
                      <w:rFonts w:hint="eastAsia"/>
                      <w:bCs/>
                      <w:szCs w:val="21"/>
                    </w:rPr>
                    <w:t>12000万块/年</w:t>
                  </w:r>
                </w:p>
              </w:tc>
              <w:tc>
                <w:tcPr>
                  <w:tcW w:w="951" w:type="pct"/>
                  <w:noWrap w:val="0"/>
                  <w:vAlign w:val="center"/>
                </w:tcPr>
                <w:p w14:paraId="4F588FA6">
                  <w:pPr>
                    <w:spacing w:line="320" w:lineRule="exact"/>
                    <w:jc w:val="center"/>
                    <w:rPr>
                      <w:rFonts w:hint="eastAsia"/>
                      <w:bCs/>
                      <w:szCs w:val="21"/>
                    </w:rPr>
                  </w:pPr>
                  <w:r>
                    <w:rPr>
                      <w:rFonts w:hint="eastAsia"/>
                      <w:bCs/>
                      <w:szCs w:val="21"/>
                    </w:rPr>
                    <w:t>240×115×53</w:t>
                  </w:r>
                </w:p>
                <w:p w14:paraId="09D72A62">
                  <w:pPr>
                    <w:spacing w:line="320" w:lineRule="exact"/>
                    <w:jc w:val="center"/>
                    <w:rPr>
                      <w:bCs/>
                      <w:szCs w:val="21"/>
                    </w:rPr>
                  </w:pPr>
                  <w:r>
                    <w:rPr>
                      <w:rFonts w:hint="eastAsia"/>
                      <w:bCs/>
                      <w:szCs w:val="21"/>
                    </w:rPr>
                    <w:t>2.3kg/块</w:t>
                  </w:r>
                </w:p>
              </w:tc>
              <w:tc>
                <w:tcPr>
                  <w:tcW w:w="1124" w:type="pct"/>
                  <w:noWrap w:val="0"/>
                  <w:vAlign w:val="center"/>
                </w:tcPr>
                <w:p w14:paraId="308DFFF9">
                  <w:pPr>
                    <w:spacing w:line="320" w:lineRule="exact"/>
                    <w:jc w:val="center"/>
                    <w:rPr>
                      <w:rFonts w:hint="default" w:eastAsia="宋体"/>
                      <w:bCs/>
                      <w:szCs w:val="21"/>
                      <w:lang w:val="en-US" w:eastAsia="zh-CN"/>
                    </w:rPr>
                  </w:pPr>
                  <w:r>
                    <w:rPr>
                      <w:rFonts w:hint="eastAsia"/>
                      <w:bCs/>
                      <w:szCs w:val="21"/>
                      <w:lang w:eastAsia="zh-CN"/>
                    </w:rPr>
                    <w:t>《</w:t>
                  </w:r>
                  <w:r>
                    <w:rPr>
                      <w:rFonts w:hint="eastAsia"/>
                      <w:bCs/>
                      <w:szCs w:val="21"/>
                      <w:lang w:val="en-US" w:eastAsia="zh-CN"/>
                    </w:rPr>
                    <w:t>烧结普通砖</w:t>
                  </w:r>
                  <w:r>
                    <w:rPr>
                      <w:rFonts w:hint="eastAsia"/>
                      <w:bCs/>
                      <w:szCs w:val="21"/>
                      <w:lang w:eastAsia="zh-CN"/>
                    </w:rPr>
                    <w:t>》</w:t>
                  </w:r>
                  <w:r>
                    <w:rPr>
                      <w:rFonts w:hint="eastAsia"/>
                      <w:bCs/>
                      <w:szCs w:val="21"/>
                      <w:lang w:val="en-US" w:eastAsia="zh-CN"/>
                    </w:rPr>
                    <w:t>(GB/T 5101-2017)</w:t>
                  </w:r>
                </w:p>
              </w:tc>
            </w:tr>
          </w:tbl>
          <w:p w14:paraId="5D706684">
            <w:pPr>
              <w:spacing w:line="480" w:lineRule="exact"/>
              <w:ind w:firstLine="470" w:firstLineChars="196"/>
              <w:rPr>
                <w:rFonts w:hint="eastAsia" w:ascii="黑体" w:hAnsi="黑体" w:eastAsia="黑体" w:cs="黑体"/>
                <w:bCs/>
                <w:sz w:val="24"/>
              </w:rPr>
            </w:pPr>
          </w:p>
          <w:p w14:paraId="6D342B84">
            <w:pPr>
              <w:spacing w:line="480" w:lineRule="exact"/>
              <w:ind w:firstLine="470" w:firstLineChars="196"/>
              <w:rPr>
                <w:rFonts w:hint="eastAsia" w:ascii="黑体" w:hAnsi="黑体" w:eastAsia="黑体" w:cs="黑体"/>
                <w:bCs/>
                <w:sz w:val="24"/>
              </w:rPr>
            </w:pPr>
            <w:r>
              <w:rPr>
                <w:rFonts w:hint="eastAsia" w:ascii="黑体" w:hAnsi="黑体" w:eastAsia="黑体" w:cs="黑体"/>
                <w:bCs/>
                <w:sz w:val="24"/>
              </w:rPr>
              <w:t>5、项目主要生产设备</w:t>
            </w:r>
          </w:p>
          <w:p w14:paraId="170F1009">
            <w:pPr>
              <w:spacing w:line="480" w:lineRule="exact"/>
              <w:ind w:firstLine="480" w:firstLineChars="200"/>
              <w:rPr>
                <w:sz w:val="24"/>
              </w:rPr>
            </w:pPr>
            <w:r>
              <w:rPr>
                <w:sz w:val="24"/>
              </w:rPr>
              <w:t>本项目主要生产设备明细见下表。</w:t>
            </w:r>
          </w:p>
          <w:p w14:paraId="06EB7B0E">
            <w:pPr>
              <w:spacing w:line="480" w:lineRule="exact"/>
              <w:jc w:val="center"/>
              <w:rPr>
                <w:rFonts w:hint="eastAsia" w:ascii="黑体" w:hAnsi="黑体" w:eastAsia="黑体" w:cs="黑体"/>
                <w:bCs/>
                <w:sz w:val="24"/>
              </w:rPr>
            </w:pPr>
            <w:r>
              <w:rPr>
                <w:rFonts w:hint="eastAsia" w:ascii="黑体" w:hAnsi="黑体" w:eastAsia="黑体" w:cs="黑体"/>
                <w:bCs/>
                <w:sz w:val="24"/>
              </w:rPr>
              <w:t>表2-5主要设备一览表</w:t>
            </w:r>
          </w:p>
          <w:tbl>
            <w:tblPr>
              <w:tblStyle w:val="38"/>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732"/>
              <w:gridCol w:w="1461"/>
              <w:gridCol w:w="1800"/>
              <w:gridCol w:w="960"/>
              <w:gridCol w:w="914"/>
              <w:gridCol w:w="477"/>
              <w:gridCol w:w="567"/>
            </w:tblGrid>
            <w:tr w14:paraId="6920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66223E99">
                  <w:pPr>
                    <w:spacing w:line="276" w:lineRule="auto"/>
                    <w:jc w:val="center"/>
                    <w:rPr>
                      <w:bCs/>
                      <w:szCs w:val="21"/>
                    </w:rPr>
                  </w:pPr>
                  <w:r>
                    <w:rPr>
                      <w:bCs/>
                      <w:szCs w:val="21"/>
                    </w:rPr>
                    <w:t>序号</w:t>
                  </w:r>
                </w:p>
              </w:tc>
              <w:tc>
                <w:tcPr>
                  <w:tcW w:w="1732" w:type="dxa"/>
                  <w:noWrap w:val="0"/>
                  <w:vAlign w:val="center"/>
                </w:tcPr>
                <w:p w14:paraId="56CE4A4F">
                  <w:pPr>
                    <w:spacing w:line="276" w:lineRule="auto"/>
                    <w:jc w:val="center"/>
                    <w:rPr>
                      <w:bCs/>
                      <w:szCs w:val="21"/>
                    </w:rPr>
                  </w:pPr>
                  <w:r>
                    <w:rPr>
                      <w:bCs/>
                      <w:szCs w:val="21"/>
                    </w:rPr>
                    <w:t>设备名称</w:t>
                  </w:r>
                </w:p>
              </w:tc>
              <w:tc>
                <w:tcPr>
                  <w:tcW w:w="1461" w:type="dxa"/>
                  <w:noWrap w:val="0"/>
                  <w:vAlign w:val="center"/>
                </w:tcPr>
                <w:p w14:paraId="3ED495B8">
                  <w:pPr>
                    <w:spacing w:line="276" w:lineRule="auto"/>
                    <w:jc w:val="center"/>
                    <w:rPr>
                      <w:bCs/>
                      <w:szCs w:val="21"/>
                    </w:rPr>
                  </w:pPr>
                  <w:r>
                    <w:rPr>
                      <w:bCs/>
                      <w:szCs w:val="21"/>
                    </w:rPr>
                    <w:t>生产工序</w:t>
                  </w:r>
                </w:p>
              </w:tc>
              <w:tc>
                <w:tcPr>
                  <w:tcW w:w="1800" w:type="dxa"/>
                  <w:noWrap w:val="0"/>
                  <w:vAlign w:val="center"/>
                </w:tcPr>
                <w:p w14:paraId="2DE344F3">
                  <w:pPr>
                    <w:spacing w:line="276" w:lineRule="auto"/>
                    <w:jc w:val="center"/>
                    <w:rPr>
                      <w:bCs/>
                      <w:szCs w:val="21"/>
                    </w:rPr>
                  </w:pPr>
                  <w:r>
                    <w:rPr>
                      <w:bCs/>
                      <w:szCs w:val="21"/>
                    </w:rPr>
                    <w:t>规格型号</w:t>
                  </w:r>
                </w:p>
              </w:tc>
              <w:tc>
                <w:tcPr>
                  <w:tcW w:w="960" w:type="dxa"/>
                  <w:noWrap w:val="0"/>
                  <w:vAlign w:val="center"/>
                </w:tcPr>
                <w:p w14:paraId="79322A3B">
                  <w:pPr>
                    <w:spacing w:line="276" w:lineRule="auto"/>
                    <w:jc w:val="center"/>
                    <w:rPr>
                      <w:bCs/>
                      <w:szCs w:val="21"/>
                    </w:rPr>
                  </w:pPr>
                  <w:r>
                    <w:rPr>
                      <w:bCs/>
                      <w:szCs w:val="21"/>
                    </w:rPr>
                    <w:t>改扩建前数量</w:t>
                  </w:r>
                </w:p>
              </w:tc>
              <w:tc>
                <w:tcPr>
                  <w:tcW w:w="914" w:type="dxa"/>
                  <w:noWrap w:val="0"/>
                  <w:vAlign w:val="center"/>
                </w:tcPr>
                <w:p w14:paraId="5564C282">
                  <w:pPr>
                    <w:spacing w:line="276" w:lineRule="auto"/>
                    <w:jc w:val="center"/>
                    <w:rPr>
                      <w:bCs/>
                      <w:szCs w:val="21"/>
                    </w:rPr>
                  </w:pPr>
                  <w:r>
                    <w:rPr>
                      <w:bCs/>
                      <w:szCs w:val="21"/>
                    </w:rPr>
                    <w:t>改扩建后数量</w:t>
                  </w:r>
                </w:p>
              </w:tc>
              <w:tc>
                <w:tcPr>
                  <w:tcW w:w="477" w:type="dxa"/>
                  <w:noWrap w:val="0"/>
                  <w:vAlign w:val="center"/>
                </w:tcPr>
                <w:p w14:paraId="1C0FA847">
                  <w:pPr>
                    <w:spacing w:line="276" w:lineRule="auto"/>
                    <w:jc w:val="center"/>
                    <w:rPr>
                      <w:bCs/>
                      <w:szCs w:val="21"/>
                    </w:rPr>
                  </w:pPr>
                  <w:r>
                    <w:rPr>
                      <w:bCs/>
                      <w:szCs w:val="21"/>
                    </w:rPr>
                    <w:t>单位</w:t>
                  </w:r>
                </w:p>
              </w:tc>
              <w:tc>
                <w:tcPr>
                  <w:tcW w:w="567" w:type="dxa"/>
                  <w:noWrap w:val="0"/>
                  <w:vAlign w:val="center"/>
                </w:tcPr>
                <w:p w14:paraId="3B313E09">
                  <w:pPr>
                    <w:spacing w:line="276" w:lineRule="auto"/>
                    <w:jc w:val="center"/>
                    <w:rPr>
                      <w:bCs/>
                      <w:szCs w:val="21"/>
                    </w:rPr>
                  </w:pPr>
                  <w:r>
                    <w:rPr>
                      <w:bCs/>
                      <w:szCs w:val="21"/>
                    </w:rPr>
                    <w:t>备注</w:t>
                  </w:r>
                </w:p>
              </w:tc>
            </w:tr>
            <w:tr w14:paraId="59DF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3F505241">
                  <w:pPr>
                    <w:spacing w:line="276" w:lineRule="auto"/>
                    <w:jc w:val="center"/>
                    <w:rPr>
                      <w:bCs/>
                      <w:szCs w:val="21"/>
                    </w:rPr>
                  </w:pPr>
                  <w:r>
                    <w:rPr>
                      <w:bCs/>
                      <w:szCs w:val="21"/>
                    </w:rPr>
                    <w:t>1</w:t>
                  </w:r>
                </w:p>
              </w:tc>
              <w:tc>
                <w:tcPr>
                  <w:tcW w:w="1732" w:type="dxa"/>
                  <w:noWrap w:val="0"/>
                  <w:vAlign w:val="center"/>
                </w:tcPr>
                <w:p w14:paraId="4B5A3729">
                  <w:pPr>
                    <w:spacing w:line="276" w:lineRule="auto"/>
                    <w:jc w:val="center"/>
                    <w:rPr>
                      <w:bCs/>
                      <w:szCs w:val="21"/>
                    </w:rPr>
                  </w:pPr>
                  <w:r>
                    <w:rPr>
                      <w:bCs/>
                      <w:szCs w:val="21"/>
                    </w:rPr>
                    <w:t>箱式给料机</w:t>
                  </w:r>
                </w:p>
              </w:tc>
              <w:tc>
                <w:tcPr>
                  <w:tcW w:w="1461" w:type="dxa"/>
                  <w:noWrap w:val="0"/>
                  <w:vAlign w:val="center"/>
                </w:tcPr>
                <w:p w14:paraId="1F29F9FC">
                  <w:pPr>
                    <w:spacing w:line="276" w:lineRule="auto"/>
                    <w:jc w:val="center"/>
                    <w:rPr>
                      <w:bCs/>
                      <w:szCs w:val="21"/>
                    </w:rPr>
                  </w:pPr>
                  <w:r>
                    <w:rPr>
                      <w:bCs/>
                      <w:szCs w:val="21"/>
                    </w:rPr>
                    <w:t>供料</w:t>
                  </w:r>
                </w:p>
              </w:tc>
              <w:tc>
                <w:tcPr>
                  <w:tcW w:w="1800" w:type="dxa"/>
                  <w:noWrap w:val="0"/>
                  <w:vAlign w:val="center"/>
                </w:tcPr>
                <w:p w14:paraId="57A58576">
                  <w:pPr>
                    <w:spacing w:line="276" w:lineRule="auto"/>
                    <w:jc w:val="center"/>
                    <w:rPr>
                      <w:bCs/>
                      <w:szCs w:val="21"/>
                    </w:rPr>
                  </w:pPr>
                  <w:r>
                    <w:rPr>
                      <w:bCs/>
                      <w:szCs w:val="21"/>
                    </w:rPr>
                    <w:t>XG</w:t>
                  </w:r>
                  <w:r>
                    <w:rPr>
                      <w:rFonts w:hint="eastAsia"/>
                      <w:bCs/>
                      <w:szCs w:val="21"/>
                    </w:rPr>
                    <w:t>J</w:t>
                  </w:r>
                  <w:r>
                    <w:rPr>
                      <w:bCs/>
                      <w:szCs w:val="21"/>
                    </w:rPr>
                    <w:t>800</w:t>
                  </w:r>
                </w:p>
              </w:tc>
              <w:tc>
                <w:tcPr>
                  <w:tcW w:w="960" w:type="dxa"/>
                  <w:noWrap w:val="0"/>
                  <w:vAlign w:val="center"/>
                </w:tcPr>
                <w:p w14:paraId="7E60611F">
                  <w:pPr>
                    <w:spacing w:line="276" w:lineRule="auto"/>
                    <w:jc w:val="center"/>
                    <w:rPr>
                      <w:bCs/>
                      <w:szCs w:val="21"/>
                    </w:rPr>
                  </w:pPr>
                  <w:r>
                    <w:rPr>
                      <w:bCs/>
                      <w:szCs w:val="21"/>
                    </w:rPr>
                    <w:t>2</w:t>
                  </w:r>
                </w:p>
              </w:tc>
              <w:tc>
                <w:tcPr>
                  <w:tcW w:w="914" w:type="dxa"/>
                  <w:noWrap w:val="0"/>
                  <w:vAlign w:val="center"/>
                </w:tcPr>
                <w:p w14:paraId="18ED2541">
                  <w:pPr>
                    <w:spacing w:line="276" w:lineRule="auto"/>
                    <w:jc w:val="center"/>
                    <w:rPr>
                      <w:bCs/>
                      <w:szCs w:val="21"/>
                    </w:rPr>
                  </w:pPr>
                  <w:r>
                    <w:rPr>
                      <w:bCs/>
                      <w:szCs w:val="21"/>
                    </w:rPr>
                    <w:t>2</w:t>
                  </w:r>
                </w:p>
              </w:tc>
              <w:tc>
                <w:tcPr>
                  <w:tcW w:w="477" w:type="dxa"/>
                  <w:noWrap w:val="0"/>
                  <w:vAlign w:val="center"/>
                </w:tcPr>
                <w:p w14:paraId="63438906">
                  <w:pPr>
                    <w:spacing w:line="276" w:lineRule="auto"/>
                    <w:jc w:val="center"/>
                    <w:rPr>
                      <w:bCs/>
                      <w:szCs w:val="21"/>
                    </w:rPr>
                  </w:pPr>
                  <w:r>
                    <w:rPr>
                      <w:bCs/>
                      <w:szCs w:val="21"/>
                    </w:rPr>
                    <w:t>台</w:t>
                  </w:r>
                </w:p>
              </w:tc>
              <w:tc>
                <w:tcPr>
                  <w:tcW w:w="567" w:type="dxa"/>
                  <w:noWrap w:val="0"/>
                  <w:vAlign w:val="center"/>
                </w:tcPr>
                <w:p w14:paraId="79C8349B">
                  <w:pPr>
                    <w:spacing w:line="276" w:lineRule="auto"/>
                    <w:jc w:val="center"/>
                    <w:rPr>
                      <w:bCs/>
                      <w:szCs w:val="21"/>
                    </w:rPr>
                  </w:pPr>
                  <w:r>
                    <w:rPr>
                      <w:bCs/>
                      <w:szCs w:val="21"/>
                    </w:rPr>
                    <w:t>0</w:t>
                  </w:r>
                </w:p>
              </w:tc>
            </w:tr>
            <w:tr w14:paraId="174E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6BCF199F">
                  <w:pPr>
                    <w:spacing w:line="276" w:lineRule="auto"/>
                    <w:jc w:val="center"/>
                    <w:rPr>
                      <w:bCs/>
                      <w:szCs w:val="21"/>
                    </w:rPr>
                  </w:pPr>
                  <w:r>
                    <w:rPr>
                      <w:bCs/>
                      <w:szCs w:val="21"/>
                    </w:rPr>
                    <w:t>2</w:t>
                  </w:r>
                </w:p>
              </w:tc>
              <w:tc>
                <w:tcPr>
                  <w:tcW w:w="1732" w:type="dxa"/>
                  <w:noWrap w:val="0"/>
                  <w:vAlign w:val="center"/>
                </w:tcPr>
                <w:p w14:paraId="360A22B1">
                  <w:pPr>
                    <w:spacing w:line="276" w:lineRule="auto"/>
                    <w:jc w:val="center"/>
                    <w:rPr>
                      <w:bCs/>
                      <w:szCs w:val="21"/>
                    </w:rPr>
                  </w:pPr>
                  <w:r>
                    <w:rPr>
                      <w:bCs/>
                      <w:szCs w:val="21"/>
                    </w:rPr>
                    <w:t>板式给料机</w:t>
                  </w:r>
                </w:p>
              </w:tc>
              <w:tc>
                <w:tcPr>
                  <w:tcW w:w="1461" w:type="dxa"/>
                  <w:noWrap w:val="0"/>
                  <w:vAlign w:val="center"/>
                </w:tcPr>
                <w:p w14:paraId="1A2F19A5">
                  <w:pPr>
                    <w:spacing w:line="276" w:lineRule="auto"/>
                    <w:jc w:val="center"/>
                    <w:rPr>
                      <w:bCs/>
                      <w:szCs w:val="21"/>
                    </w:rPr>
                  </w:pPr>
                  <w:r>
                    <w:rPr>
                      <w:bCs/>
                      <w:szCs w:val="21"/>
                    </w:rPr>
                    <w:t>供料</w:t>
                  </w:r>
                </w:p>
              </w:tc>
              <w:tc>
                <w:tcPr>
                  <w:tcW w:w="1800" w:type="dxa"/>
                  <w:noWrap w:val="0"/>
                  <w:vAlign w:val="center"/>
                </w:tcPr>
                <w:p w14:paraId="03F4F85D">
                  <w:pPr>
                    <w:spacing w:line="276" w:lineRule="auto"/>
                    <w:jc w:val="center"/>
                    <w:rPr>
                      <w:bCs/>
                      <w:szCs w:val="21"/>
                    </w:rPr>
                  </w:pPr>
                  <w:r>
                    <w:rPr>
                      <w:rFonts w:hint="eastAsia"/>
                      <w:bCs/>
                      <w:szCs w:val="21"/>
                    </w:rPr>
                    <w:t>B</w:t>
                  </w:r>
                  <w:r>
                    <w:rPr>
                      <w:bCs/>
                      <w:szCs w:val="21"/>
                    </w:rPr>
                    <w:t>GL1000</w:t>
                  </w:r>
                </w:p>
              </w:tc>
              <w:tc>
                <w:tcPr>
                  <w:tcW w:w="960" w:type="dxa"/>
                  <w:noWrap w:val="0"/>
                  <w:vAlign w:val="center"/>
                </w:tcPr>
                <w:p w14:paraId="3BFF76FF">
                  <w:pPr>
                    <w:spacing w:line="276" w:lineRule="auto"/>
                    <w:jc w:val="center"/>
                    <w:rPr>
                      <w:bCs/>
                      <w:szCs w:val="21"/>
                    </w:rPr>
                  </w:pPr>
                  <w:r>
                    <w:rPr>
                      <w:bCs/>
                      <w:szCs w:val="21"/>
                    </w:rPr>
                    <w:t>1</w:t>
                  </w:r>
                </w:p>
              </w:tc>
              <w:tc>
                <w:tcPr>
                  <w:tcW w:w="914" w:type="dxa"/>
                  <w:noWrap w:val="0"/>
                  <w:vAlign w:val="center"/>
                </w:tcPr>
                <w:p w14:paraId="10771E9F">
                  <w:pPr>
                    <w:spacing w:line="276" w:lineRule="auto"/>
                    <w:jc w:val="center"/>
                    <w:rPr>
                      <w:bCs/>
                      <w:szCs w:val="21"/>
                    </w:rPr>
                  </w:pPr>
                  <w:r>
                    <w:rPr>
                      <w:bCs/>
                      <w:szCs w:val="21"/>
                    </w:rPr>
                    <w:t>1</w:t>
                  </w:r>
                </w:p>
              </w:tc>
              <w:tc>
                <w:tcPr>
                  <w:tcW w:w="477" w:type="dxa"/>
                  <w:noWrap w:val="0"/>
                  <w:vAlign w:val="center"/>
                </w:tcPr>
                <w:p w14:paraId="1B696C16">
                  <w:pPr>
                    <w:spacing w:line="276" w:lineRule="auto"/>
                    <w:jc w:val="center"/>
                    <w:rPr>
                      <w:bCs/>
                      <w:szCs w:val="21"/>
                    </w:rPr>
                  </w:pPr>
                  <w:r>
                    <w:rPr>
                      <w:bCs/>
                      <w:szCs w:val="21"/>
                    </w:rPr>
                    <w:t>台</w:t>
                  </w:r>
                </w:p>
              </w:tc>
              <w:tc>
                <w:tcPr>
                  <w:tcW w:w="567" w:type="dxa"/>
                  <w:noWrap w:val="0"/>
                  <w:vAlign w:val="center"/>
                </w:tcPr>
                <w:p w14:paraId="2621455B">
                  <w:pPr>
                    <w:spacing w:line="276" w:lineRule="auto"/>
                    <w:jc w:val="center"/>
                    <w:rPr>
                      <w:bCs/>
                      <w:szCs w:val="21"/>
                    </w:rPr>
                  </w:pPr>
                  <w:r>
                    <w:rPr>
                      <w:bCs/>
                      <w:szCs w:val="21"/>
                    </w:rPr>
                    <w:t>0</w:t>
                  </w:r>
                </w:p>
              </w:tc>
            </w:tr>
            <w:tr w14:paraId="4F3F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353E09A4">
                  <w:pPr>
                    <w:spacing w:line="276" w:lineRule="auto"/>
                    <w:jc w:val="center"/>
                    <w:rPr>
                      <w:rFonts w:hint="eastAsia"/>
                      <w:bCs/>
                      <w:szCs w:val="21"/>
                    </w:rPr>
                  </w:pPr>
                  <w:r>
                    <w:rPr>
                      <w:rFonts w:hint="eastAsia"/>
                      <w:bCs/>
                      <w:szCs w:val="21"/>
                    </w:rPr>
                    <w:t>3</w:t>
                  </w:r>
                </w:p>
              </w:tc>
              <w:tc>
                <w:tcPr>
                  <w:tcW w:w="1732" w:type="dxa"/>
                  <w:noWrap w:val="0"/>
                  <w:vAlign w:val="center"/>
                </w:tcPr>
                <w:p w14:paraId="795563AE">
                  <w:pPr>
                    <w:spacing w:line="276" w:lineRule="auto"/>
                    <w:jc w:val="center"/>
                    <w:rPr>
                      <w:bCs/>
                      <w:szCs w:val="21"/>
                    </w:rPr>
                  </w:pPr>
                  <w:r>
                    <w:rPr>
                      <w:bCs/>
                      <w:szCs w:val="21"/>
                    </w:rPr>
                    <w:t>锤式破碎机</w:t>
                  </w:r>
                </w:p>
              </w:tc>
              <w:tc>
                <w:tcPr>
                  <w:tcW w:w="1461" w:type="dxa"/>
                  <w:noWrap w:val="0"/>
                  <w:vAlign w:val="center"/>
                </w:tcPr>
                <w:p w14:paraId="36F4F55A">
                  <w:pPr>
                    <w:spacing w:line="276" w:lineRule="auto"/>
                    <w:jc w:val="center"/>
                    <w:rPr>
                      <w:bCs/>
                      <w:szCs w:val="21"/>
                    </w:rPr>
                  </w:pPr>
                  <w:r>
                    <w:rPr>
                      <w:bCs/>
                      <w:szCs w:val="21"/>
                    </w:rPr>
                    <w:t>破碎</w:t>
                  </w:r>
                </w:p>
              </w:tc>
              <w:tc>
                <w:tcPr>
                  <w:tcW w:w="1800" w:type="dxa"/>
                  <w:noWrap w:val="0"/>
                  <w:vAlign w:val="center"/>
                </w:tcPr>
                <w:p w14:paraId="185631E2">
                  <w:pPr>
                    <w:spacing w:line="276" w:lineRule="auto"/>
                    <w:jc w:val="center"/>
                    <w:rPr>
                      <w:bCs/>
                      <w:szCs w:val="21"/>
                    </w:rPr>
                  </w:pPr>
                  <w:r>
                    <w:rPr>
                      <w:rFonts w:hint="eastAsia"/>
                      <w:bCs/>
                      <w:szCs w:val="21"/>
                    </w:rPr>
                    <w:t>XCP10/08</w:t>
                  </w:r>
                </w:p>
              </w:tc>
              <w:tc>
                <w:tcPr>
                  <w:tcW w:w="960" w:type="dxa"/>
                  <w:noWrap w:val="0"/>
                  <w:vAlign w:val="center"/>
                </w:tcPr>
                <w:p w14:paraId="18B5A885">
                  <w:pPr>
                    <w:spacing w:line="276" w:lineRule="auto"/>
                    <w:jc w:val="center"/>
                    <w:rPr>
                      <w:rFonts w:hint="eastAsia"/>
                      <w:bCs/>
                      <w:szCs w:val="21"/>
                    </w:rPr>
                  </w:pPr>
                  <w:r>
                    <w:rPr>
                      <w:rFonts w:hint="eastAsia"/>
                      <w:bCs/>
                      <w:szCs w:val="21"/>
                    </w:rPr>
                    <w:t>2</w:t>
                  </w:r>
                </w:p>
              </w:tc>
              <w:tc>
                <w:tcPr>
                  <w:tcW w:w="914" w:type="dxa"/>
                  <w:noWrap w:val="0"/>
                  <w:vAlign w:val="center"/>
                </w:tcPr>
                <w:p w14:paraId="4E7538D5">
                  <w:pPr>
                    <w:spacing w:line="276" w:lineRule="auto"/>
                    <w:jc w:val="center"/>
                    <w:rPr>
                      <w:rFonts w:hint="eastAsia"/>
                      <w:bCs/>
                      <w:szCs w:val="21"/>
                    </w:rPr>
                  </w:pPr>
                  <w:r>
                    <w:rPr>
                      <w:rFonts w:hint="eastAsia"/>
                      <w:bCs/>
                      <w:szCs w:val="21"/>
                    </w:rPr>
                    <w:t>2</w:t>
                  </w:r>
                </w:p>
              </w:tc>
              <w:tc>
                <w:tcPr>
                  <w:tcW w:w="477" w:type="dxa"/>
                  <w:noWrap w:val="0"/>
                  <w:vAlign w:val="center"/>
                </w:tcPr>
                <w:p w14:paraId="0B9B0D48">
                  <w:pPr>
                    <w:spacing w:line="276" w:lineRule="auto"/>
                    <w:jc w:val="center"/>
                    <w:rPr>
                      <w:bCs/>
                      <w:szCs w:val="21"/>
                    </w:rPr>
                  </w:pPr>
                  <w:r>
                    <w:rPr>
                      <w:bCs/>
                      <w:szCs w:val="21"/>
                    </w:rPr>
                    <w:t>台</w:t>
                  </w:r>
                </w:p>
              </w:tc>
              <w:tc>
                <w:tcPr>
                  <w:tcW w:w="567" w:type="dxa"/>
                  <w:noWrap w:val="0"/>
                  <w:vAlign w:val="center"/>
                </w:tcPr>
                <w:p w14:paraId="613A90B1">
                  <w:pPr>
                    <w:spacing w:line="276" w:lineRule="auto"/>
                    <w:jc w:val="center"/>
                    <w:rPr>
                      <w:rFonts w:hint="eastAsia"/>
                      <w:bCs/>
                      <w:szCs w:val="21"/>
                    </w:rPr>
                  </w:pPr>
                  <w:r>
                    <w:rPr>
                      <w:rFonts w:hint="eastAsia"/>
                      <w:bCs/>
                      <w:szCs w:val="21"/>
                    </w:rPr>
                    <w:t>0</w:t>
                  </w:r>
                </w:p>
              </w:tc>
            </w:tr>
            <w:tr w14:paraId="55A8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6F759524">
                  <w:pPr>
                    <w:spacing w:line="276" w:lineRule="auto"/>
                    <w:jc w:val="center"/>
                    <w:rPr>
                      <w:rFonts w:hint="eastAsia"/>
                      <w:bCs/>
                      <w:szCs w:val="21"/>
                    </w:rPr>
                  </w:pPr>
                  <w:r>
                    <w:rPr>
                      <w:rFonts w:hint="eastAsia"/>
                      <w:bCs/>
                      <w:szCs w:val="21"/>
                    </w:rPr>
                    <w:t>4</w:t>
                  </w:r>
                </w:p>
              </w:tc>
              <w:tc>
                <w:tcPr>
                  <w:tcW w:w="1732" w:type="dxa"/>
                  <w:noWrap w:val="0"/>
                  <w:vAlign w:val="center"/>
                </w:tcPr>
                <w:p w14:paraId="7D7A3C46">
                  <w:pPr>
                    <w:spacing w:line="276" w:lineRule="auto"/>
                    <w:jc w:val="center"/>
                    <w:rPr>
                      <w:bCs/>
                      <w:szCs w:val="21"/>
                    </w:rPr>
                  </w:pPr>
                  <w:r>
                    <w:rPr>
                      <w:rFonts w:hint="eastAsia"/>
                      <w:bCs/>
                      <w:szCs w:val="21"/>
                    </w:rPr>
                    <w:t>全封闭破碎机</w:t>
                  </w:r>
                </w:p>
              </w:tc>
              <w:tc>
                <w:tcPr>
                  <w:tcW w:w="1461" w:type="dxa"/>
                  <w:noWrap w:val="0"/>
                  <w:vAlign w:val="center"/>
                </w:tcPr>
                <w:p w14:paraId="12967813">
                  <w:pPr>
                    <w:spacing w:line="276" w:lineRule="auto"/>
                    <w:jc w:val="center"/>
                    <w:rPr>
                      <w:bCs/>
                      <w:szCs w:val="21"/>
                    </w:rPr>
                  </w:pPr>
                  <w:r>
                    <w:rPr>
                      <w:bCs/>
                      <w:szCs w:val="21"/>
                    </w:rPr>
                    <w:t>破碎</w:t>
                  </w:r>
                </w:p>
              </w:tc>
              <w:tc>
                <w:tcPr>
                  <w:tcW w:w="1800" w:type="dxa"/>
                  <w:noWrap w:val="0"/>
                  <w:vAlign w:val="center"/>
                </w:tcPr>
                <w:p w14:paraId="0D740EED">
                  <w:pPr>
                    <w:spacing w:line="276" w:lineRule="auto"/>
                    <w:jc w:val="center"/>
                    <w:rPr>
                      <w:bCs/>
                      <w:szCs w:val="21"/>
                    </w:rPr>
                  </w:pPr>
                  <w:r>
                    <w:rPr>
                      <w:rFonts w:hint="eastAsia"/>
                      <w:bCs/>
                      <w:szCs w:val="21"/>
                    </w:rPr>
                    <w:t>/</w:t>
                  </w:r>
                </w:p>
              </w:tc>
              <w:tc>
                <w:tcPr>
                  <w:tcW w:w="960" w:type="dxa"/>
                  <w:noWrap w:val="0"/>
                  <w:vAlign w:val="center"/>
                </w:tcPr>
                <w:p w14:paraId="2B35CC00">
                  <w:pPr>
                    <w:spacing w:line="276" w:lineRule="auto"/>
                    <w:jc w:val="center"/>
                    <w:rPr>
                      <w:rFonts w:hint="eastAsia"/>
                      <w:bCs/>
                      <w:szCs w:val="21"/>
                    </w:rPr>
                  </w:pPr>
                  <w:r>
                    <w:rPr>
                      <w:rFonts w:hint="eastAsia"/>
                      <w:bCs/>
                      <w:szCs w:val="21"/>
                    </w:rPr>
                    <w:t>0</w:t>
                  </w:r>
                </w:p>
              </w:tc>
              <w:tc>
                <w:tcPr>
                  <w:tcW w:w="914" w:type="dxa"/>
                  <w:noWrap w:val="0"/>
                  <w:vAlign w:val="center"/>
                </w:tcPr>
                <w:p w14:paraId="52269C1D">
                  <w:pPr>
                    <w:spacing w:line="276" w:lineRule="auto"/>
                    <w:jc w:val="center"/>
                    <w:rPr>
                      <w:rFonts w:hint="eastAsia"/>
                      <w:bCs/>
                      <w:szCs w:val="21"/>
                    </w:rPr>
                  </w:pPr>
                  <w:r>
                    <w:rPr>
                      <w:rFonts w:hint="eastAsia"/>
                      <w:bCs/>
                      <w:szCs w:val="21"/>
                    </w:rPr>
                    <w:t>1</w:t>
                  </w:r>
                </w:p>
              </w:tc>
              <w:tc>
                <w:tcPr>
                  <w:tcW w:w="477" w:type="dxa"/>
                  <w:noWrap w:val="0"/>
                  <w:vAlign w:val="center"/>
                </w:tcPr>
                <w:p w14:paraId="6417C5B2">
                  <w:pPr>
                    <w:spacing w:line="276" w:lineRule="auto"/>
                    <w:jc w:val="center"/>
                    <w:rPr>
                      <w:bCs/>
                      <w:szCs w:val="21"/>
                    </w:rPr>
                  </w:pPr>
                  <w:r>
                    <w:rPr>
                      <w:bCs/>
                      <w:szCs w:val="21"/>
                    </w:rPr>
                    <w:t>台</w:t>
                  </w:r>
                </w:p>
              </w:tc>
              <w:tc>
                <w:tcPr>
                  <w:tcW w:w="567" w:type="dxa"/>
                  <w:noWrap w:val="0"/>
                  <w:vAlign w:val="center"/>
                </w:tcPr>
                <w:p w14:paraId="11982C4B">
                  <w:pPr>
                    <w:spacing w:line="276" w:lineRule="auto"/>
                    <w:jc w:val="center"/>
                    <w:rPr>
                      <w:bCs/>
                      <w:szCs w:val="21"/>
                    </w:rPr>
                  </w:pPr>
                  <w:r>
                    <w:rPr>
                      <w:rFonts w:hint="eastAsia"/>
                      <w:bCs/>
                      <w:szCs w:val="21"/>
                    </w:rPr>
                    <w:t>+1</w:t>
                  </w:r>
                </w:p>
              </w:tc>
            </w:tr>
            <w:tr w14:paraId="50D6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4B2F86BF">
                  <w:pPr>
                    <w:spacing w:line="276" w:lineRule="auto"/>
                    <w:jc w:val="center"/>
                    <w:rPr>
                      <w:rFonts w:hint="eastAsia"/>
                      <w:bCs/>
                      <w:szCs w:val="21"/>
                    </w:rPr>
                  </w:pPr>
                  <w:r>
                    <w:rPr>
                      <w:rFonts w:hint="eastAsia"/>
                      <w:bCs/>
                      <w:szCs w:val="21"/>
                    </w:rPr>
                    <w:t>5</w:t>
                  </w:r>
                </w:p>
              </w:tc>
              <w:tc>
                <w:tcPr>
                  <w:tcW w:w="1732" w:type="dxa"/>
                  <w:noWrap w:val="0"/>
                  <w:vAlign w:val="center"/>
                </w:tcPr>
                <w:p w14:paraId="5E1B9D86">
                  <w:pPr>
                    <w:spacing w:line="276" w:lineRule="auto"/>
                    <w:jc w:val="center"/>
                    <w:rPr>
                      <w:bCs/>
                      <w:szCs w:val="21"/>
                    </w:rPr>
                  </w:pPr>
                  <w:r>
                    <w:rPr>
                      <w:rFonts w:hint="eastAsia"/>
                      <w:bCs/>
                      <w:szCs w:val="21"/>
                    </w:rPr>
                    <w:t>电磁振动筛</w:t>
                  </w:r>
                </w:p>
              </w:tc>
              <w:tc>
                <w:tcPr>
                  <w:tcW w:w="1461" w:type="dxa"/>
                  <w:noWrap w:val="0"/>
                  <w:vAlign w:val="center"/>
                </w:tcPr>
                <w:p w14:paraId="35689D9B">
                  <w:pPr>
                    <w:spacing w:line="276" w:lineRule="auto"/>
                    <w:jc w:val="center"/>
                    <w:rPr>
                      <w:rFonts w:hint="eastAsia"/>
                      <w:bCs/>
                      <w:szCs w:val="21"/>
                    </w:rPr>
                  </w:pPr>
                  <w:r>
                    <w:rPr>
                      <w:rFonts w:hint="eastAsia"/>
                      <w:bCs/>
                      <w:szCs w:val="21"/>
                    </w:rPr>
                    <w:t>筛选</w:t>
                  </w:r>
                </w:p>
              </w:tc>
              <w:tc>
                <w:tcPr>
                  <w:tcW w:w="1800" w:type="dxa"/>
                  <w:noWrap w:val="0"/>
                  <w:vAlign w:val="center"/>
                </w:tcPr>
                <w:p w14:paraId="6C5AFB5D">
                  <w:pPr>
                    <w:spacing w:line="276" w:lineRule="auto"/>
                    <w:jc w:val="center"/>
                    <w:rPr>
                      <w:bCs/>
                      <w:szCs w:val="21"/>
                    </w:rPr>
                  </w:pPr>
                  <w:r>
                    <w:rPr>
                      <w:rFonts w:hint="eastAsia"/>
                      <w:bCs/>
                      <w:szCs w:val="21"/>
                    </w:rPr>
                    <w:t>MVS2435</w:t>
                  </w:r>
                </w:p>
              </w:tc>
              <w:tc>
                <w:tcPr>
                  <w:tcW w:w="960" w:type="dxa"/>
                  <w:noWrap w:val="0"/>
                  <w:vAlign w:val="center"/>
                </w:tcPr>
                <w:p w14:paraId="5D62E030">
                  <w:pPr>
                    <w:spacing w:line="276" w:lineRule="auto"/>
                    <w:jc w:val="center"/>
                    <w:rPr>
                      <w:rFonts w:hint="eastAsia"/>
                      <w:bCs/>
                      <w:szCs w:val="21"/>
                    </w:rPr>
                  </w:pPr>
                  <w:r>
                    <w:rPr>
                      <w:rFonts w:hint="eastAsia"/>
                      <w:bCs/>
                      <w:szCs w:val="21"/>
                    </w:rPr>
                    <w:t>1</w:t>
                  </w:r>
                </w:p>
              </w:tc>
              <w:tc>
                <w:tcPr>
                  <w:tcW w:w="914" w:type="dxa"/>
                  <w:noWrap w:val="0"/>
                  <w:vAlign w:val="center"/>
                </w:tcPr>
                <w:p w14:paraId="54561407">
                  <w:pPr>
                    <w:spacing w:line="276" w:lineRule="auto"/>
                    <w:jc w:val="center"/>
                    <w:rPr>
                      <w:rFonts w:hint="eastAsia"/>
                      <w:bCs/>
                      <w:szCs w:val="21"/>
                    </w:rPr>
                  </w:pPr>
                  <w:r>
                    <w:rPr>
                      <w:rFonts w:hint="eastAsia"/>
                      <w:bCs/>
                      <w:szCs w:val="21"/>
                    </w:rPr>
                    <w:t>1</w:t>
                  </w:r>
                </w:p>
              </w:tc>
              <w:tc>
                <w:tcPr>
                  <w:tcW w:w="477" w:type="dxa"/>
                  <w:noWrap w:val="0"/>
                  <w:vAlign w:val="center"/>
                </w:tcPr>
                <w:p w14:paraId="19A86D59">
                  <w:pPr>
                    <w:spacing w:line="276" w:lineRule="auto"/>
                    <w:jc w:val="center"/>
                    <w:rPr>
                      <w:bCs/>
                      <w:szCs w:val="21"/>
                    </w:rPr>
                  </w:pPr>
                  <w:r>
                    <w:rPr>
                      <w:bCs/>
                      <w:szCs w:val="21"/>
                    </w:rPr>
                    <w:t>台</w:t>
                  </w:r>
                </w:p>
              </w:tc>
              <w:tc>
                <w:tcPr>
                  <w:tcW w:w="567" w:type="dxa"/>
                  <w:noWrap w:val="0"/>
                  <w:vAlign w:val="center"/>
                </w:tcPr>
                <w:p w14:paraId="174DD7F2">
                  <w:pPr>
                    <w:spacing w:line="276" w:lineRule="auto"/>
                    <w:jc w:val="center"/>
                    <w:rPr>
                      <w:rFonts w:hint="eastAsia"/>
                      <w:bCs/>
                      <w:szCs w:val="21"/>
                    </w:rPr>
                  </w:pPr>
                  <w:r>
                    <w:rPr>
                      <w:rFonts w:hint="eastAsia"/>
                      <w:bCs/>
                      <w:szCs w:val="21"/>
                    </w:rPr>
                    <w:t>0</w:t>
                  </w:r>
                </w:p>
              </w:tc>
            </w:tr>
            <w:tr w14:paraId="0FE6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7CEC87CF">
                  <w:pPr>
                    <w:spacing w:line="276" w:lineRule="auto"/>
                    <w:jc w:val="center"/>
                    <w:rPr>
                      <w:rFonts w:hint="eastAsia"/>
                      <w:bCs/>
                      <w:szCs w:val="21"/>
                    </w:rPr>
                  </w:pPr>
                  <w:r>
                    <w:rPr>
                      <w:rFonts w:hint="eastAsia"/>
                      <w:bCs/>
                      <w:szCs w:val="21"/>
                    </w:rPr>
                    <w:t>6</w:t>
                  </w:r>
                </w:p>
              </w:tc>
              <w:tc>
                <w:tcPr>
                  <w:tcW w:w="1732" w:type="dxa"/>
                  <w:noWrap w:val="0"/>
                  <w:vAlign w:val="center"/>
                </w:tcPr>
                <w:p w14:paraId="02888875">
                  <w:pPr>
                    <w:spacing w:line="276" w:lineRule="auto"/>
                    <w:jc w:val="center"/>
                    <w:rPr>
                      <w:rFonts w:hint="eastAsia"/>
                      <w:bCs/>
                      <w:szCs w:val="21"/>
                    </w:rPr>
                  </w:pPr>
                  <w:r>
                    <w:rPr>
                      <w:bCs/>
                      <w:szCs w:val="21"/>
                    </w:rPr>
                    <w:t>双轴搅拌机</w:t>
                  </w:r>
                </w:p>
              </w:tc>
              <w:tc>
                <w:tcPr>
                  <w:tcW w:w="1461" w:type="dxa"/>
                  <w:noWrap w:val="0"/>
                  <w:vAlign w:val="center"/>
                </w:tcPr>
                <w:p w14:paraId="1AB9E369">
                  <w:pPr>
                    <w:spacing w:line="276" w:lineRule="auto"/>
                    <w:jc w:val="center"/>
                    <w:rPr>
                      <w:rFonts w:hint="eastAsia"/>
                      <w:bCs/>
                      <w:szCs w:val="21"/>
                    </w:rPr>
                  </w:pPr>
                  <w:r>
                    <w:rPr>
                      <w:bCs/>
                      <w:szCs w:val="21"/>
                    </w:rPr>
                    <w:t>搅拌</w:t>
                  </w:r>
                </w:p>
              </w:tc>
              <w:tc>
                <w:tcPr>
                  <w:tcW w:w="1800" w:type="dxa"/>
                  <w:noWrap w:val="0"/>
                  <w:vAlign w:val="center"/>
                </w:tcPr>
                <w:p w14:paraId="22C5554B">
                  <w:pPr>
                    <w:spacing w:line="276" w:lineRule="auto"/>
                    <w:jc w:val="center"/>
                    <w:rPr>
                      <w:bCs/>
                      <w:szCs w:val="21"/>
                    </w:rPr>
                  </w:pPr>
                  <w:r>
                    <w:rPr>
                      <w:bCs/>
                      <w:szCs w:val="21"/>
                    </w:rPr>
                    <w:t>SJ3</w:t>
                  </w:r>
                  <w:r>
                    <w:rPr>
                      <w:rFonts w:hint="eastAsia"/>
                      <w:bCs/>
                      <w:szCs w:val="21"/>
                    </w:rPr>
                    <w:t>3/60</w:t>
                  </w:r>
                </w:p>
              </w:tc>
              <w:tc>
                <w:tcPr>
                  <w:tcW w:w="960" w:type="dxa"/>
                  <w:noWrap w:val="0"/>
                  <w:vAlign w:val="center"/>
                </w:tcPr>
                <w:p w14:paraId="1602C53A">
                  <w:pPr>
                    <w:spacing w:line="276" w:lineRule="auto"/>
                    <w:jc w:val="center"/>
                    <w:rPr>
                      <w:bCs/>
                      <w:szCs w:val="21"/>
                    </w:rPr>
                  </w:pPr>
                  <w:r>
                    <w:rPr>
                      <w:rFonts w:hint="eastAsia"/>
                      <w:bCs/>
                      <w:szCs w:val="21"/>
                    </w:rPr>
                    <w:t>1</w:t>
                  </w:r>
                </w:p>
              </w:tc>
              <w:tc>
                <w:tcPr>
                  <w:tcW w:w="914" w:type="dxa"/>
                  <w:noWrap w:val="0"/>
                  <w:vAlign w:val="center"/>
                </w:tcPr>
                <w:p w14:paraId="680CCB86">
                  <w:pPr>
                    <w:spacing w:line="276" w:lineRule="auto"/>
                    <w:jc w:val="center"/>
                    <w:rPr>
                      <w:bCs/>
                      <w:szCs w:val="21"/>
                    </w:rPr>
                  </w:pPr>
                  <w:r>
                    <w:rPr>
                      <w:rFonts w:hint="eastAsia"/>
                      <w:bCs/>
                      <w:szCs w:val="21"/>
                    </w:rPr>
                    <w:t>1</w:t>
                  </w:r>
                </w:p>
              </w:tc>
              <w:tc>
                <w:tcPr>
                  <w:tcW w:w="477" w:type="dxa"/>
                  <w:noWrap w:val="0"/>
                  <w:vAlign w:val="center"/>
                </w:tcPr>
                <w:p w14:paraId="10AAF1E0">
                  <w:pPr>
                    <w:spacing w:line="276" w:lineRule="auto"/>
                    <w:jc w:val="center"/>
                    <w:rPr>
                      <w:bCs/>
                      <w:szCs w:val="21"/>
                    </w:rPr>
                  </w:pPr>
                  <w:r>
                    <w:rPr>
                      <w:bCs/>
                      <w:szCs w:val="21"/>
                    </w:rPr>
                    <w:t>台</w:t>
                  </w:r>
                </w:p>
              </w:tc>
              <w:tc>
                <w:tcPr>
                  <w:tcW w:w="567" w:type="dxa"/>
                  <w:noWrap w:val="0"/>
                  <w:vAlign w:val="center"/>
                </w:tcPr>
                <w:p w14:paraId="3764233A">
                  <w:pPr>
                    <w:spacing w:line="276" w:lineRule="auto"/>
                    <w:jc w:val="center"/>
                    <w:rPr>
                      <w:rFonts w:hint="eastAsia" w:eastAsia="宋体"/>
                      <w:bCs/>
                      <w:szCs w:val="21"/>
                      <w:lang w:val="en-US" w:eastAsia="zh-CN"/>
                    </w:rPr>
                  </w:pPr>
                  <w:r>
                    <w:rPr>
                      <w:rFonts w:hint="eastAsia"/>
                      <w:bCs/>
                      <w:szCs w:val="21"/>
                      <w:lang w:val="en-US" w:eastAsia="zh-CN"/>
                    </w:rPr>
                    <w:t>0</w:t>
                  </w:r>
                </w:p>
              </w:tc>
            </w:tr>
            <w:tr w14:paraId="0CE1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340170B9">
                  <w:pPr>
                    <w:spacing w:line="276" w:lineRule="auto"/>
                    <w:jc w:val="center"/>
                    <w:rPr>
                      <w:rFonts w:hint="eastAsia"/>
                      <w:bCs/>
                      <w:szCs w:val="21"/>
                    </w:rPr>
                  </w:pPr>
                  <w:r>
                    <w:rPr>
                      <w:rFonts w:hint="eastAsia"/>
                      <w:bCs/>
                      <w:szCs w:val="21"/>
                    </w:rPr>
                    <w:t>7</w:t>
                  </w:r>
                </w:p>
              </w:tc>
              <w:tc>
                <w:tcPr>
                  <w:tcW w:w="1732" w:type="dxa"/>
                  <w:noWrap w:val="0"/>
                  <w:vAlign w:val="center"/>
                </w:tcPr>
                <w:p w14:paraId="40DCFD32">
                  <w:pPr>
                    <w:spacing w:line="276" w:lineRule="auto"/>
                    <w:jc w:val="center"/>
                    <w:rPr>
                      <w:bCs/>
                      <w:szCs w:val="21"/>
                    </w:rPr>
                  </w:pPr>
                  <w:r>
                    <w:rPr>
                      <w:bCs/>
                      <w:szCs w:val="21"/>
                    </w:rPr>
                    <w:t>高细</w:t>
                  </w:r>
                  <w:r>
                    <w:rPr>
                      <w:rFonts w:hint="eastAsia"/>
                      <w:bCs/>
                      <w:szCs w:val="21"/>
                    </w:rPr>
                    <w:t>对辊</w:t>
                  </w:r>
                  <w:r>
                    <w:rPr>
                      <w:bCs/>
                      <w:szCs w:val="21"/>
                    </w:rPr>
                    <w:t>机</w:t>
                  </w:r>
                </w:p>
              </w:tc>
              <w:tc>
                <w:tcPr>
                  <w:tcW w:w="1461" w:type="dxa"/>
                  <w:noWrap w:val="0"/>
                  <w:vAlign w:val="center"/>
                </w:tcPr>
                <w:p w14:paraId="0E704687">
                  <w:pPr>
                    <w:spacing w:line="276" w:lineRule="auto"/>
                    <w:jc w:val="center"/>
                    <w:rPr>
                      <w:rFonts w:hint="eastAsia"/>
                      <w:bCs/>
                      <w:szCs w:val="21"/>
                    </w:rPr>
                  </w:pPr>
                  <w:r>
                    <w:rPr>
                      <w:rFonts w:hint="eastAsia"/>
                      <w:bCs/>
                      <w:szCs w:val="21"/>
                    </w:rPr>
                    <w:t>对辊</w:t>
                  </w:r>
                </w:p>
              </w:tc>
              <w:tc>
                <w:tcPr>
                  <w:tcW w:w="1800" w:type="dxa"/>
                  <w:noWrap w:val="0"/>
                  <w:vAlign w:val="center"/>
                </w:tcPr>
                <w:p w14:paraId="23501D0C">
                  <w:pPr>
                    <w:spacing w:line="276" w:lineRule="auto"/>
                    <w:jc w:val="center"/>
                    <w:rPr>
                      <w:bCs/>
                      <w:szCs w:val="21"/>
                    </w:rPr>
                  </w:pPr>
                  <w:r>
                    <w:rPr>
                      <w:bCs/>
                      <w:szCs w:val="21"/>
                    </w:rPr>
                    <w:t>YF-GX200</w:t>
                  </w:r>
                </w:p>
              </w:tc>
              <w:tc>
                <w:tcPr>
                  <w:tcW w:w="960" w:type="dxa"/>
                  <w:noWrap w:val="0"/>
                  <w:vAlign w:val="center"/>
                </w:tcPr>
                <w:p w14:paraId="3C796637">
                  <w:pPr>
                    <w:spacing w:line="276" w:lineRule="auto"/>
                    <w:jc w:val="center"/>
                    <w:rPr>
                      <w:rFonts w:hint="eastAsia"/>
                      <w:bCs/>
                      <w:szCs w:val="21"/>
                    </w:rPr>
                  </w:pPr>
                  <w:r>
                    <w:rPr>
                      <w:rFonts w:hint="eastAsia"/>
                      <w:bCs/>
                      <w:szCs w:val="21"/>
                    </w:rPr>
                    <w:t>2</w:t>
                  </w:r>
                </w:p>
              </w:tc>
              <w:tc>
                <w:tcPr>
                  <w:tcW w:w="914" w:type="dxa"/>
                  <w:noWrap w:val="0"/>
                  <w:vAlign w:val="center"/>
                </w:tcPr>
                <w:p w14:paraId="43AADBA8">
                  <w:pPr>
                    <w:spacing w:line="276" w:lineRule="auto"/>
                    <w:jc w:val="center"/>
                    <w:rPr>
                      <w:rFonts w:hint="eastAsia"/>
                      <w:bCs/>
                      <w:szCs w:val="21"/>
                    </w:rPr>
                  </w:pPr>
                  <w:r>
                    <w:rPr>
                      <w:rFonts w:hint="eastAsia"/>
                      <w:bCs/>
                      <w:szCs w:val="21"/>
                    </w:rPr>
                    <w:t>2</w:t>
                  </w:r>
                </w:p>
              </w:tc>
              <w:tc>
                <w:tcPr>
                  <w:tcW w:w="477" w:type="dxa"/>
                  <w:noWrap w:val="0"/>
                  <w:vAlign w:val="center"/>
                </w:tcPr>
                <w:p w14:paraId="71784F0A">
                  <w:pPr>
                    <w:spacing w:line="276" w:lineRule="auto"/>
                    <w:jc w:val="center"/>
                    <w:rPr>
                      <w:bCs/>
                      <w:szCs w:val="21"/>
                    </w:rPr>
                  </w:pPr>
                  <w:r>
                    <w:rPr>
                      <w:bCs/>
                      <w:szCs w:val="21"/>
                    </w:rPr>
                    <w:t>台</w:t>
                  </w:r>
                </w:p>
              </w:tc>
              <w:tc>
                <w:tcPr>
                  <w:tcW w:w="567" w:type="dxa"/>
                  <w:noWrap w:val="0"/>
                  <w:vAlign w:val="center"/>
                </w:tcPr>
                <w:p w14:paraId="2DC4C6CF">
                  <w:pPr>
                    <w:spacing w:line="276" w:lineRule="auto"/>
                    <w:jc w:val="center"/>
                    <w:rPr>
                      <w:rFonts w:hint="eastAsia"/>
                      <w:bCs/>
                      <w:szCs w:val="21"/>
                    </w:rPr>
                  </w:pPr>
                  <w:r>
                    <w:rPr>
                      <w:rFonts w:hint="eastAsia"/>
                      <w:bCs/>
                      <w:szCs w:val="21"/>
                    </w:rPr>
                    <w:t>0</w:t>
                  </w:r>
                </w:p>
              </w:tc>
            </w:tr>
            <w:tr w14:paraId="7B9B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63ED01FB">
                  <w:pPr>
                    <w:spacing w:line="276" w:lineRule="auto"/>
                    <w:jc w:val="center"/>
                    <w:rPr>
                      <w:rFonts w:hint="eastAsia"/>
                      <w:bCs/>
                      <w:szCs w:val="21"/>
                    </w:rPr>
                  </w:pPr>
                  <w:r>
                    <w:rPr>
                      <w:rFonts w:hint="eastAsia"/>
                      <w:bCs/>
                      <w:szCs w:val="21"/>
                    </w:rPr>
                    <w:t>8</w:t>
                  </w:r>
                </w:p>
              </w:tc>
              <w:tc>
                <w:tcPr>
                  <w:tcW w:w="1732" w:type="dxa"/>
                  <w:noWrap w:val="0"/>
                  <w:vAlign w:val="center"/>
                </w:tcPr>
                <w:p w14:paraId="5B0B533A">
                  <w:pPr>
                    <w:spacing w:line="276" w:lineRule="auto"/>
                    <w:jc w:val="center"/>
                    <w:rPr>
                      <w:bCs/>
                      <w:szCs w:val="21"/>
                    </w:rPr>
                  </w:pPr>
                  <w:r>
                    <w:rPr>
                      <w:rFonts w:hint="eastAsia"/>
                      <w:bCs/>
                      <w:szCs w:val="21"/>
                    </w:rPr>
                    <w:t>陈化设备</w:t>
                  </w:r>
                </w:p>
              </w:tc>
              <w:tc>
                <w:tcPr>
                  <w:tcW w:w="1461" w:type="dxa"/>
                  <w:noWrap w:val="0"/>
                  <w:vAlign w:val="center"/>
                </w:tcPr>
                <w:p w14:paraId="4A61E96F">
                  <w:pPr>
                    <w:spacing w:line="276" w:lineRule="auto"/>
                    <w:jc w:val="center"/>
                    <w:rPr>
                      <w:bCs/>
                      <w:szCs w:val="21"/>
                    </w:rPr>
                  </w:pPr>
                  <w:r>
                    <w:rPr>
                      <w:rFonts w:hint="eastAsia"/>
                      <w:bCs/>
                      <w:szCs w:val="21"/>
                    </w:rPr>
                    <w:t>陈化</w:t>
                  </w:r>
                </w:p>
              </w:tc>
              <w:tc>
                <w:tcPr>
                  <w:tcW w:w="1800" w:type="dxa"/>
                  <w:noWrap w:val="0"/>
                  <w:vAlign w:val="center"/>
                </w:tcPr>
                <w:p w14:paraId="27912646">
                  <w:pPr>
                    <w:spacing w:line="276" w:lineRule="auto"/>
                    <w:jc w:val="center"/>
                    <w:rPr>
                      <w:rFonts w:hint="eastAsia"/>
                      <w:bCs/>
                      <w:szCs w:val="21"/>
                    </w:rPr>
                  </w:pPr>
                  <w:r>
                    <w:rPr>
                      <w:rFonts w:hint="eastAsia"/>
                      <w:bCs/>
                      <w:szCs w:val="21"/>
                    </w:rPr>
                    <w:t>/</w:t>
                  </w:r>
                </w:p>
              </w:tc>
              <w:tc>
                <w:tcPr>
                  <w:tcW w:w="960" w:type="dxa"/>
                  <w:noWrap w:val="0"/>
                  <w:vAlign w:val="center"/>
                </w:tcPr>
                <w:p w14:paraId="6FB40760">
                  <w:pPr>
                    <w:spacing w:line="276" w:lineRule="auto"/>
                    <w:jc w:val="center"/>
                    <w:rPr>
                      <w:rFonts w:hint="eastAsia"/>
                      <w:bCs/>
                      <w:szCs w:val="21"/>
                    </w:rPr>
                  </w:pPr>
                  <w:r>
                    <w:rPr>
                      <w:rFonts w:hint="eastAsia"/>
                      <w:bCs/>
                      <w:szCs w:val="21"/>
                    </w:rPr>
                    <w:t>4</w:t>
                  </w:r>
                </w:p>
              </w:tc>
              <w:tc>
                <w:tcPr>
                  <w:tcW w:w="914" w:type="dxa"/>
                  <w:noWrap w:val="0"/>
                  <w:vAlign w:val="center"/>
                </w:tcPr>
                <w:p w14:paraId="76ACA552">
                  <w:pPr>
                    <w:spacing w:line="276" w:lineRule="auto"/>
                    <w:jc w:val="center"/>
                    <w:rPr>
                      <w:rFonts w:hint="eastAsia"/>
                      <w:bCs/>
                      <w:szCs w:val="21"/>
                    </w:rPr>
                  </w:pPr>
                  <w:r>
                    <w:rPr>
                      <w:rFonts w:hint="eastAsia"/>
                      <w:bCs/>
                      <w:szCs w:val="21"/>
                    </w:rPr>
                    <w:t>4</w:t>
                  </w:r>
                </w:p>
              </w:tc>
              <w:tc>
                <w:tcPr>
                  <w:tcW w:w="477" w:type="dxa"/>
                  <w:noWrap w:val="0"/>
                  <w:vAlign w:val="center"/>
                </w:tcPr>
                <w:p w14:paraId="35F53445">
                  <w:pPr>
                    <w:spacing w:line="276" w:lineRule="auto"/>
                    <w:jc w:val="center"/>
                    <w:rPr>
                      <w:bCs/>
                      <w:szCs w:val="21"/>
                    </w:rPr>
                  </w:pPr>
                  <w:r>
                    <w:rPr>
                      <w:bCs/>
                      <w:szCs w:val="21"/>
                    </w:rPr>
                    <w:t>台</w:t>
                  </w:r>
                </w:p>
              </w:tc>
              <w:tc>
                <w:tcPr>
                  <w:tcW w:w="567" w:type="dxa"/>
                  <w:noWrap w:val="0"/>
                  <w:vAlign w:val="center"/>
                </w:tcPr>
                <w:p w14:paraId="74BCB10C">
                  <w:pPr>
                    <w:spacing w:line="276" w:lineRule="auto"/>
                    <w:jc w:val="center"/>
                    <w:rPr>
                      <w:rFonts w:hint="eastAsia"/>
                      <w:bCs/>
                      <w:szCs w:val="21"/>
                    </w:rPr>
                  </w:pPr>
                  <w:r>
                    <w:rPr>
                      <w:rFonts w:hint="eastAsia"/>
                      <w:bCs/>
                      <w:szCs w:val="21"/>
                    </w:rPr>
                    <w:t>0</w:t>
                  </w:r>
                </w:p>
              </w:tc>
            </w:tr>
            <w:tr w14:paraId="4A09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6982824B">
                  <w:pPr>
                    <w:spacing w:line="276" w:lineRule="auto"/>
                    <w:jc w:val="center"/>
                    <w:rPr>
                      <w:rFonts w:hint="eastAsia"/>
                      <w:bCs/>
                      <w:szCs w:val="21"/>
                    </w:rPr>
                  </w:pPr>
                  <w:r>
                    <w:rPr>
                      <w:rFonts w:hint="eastAsia"/>
                      <w:bCs/>
                      <w:szCs w:val="21"/>
                    </w:rPr>
                    <w:t>9</w:t>
                  </w:r>
                </w:p>
              </w:tc>
              <w:tc>
                <w:tcPr>
                  <w:tcW w:w="1732" w:type="dxa"/>
                  <w:noWrap w:val="0"/>
                  <w:vAlign w:val="center"/>
                </w:tcPr>
                <w:p w14:paraId="27A60CA4">
                  <w:pPr>
                    <w:spacing w:line="276" w:lineRule="auto"/>
                    <w:jc w:val="center"/>
                    <w:rPr>
                      <w:bCs/>
                      <w:szCs w:val="21"/>
                    </w:rPr>
                  </w:pPr>
                  <w:r>
                    <w:rPr>
                      <w:bCs/>
                      <w:szCs w:val="21"/>
                    </w:rPr>
                    <w:t>双级真空挤砖机</w:t>
                  </w:r>
                </w:p>
              </w:tc>
              <w:tc>
                <w:tcPr>
                  <w:tcW w:w="1461" w:type="dxa"/>
                  <w:noWrap w:val="0"/>
                  <w:vAlign w:val="center"/>
                </w:tcPr>
                <w:p w14:paraId="35217543">
                  <w:pPr>
                    <w:spacing w:line="276" w:lineRule="auto"/>
                    <w:jc w:val="center"/>
                    <w:rPr>
                      <w:bCs/>
                      <w:szCs w:val="21"/>
                    </w:rPr>
                  </w:pPr>
                  <w:r>
                    <w:rPr>
                      <w:bCs/>
                      <w:szCs w:val="21"/>
                    </w:rPr>
                    <w:t>成型</w:t>
                  </w:r>
                </w:p>
              </w:tc>
              <w:tc>
                <w:tcPr>
                  <w:tcW w:w="1800" w:type="dxa"/>
                  <w:noWrap w:val="0"/>
                  <w:vAlign w:val="center"/>
                </w:tcPr>
                <w:p w14:paraId="3774E7F3">
                  <w:pPr>
                    <w:spacing w:line="276" w:lineRule="auto"/>
                    <w:jc w:val="center"/>
                    <w:rPr>
                      <w:bCs/>
                      <w:szCs w:val="21"/>
                    </w:rPr>
                  </w:pPr>
                  <w:r>
                    <w:rPr>
                      <w:bCs/>
                      <w:szCs w:val="21"/>
                    </w:rPr>
                    <w:t>J</w:t>
                  </w:r>
                  <w:r>
                    <w:rPr>
                      <w:rFonts w:hint="eastAsia"/>
                      <w:bCs/>
                      <w:szCs w:val="21"/>
                    </w:rPr>
                    <w:t>ZK60/70-38</w:t>
                  </w:r>
                </w:p>
              </w:tc>
              <w:tc>
                <w:tcPr>
                  <w:tcW w:w="960" w:type="dxa"/>
                  <w:noWrap w:val="0"/>
                  <w:vAlign w:val="center"/>
                </w:tcPr>
                <w:p w14:paraId="1342CD37">
                  <w:pPr>
                    <w:spacing w:line="276" w:lineRule="auto"/>
                    <w:jc w:val="center"/>
                    <w:rPr>
                      <w:rFonts w:hint="eastAsia"/>
                      <w:bCs/>
                      <w:szCs w:val="21"/>
                    </w:rPr>
                  </w:pPr>
                  <w:r>
                    <w:rPr>
                      <w:rFonts w:hint="eastAsia"/>
                      <w:bCs/>
                      <w:szCs w:val="21"/>
                    </w:rPr>
                    <w:t>2</w:t>
                  </w:r>
                </w:p>
              </w:tc>
              <w:tc>
                <w:tcPr>
                  <w:tcW w:w="914" w:type="dxa"/>
                  <w:noWrap w:val="0"/>
                  <w:vAlign w:val="center"/>
                </w:tcPr>
                <w:p w14:paraId="1D8B5855">
                  <w:pPr>
                    <w:spacing w:line="276" w:lineRule="auto"/>
                    <w:jc w:val="center"/>
                    <w:rPr>
                      <w:rFonts w:hint="eastAsia"/>
                      <w:bCs/>
                      <w:szCs w:val="21"/>
                    </w:rPr>
                  </w:pPr>
                  <w:r>
                    <w:rPr>
                      <w:rFonts w:hint="eastAsia"/>
                      <w:bCs/>
                      <w:szCs w:val="21"/>
                    </w:rPr>
                    <w:t>2</w:t>
                  </w:r>
                </w:p>
              </w:tc>
              <w:tc>
                <w:tcPr>
                  <w:tcW w:w="477" w:type="dxa"/>
                  <w:noWrap w:val="0"/>
                  <w:vAlign w:val="center"/>
                </w:tcPr>
                <w:p w14:paraId="54D2D90E">
                  <w:pPr>
                    <w:spacing w:line="276" w:lineRule="auto"/>
                    <w:jc w:val="center"/>
                    <w:rPr>
                      <w:bCs/>
                      <w:szCs w:val="21"/>
                    </w:rPr>
                  </w:pPr>
                  <w:r>
                    <w:rPr>
                      <w:bCs/>
                      <w:szCs w:val="21"/>
                    </w:rPr>
                    <w:t>台</w:t>
                  </w:r>
                </w:p>
              </w:tc>
              <w:tc>
                <w:tcPr>
                  <w:tcW w:w="567" w:type="dxa"/>
                  <w:noWrap w:val="0"/>
                  <w:vAlign w:val="center"/>
                </w:tcPr>
                <w:p w14:paraId="43DD88EF">
                  <w:pPr>
                    <w:spacing w:line="276" w:lineRule="auto"/>
                    <w:jc w:val="center"/>
                    <w:rPr>
                      <w:rFonts w:hint="eastAsia"/>
                      <w:bCs/>
                      <w:szCs w:val="21"/>
                    </w:rPr>
                  </w:pPr>
                  <w:r>
                    <w:rPr>
                      <w:rFonts w:hint="eastAsia"/>
                      <w:bCs/>
                      <w:szCs w:val="21"/>
                    </w:rPr>
                    <w:t>0</w:t>
                  </w:r>
                </w:p>
              </w:tc>
            </w:tr>
            <w:tr w14:paraId="19F9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178E5711">
                  <w:pPr>
                    <w:spacing w:line="276" w:lineRule="auto"/>
                    <w:jc w:val="center"/>
                    <w:rPr>
                      <w:bCs/>
                      <w:szCs w:val="21"/>
                    </w:rPr>
                  </w:pPr>
                  <w:r>
                    <w:rPr>
                      <w:rFonts w:hint="eastAsia"/>
                      <w:bCs/>
                      <w:szCs w:val="21"/>
                    </w:rPr>
                    <w:t>10</w:t>
                  </w:r>
                </w:p>
              </w:tc>
              <w:tc>
                <w:tcPr>
                  <w:tcW w:w="1732" w:type="dxa"/>
                  <w:noWrap w:val="0"/>
                  <w:vAlign w:val="center"/>
                </w:tcPr>
                <w:p w14:paraId="355A8923">
                  <w:pPr>
                    <w:spacing w:line="276" w:lineRule="auto"/>
                    <w:jc w:val="center"/>
                    <w:rPr>
                      <w:bCs/>
                      <w:szCs w:val="21"/>
                    </w:rPr>
                  </w:pPr>
                  <w:r>
                    <w:rPr>
                      <w:rFonts w:hint="eastAsia"/>
                      <w:bCs/>
                      <w:szCs w:val="21"/>
                    </w:rPr>
                    <w:t>箱式供土机</w:t>
                  </w:r>
                </w:p>
              </w:tc>
              <w:tc>
                <w:tcPr>
                  <w:tcW w:w="1461" w:type="dxa"/>
                  <w:noWrap w:val="0"/>
                  <w:vAlign w:val="center"/>
                </w:tcPr>
                <w:p w14:paraId="2DF71774">
                  <w:pPr>
                    <w:spacing w:line="276" w:lineRule="auto"/>
                    <w:jc w:val="center"/>
                    <w:rPr>
                      <w:bCs/>
                      <w:szCs w:val="21"/>
                    </w:rPr>
                  </w:pPr>
                  <w:r>
                    <w:rPr>
                      <w:bCs/>
                      <w:szCs w:val="21"/>
                    </w:rPr>
                    <w:t>供料</w:t>
                  </w:r>
                </w:p>
              </w:tc>
              <w:tc>
                <w:tcPr>
                  <w:tcW w:w="1800" w:type="dxa"/>
                  <w:noWrap w:val="0"/>
                  <w:vAlign w:val="center"/>
                </w:tcPr>
                <w:p w14:paraId="3C715DAD">
                  <w:pPr>
                    <w:spacing w:line="276" w:lineRule="auto"/>
                    <w:jc w:val="center"/>
                    <w:rPr>
                      <w:bCs/>
                      <w:szCs w:val="21"/>
                    </w:rPr>
                  </w:pPr>
                  <w:r>
                    <w:rPr>
                      <w:rFonts w:hint="eastAsia"/>
                      <w:bCs/>
                      <w:szCs w:val="21"/>
                    </w:rPr>
                    <w:t>GD80</w:t>
                  </w:r>
                </w:p>
              </w:tc>
              <w:tc>
                <w:tcPr>
                  <w:tcW w:w="960" w:type="dxa"/>
                  <w:noWrap w:val="0"/>
                  <w:vAlign w:val="center"/>
                </w:tcPr>
                <w:p w14:paraId="3C4F2027">
                  <w:pPr>
                    <w:spacing w:line="276" w:lineRule="auto"/>
                    <w:jc w:val="center"/>
                    <w:rPr>
                      <w:rFonts w:hint="eastAsia"/>
                      <w:bCs/>
                      <w:szCs w:val="21"/>
                    </w:rPr>
                  </w:pPr>
                  <w:r>
                    <w:rPr>
                      <w:rFonts w:hint="eastAsia"/>
                      <w:bCs/>
                      <w:szCs w:val="21"/>
                    </w:rPr>
                    <w:t>4</w:t>
                  </w:r>
                </w:p>
              </w:tc>
              <w:tc>
                <w:tcPr>
                  <w:tcW w:w="914" w:type="dxa"/>
                  <w:noWrap w:val="0"/>
                  <w:vAlign w:val="center"/>
                </w:tcPr>
                <w:p w14:paraId="27E67078">
                  <w:pPr>
                    <w:spacing w:line="276" w:lineRule="auto"/>
                    <w:jc w:val="center"/>
                    <w:rPr>
                      <w:rFonts w:hint="eastAsia"/>
                      <w:bCs/>
                      <w:szCs w:val="21"/>
                    </w:rPr>
                  </w:pPr>
                  <w:r>
                    <w:rPr>
                      <w:rFonts w:hint="eastAsia"/>
                      <w:bCs/>
                      <w:szCs w:val="21"/>
                    </w:rPr>
                    <w:t>4</w:t>
                  </w:r>
                </w:p>
              </w:tc>
              <w:tc>
                <w:tcPr>
                  <w:tcW w:w="477" w:type="dxa"/>
                  <w:noWrap w:val="0"/>
                  <w:vAlign w:val="center"/>
                </w:tcPr>
                <w:p w14:paraId="7AF547F9">
                  <w:pPr>
                    <w:spacing w:line="276" w:lineRule="auto"/>
                    <w:jc w:val="center"/>
                    <w:rPr>
                      <w:bCs/>
                      <w:szCs w:val="21"/>
                    </w:rPr>
                  </w:pPr>
                  <w:r>
                    <w:rPr>
                      <w:bCs/>
                      <w:szCs w:val="21"/>
                    </w:rPr>
                    <w:t>台</w:t>
                  </w:r>
                </w:p>
              </w:tc>
              <w:tc>
                <w:tcPr>
                  <w:tcW w:w="567" w:type="dxa"/>
                  <w:noWrap w:val="0"/>
                  <w:vAlign w:val="center"/>
                </w:tcPr>
                <w:p w14:paraId="091AF30C">
                  <w:pPr>
                    <w:spacing w:line="276" w:lineRule="auto"/>
                    <w:jc w:val="center"/>
                    <w:rPr>
                      <w:rFonts w:hint="eastAsia"/>
                      <w:bCs/>
                      <w:szCs w:val="21"/>
                    </w:rPr>
                  </w:pPr>
                  <w:r>
                    <w:rPr>
                      <w:rFonts w:hint="eastAsia"/>
                      <w:bCs/>
                      <w:szCs w:val="21"/>
                    </w:rPr>
                    <w:t>0</w:t>
                  </w:r>
                </w:p>
              </w:tc>
            </w:tr>
            <w:tr w14:paraId="79E8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3C8BB5B1">
                  <w:pPr>
                    <w:spacing w:line="276" w:lineRule="auto"/>
                    <w:jc w:val="center"/>
                    <w:rPr>
                      <w:bCs/>
                      <w:szCs w:val="21"/>
                    </w:rPr>
                  </w:pPr>
                  <w:r>
                    <w:rPr>
                      <w:rFonts w:hint="eastAsia"/>
                      <w:bCs/>
                      <w:szCs w:val="21"/>
                    </w:rPr>
                    <w:t>11</w:t>
                  </w:r>
                </w:p>
              </w:tc>
              <w:tc>
                <w:tcPr>
                  <w:tcW w:w="1732" w:type="dxa"/>
                  <w:noWrap w:val="0"/>
                  <w:vAlign w:val="center"/>
                </w:tcPr>
                <w:p w14:paraId="689392FB">
                  <w:pPr>
                    <w:spacing w:line="276" w:lineRule="auto"/>
                    <w:jc w:val="center"/>
                    <w:rPr>
                      <w:bCs/>
                      <w:szCs w:val="21"/>
                    </w:rPr>
                  </w:pPr>
                  <w:r>
                    <w:rPr>
                      <w:rFonts w:hint="eastAsia"/>
                      <w:bCs/>
                      <w:szCs w:val="21"/>
                    </w:rPr>
                    <w:t>全自动</w:t>
                  </w:r>
                  <w:r>
                    <w:rPr>
                      <w:bCs/>
                      <w:szCs w:val="21"/>
                    </w:rPr>
                    <w:t>切条、切坯机</w:t>
                  </w:r>
                </w:p>
              </w:tc>
              <w:tc>
                <w:tcPr>
                  <w:tcW w:w="1461" w:type="dxa"/>
                  <w:noWrap w:val="0"/>
                  <w:vAlign w:val="center"/>
                </w:tcPr>
                <w:p w14:paraId="214BBDF5">
                  <w:pPr>
                    <w:spacing w:line="276" w:lineRule="auto"/>
                    <w:jc w:val="center"/>
                    <w:rPr>
                      <w:bCs/>
                      <w:szCs w:val="21"/>
                    </w:rPr>
                  </w:pPr>
                  <w:r>
                    <w:rPr>
                      <w:bCs/>
                      <w:szCs w:val="21"/>
                    </w:rPr>
                    <w:t>切坯</w:t>
                  </w:r>
                  <w:r>
                    <w:rPr>
                      <w:rFonts w:hint="eastAsia"/>
                      <w:bCs/>
                      <w:szCs w:val="21"/>
                    </w:rPr>
                    <w:t>、</w:t>
                  </w:r>
                  <w:r>
                    <w:rPr>
                      <w:bCs/>
                      <w:szCs w:val="21"/>
                    </w:rPr>
                    <w:t>切条</w:t>
                  </w:r>
                </w:p>
              </w:tc>
              <w:tc>
                <w:tcPr>
                  <w:tcW w:w="1800" w:type="dxa"/>
                  <w:noWrap w:val="0"/>
                  <w:vAlign w:val="center"/>
                </w:tcPr>
                <w:p w14:paraId="2DCDD9AC">
                  <w:pPr>
                    <w:spacing w:line="276" w:lineRule="auto"/>
                    <w:jc w:val="center"/>
                    <w:rPr>
                      <w:bCs/>
                      <w:szCs w:val="21"/>
                    </w:rPr>
                  </w:pPr>
                  <w:r>
                    <w:rPr>
                      <w:rFonts w:hint="eastAsia"/>
                      <w:bCs/>
                      <w:szCs w:val="21"/>
                    </w:rPr>
                    <w:t>QT600</w:t>
                  </w:r>
                </w:p>
              </w:tc>
              <w:tc>
                <w:tcPr>
                  <w:tcW w:w="960" w:type="dxa"/>
                  <w:noWrap w:val="0"/>
                  <w:vAlign w:val="center"/>
                </w:tcPr>
                <w:p w14:paraId="1DD63D27">
                  <w:pPr>
                    <w:spacing w:line="276" w:lineRule="auto"/>
                    <w:jc w:val="center"/>
                    <w:rPr>
                      <w:rFonts w:hint="eastAsia"/>
                      <w:bCs/>
                      <w:szCs w:val="21"/>
                    </w:rPr>
                  </w:pPr>
                  <w:r>
                    <w:rPr>
                      <w:rFonts w:hint="eastAsia"/>
                      <w:bCs/>
                      <w:szCs w:val="21"/>
                    </w:rPr>
                    <w:t>3</w:t>
                  </w:r>
                </w:p>
              </w:tc>
              <w:tc>
                <w:tcPr>
                  <w:tcW w:w="914" w:type="dxa"/>
                  <w:noWrap w:val="0"/>
                  <w:vAlign w:val="center"/>
                </w:tcPr>
                <w:p w14:paraId="2396E784">
                  <w:pPr>
                    <w:spacing w:line="276" w:lineRule="auto"/>
                    <w:jc w:val="center"/>
                    <w:rPr>
                      <w:rFonts w:hint="eastAsia"/>
                      <w:bCs/>
                      <w:szCs w:val="21"/>
                    </w:rPr>
                  </w:pPr>
                  <w:r>
                    <w:rPr>
                      <w:rFonts w:hint="eastAsia"/>
                      <w:bCs/>
                      <w:szCs w:val="21"/>
                    </w:rPr>
                    <w:t>3</w:t>
                  </w:r>
                </w:p>
              </w:tc>
              <w:tc>
                <w:tcPr>
                  <w:tcW w:w="477" w:type="dxa"/>
                  <w:noWrap w:val="0"/>
                  <w:vAlign w:val="center"/>
                </w:tcPr>
                <w:p w14:paraId="61F07447">
                  <w:pPr>
                    <w:spacing w:line="276" w:lineRule="auto"/>
                    <w:jc w:val="center"/>
                    <w:rPr>
                      <w:bCs/>
                      <w:szCs w:val="21"/>
                    </w:rPr>
                  </w:pPr>
                  <w:r>
                    <w:rPr>
                      <w:bCs/>
                      <w:szCs w:val="21"/>
                    </w:rPr>
                    <w:t>台</w:t>
                  </w:r>
                </w:p>
              </w:tc>
              <w:tc>
                <w:tcPr>
                  <w:tcW w:w="567" w:type="dxa"/>
                  <w:noWrap w:val="0"/>
                  <w:vAlign w:val="center"/>
                </w:tcPr>
                <w:p w14:paraId="255F48C5">
                  <w:pPr>
                    <w:spacing w:line="276" w:lineRule="auto"/>
                    <w:jc w:val="center"/>
                    <w:rPr>
                      <w:bCs/>
                      <w:szCs w:val="21"/>
                    </w:rPr>
                  </w:pPr>
                  <w:r>
                    <w:rPr>
                      <w:bCs/>
                      <w:szCs w:val="21"/>
                    </w:rPr>
                    <w:t>0</w:t>
                  </w:r>
                </w:p>
              </w:tc>
            </w:tr>
            <w:tr w14:paraId="24EF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66CCCAD0">
                  <w:pPr>
                    <w:spacing w:line="276" w:lineRule="auto"/>
                    <w:jc w:val="center"/>
                    <w:rPr>
                      <w:bCs/>
                      <w:szCs w:val="21"/>
                    </w:rPr>
                  </w:pPr>
                  <w:r>
                    <w:rPr>
                      <w:rFonts w:hint="eastAsia"/>
                      <w:bCs/>
                      <w:szCs w:val="21"/>
                    </w:rPr>
                    <w:t>12</w:t>
                  </w:r>
                </w:p>
              </w:tc>
              <w:tc>
                <w:tcPr>
                  <w:tcW w:w="1732" w:type="dxa"/>
                  <w:noWrap w:val="0"/>
                  <w:vAlign w:val="center"/>
                </w:tcPr>
                <w:p w14:paraId="0A307A4B">
                  <w:pPr>
                    <w:spacing w:line="276" w:lineRule="auto"/>
                    <w:jc w:val="center"/>
                    <w:rPr>
                      <w:bCs/>
                      <w:szCs w:val="21"/>
                    </w:rPr>
                  </w:pPr>
                  <w:r>
                    <w:rPr>
                      <w:rFonts w:hint="eastAsia"/>
                      <w:bCs/>
                      <w:szCs w:val="21"/>
                    </w:rPr>
                    <w:t>自动切胚机</w:t>
                  </w:r>
                </w:p>
              </w:tc>
              <w:tc>
                <w:tcPr>
                  <w:tcW w:w="1461" w:type="dxa"/>
                  <w:noWrap w:val="0"/>
                  <w:vAlign w:val="center"/>
                </w:tcPr>
                <w:p w14:paraId="47DC28BC">
                  <w:pPr>
                    <w:spacing w:line="276" w:lineRule="auto"/>
                    <w:jc w:val="center"/>
                    <w:rPr>
                      <w:bCs/>
                      <w:szCs w:val="21"/>
                    </w:rPr>
                  </w:pPr>
                  <w:r>
                    <w:rPr>
                      <w:bCs/>
                      <w:szCs w:val="21"/>
                    </w:rPr>
                    <w:t>切坯</w:t>
                  </w:r>
                </w:p>
              </w:tc>
              <w:tc>
                <w:tcPr>
                  <w:tcW w:w="1800" w:type="dxa"/>
                  <w:noWrap w:val="0"/>
                  <w:vAlign w:val="center"/>
                </w:tcPr>
                <w:p w14:paraId="69966985">
                  <w:pPr>
                    <w:spacing w:line="276" w:lineRule="auto"/>
                    <w:jc w:val="center"/>
                    <w:rPr>
                      <w:bCs/>
                      <w:szCs w:val="21"/>
                    </w:rPr>
                  </w:pPr>
                  <w:r>
                    <w:rPr>
                      <w:rFonts w:hint="eastAsia"/>
                      <w:bCs/>
                      <w:szCs w:val="21"/>
                    </w:rPr>
                    <w:t>ZQP24</w:t>
                  </w:r>
                </w:p>
              </w:tc>
              <w:tc>
                <w:tcPr>
                  <w:tcW w:w="960" w:type="dxa"/>
                  <w:noWrap w:val="0"/>
                  <w:vAlign w:val="center"/>
                </w:tcPr>
                <w:p w14:paraId="0368BF82">
                  <w:pPr>
                    <w:spacing w:line="276" w:lineRule="auto"/>
                    <w:jc w:val="center"/>
                    <w:rPr>
                      <w:bCs/>
                      <w:szCs w:val="21"/>
                    </w:rPr>
                  </w:pPr>
                  <w:r>
                    <w:rPr>
                      <w:rFonts w:hint="eastAsia"/>
                      <w:bCs/>
                      <w:szCs w:val="21"/>
                    </w:rPr>
                    <w:t>3</w:t>
                  </w:r>
                </w:p>
              </w:tc>
              <w:tc>
                <w:tcPr>
                  <w:tcW w:w="914" w:type="dxa"/>
                  <w:noWrap w:val="0"/>
                  <w:vAlign w:val="center"/>
                </w:tcPr>
                <w:p w14:paraId="51B1D0A0">
                  <w:pPr>
                    <w:spacing w:line="276" w:lineRule="auto"/>
                    <w:jc w:val="center"/>
                    <w:rPr>
                      <w:bCs/>
                      <w:szCs w:val="21"/>
                    </w:rPr>
                  </w:pPr>
                  <w:r>
                    <w:rPr>
                      <w:rFonts w:hint="eastAsia"/>
                      <w:bCs/>
                      <w:szCs w:val="21"/>
                    </w:rPr>
                    <w:t>3</w:t>
                  </w:r>
                </w:p>
              </w:tc>
              <w:tc>
                <w:tcPr>
                  <w:tcW w:w="477" w:type="dxa"/>
                  <w:noWrap w:val="0"/>
                  <w:vAlign w:val="center"/>
                </w:tcPr>
                <w:p w14:paraId="3823BF6C">
                  <w:pPr>
                    <w:spacing w:line="276" w:lineRule="auto"/>
                    <w:jc w:val="center"/>
                    <w:rPr>
                      <w:bCs/>
                      <w:szCs w:val="21"/>
                    </w:rPr>
                  </w:pPr>
                  <w:r>
                    <w:rPr>
                      <w:bCs/>
                      <w:szCs w:val="21"/>
                    </w:rPr>
                    <w:t>台</w:t>
                  </w:r>
                </w:p>
              </w:tc>
              <w:tc>
                <w:tcPr>
                  <w:tcW w:w="567" w:type="dxa"/>
                  <w:noWrap w:val="0"/>
                  <w:vAlign w:val="center"/>
                </w:tcPr>
                <w:p w14:paraId="4BE0415E">
                  <w:pPr>
                    <w:spacing w:line="276" w:lineRule="auto"/>
                    <w:jc w:val="center"/>
                    <w:rPr>
                      <w:rFonts w:hint="eastAsia"/>
                      <w:bCs/>
                      <w:szCs w:val="21"/>
                    </w:rPr>
                  </w:pPr>
                  <w:r>
                    <w:rPr>
                      <w:rFonts w:hint="eastAsia"/>
                      <w:bCs/>
                      <w:szCs w:val="21"/>
                    </w:rPr>
                    <w:t>0</w:t>
                  </w:r>
                </w:p>
              </w:tc>
            </w:tr>
            <w:tr w14:paraId="347B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738800A0">
                  <w:pPr>
                    <w:spacing w:line="276" w:lineRule="auto"/>
                    <w:jc w:val="center"/>
                    <w:rPr>
                      <w:bCs/>
                      <w:szCs w:val="21"/>
                    </w:rPr>
                  </w:pPr>
                  <w:r>
                    <w:rPr>
                      <w:rFonts w:hint="eastAsia"/>
                      <w:bCs/>
                      <w:szCs w:val="21"/>
                    </w:rPr>
                    <w:t>13</w:t>
                  </w:r>
                </w:p>
              </w:tc>
              <w:tc>
                <w:tcPr>
                  <w:tcW w:w="1732" w:type="dxa"/>
                  <w:noWrap w:val="0"/>
                  <w:vAlign w:val="center"/>
                </w:tcPr>
                <w:p w14:paraId="230ECE5A">
                  <w:pPr>
                    <w:spacing w:line="276" w:lineRule="auto"/>
                    <w:jc w:val="center"/>
                    <w:rPr>
                      <w:bCs/>
                      <w:szCs w:val="21"/>
                    </w:rPr>
                  </w:pPr>
                  <w:r>
                    <w:rPr>
                      <w:rFonts w:hint="eastAsia"/>
                      <w:bCs/>
                      <w:szCs w:val="21"/>
                    </w:rPr>
                    <w:t>自动</w:t>
                  </w:r>
                  <w:r>
                    <w:rPr>
                      <w:bCs/>
                      <w:szCs w:val="21"/>
                    </w:rPr>
                    <w:t>码坯机</w:t>
                  </w:r>
                </w:p>
              </w:tc>
              <w:tc>
                <w:tcPr>
                  <w:tcW w:w="1461" w:type="dxa"/>
                  <w:noWrap w:val="0"/>
                  <w:vAlign w:val="center"/>
                </w:tcPr>
                <w:p w14:paraId="6203C30C">
                  <w:pPr>
                    <w:spacing w:line="276" w:lineRule="auto"/>
                    <w:jc w:val="center"/>
                    <w:rPr>
                      <w:bCs/>
                      <w:szCs w:val="21"/>
                    </w:rPr>
                  </w:pPr>
                  <w:r>
                    <w:rPr>
                      <w:bCs/>
                      <w:szCs w:val="21"/>
                    </w:rPr>
                    <w:t>码垛</w:t>
                  </w:r>
                </w:p>
              </w:tc>
              <w:tc>
                <w:tcPr>
                  <w:tcW w:w="1800" w:type="dxa"/>
                  <w:noWrap w:val="0"/>
                  <w:vAlign w:val="center"/>
                </w:tcPr>
                <w:p w14:paraId="6378FDEB">
                  <w:pPr>
                    <w:spacing w:line="276" w:lineRule="auto"/>
                    <w:jc w:val="center"/>
                    <w:rPr>
                      <w:bCs/>
                      <w:szCs w:val="21"/>
                    </w:rPr>
                  </w:pPr>
                  <w:r>
                    <w:rPr>
                      <w:bCs/>
                      <w:szCs w:val="21"/>
                    </w:rPr>
                    <w:t>YD-MD80-6</w:t>
                  </w:r>
                </w:p>
              </w:tc>
              <w:tc>
                <w:tcPr>
                  <w:tcW w:w="960" w:type="dxa"/>
                  <w:noWrap w:val="0"/>
                  <w:vAlign w:val="center"/>
                </w:tcPr>
                <w:p w14:paraId="35ECD8CE">
                  <w:pPr>
                    <w:spacing w:line="276" w:lineRule="auto"/>
                    <w:jc w:val="center"/>
                    <w:rPr>
                      <w:rFonts w:hint="eastAsia"/>
                      <w:bCs/>
                      <w:szCs w:val="21"/>
                    </w:rPr>
                  </w:pPr>
                  <w:r>
                    <w:rPr>
                      <w:rFonts w:hint="eastAsia"/>
                      <w:bCs/>
                      <w:szCs w:val="21"/>
                    </w:rPr>
                    <w:t>0</w:t>
                  </w:r>
                </w:p>
              </w:tc>
              <w:tc>
                <w:tcPr>
                  <w:tcW w:w="914" w:type="dxa"/>
                  <w:noWrap w:val="0"/>
                  <w:vAlign w:val="center"/>
                </w:tcPr>
                <w:p w14:paraId="30C4543F">
                  <w:pPr>
                    <w:spacing w:line="276" w:lineRule="auto"/>
                    <w:jc w:val="center"/>
                    <w:rPr>
                      <w:rFonts w:hint="eastAsia"/>
                      <w:bCs/>
                      <w:szCs w:val="21"/>
                    </w:rPr>
                  </w:pPr>
                  <w:r>
                    <w:rPr>
                      <w:rFonts w:hint="eastAsia"/>
                      <w:bCs/>
                      <w:szCs w:val="21"/>
                    </w:rPr>
                    <w:t>2</w:t>
                  </w:r>
                </w:p>
              </w:tc>
              <w:tc>
                <w:tcPr>
                  <w:tcW w:w="477" w:type="dxa"/>
                  <w:noWrap w:val="0"/>
                  <w:vAlign w:val="center"/>
                </w:tcPr>
                <w:p w14:paraId="410247AF">
                  <w:pPr>
                    <w:spacing w:line="276" w:lineRule="auto"/>
                    <w:jc w:val="center"/>
                    <w:rPr>
                      <w:bCs/>
                      <w:szCs w:val="21"/>
                    </w:rPr>
                  </w:pPr>
                  <w:r>
                    <w:rPr>
                      <w:bCs/>
                      <w:szCs w:val="21"/>
                    </w:rPr>
                    <w:t>台</w:t>
                  </w:r>
                </w:p>
              </w:tc>
              <w:tc>
                <w:tcPr>
                  <w:tcW w:w="567" w:type="dxa"/>
                  <w:noWrap w:val="0"/>
                  <w:vAlign w:val="center"/>
                </w:tcPr>
                <w:p w14:paraId="2514BA27">
                  <w:pPr>
                    <w:spacing w:line="276" w:lineRule="auto"/>
                    <w:jc w:val="center"/>
                    <w:rPr>
                      <w:rFonts w:hint="eastAsia"/>
                      <w:bCs/>
                      <w:szCs w:val="21"/>
                    </w:rPr>
                  </w:pPr>
                  <w:r>
                    <w:rPr>
                      <w:rFonts w:hint="eastAsia"/>
                      <w:bCs/>
                      <w:szCs w:val="21"/>
                    </w:rPr>
                    <w:t>+2</w:t>
                  </w:r>
                </w:p>
              </w:tc>
            </w:tr>
            <w:tr w14:paraId="68B7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4C55C318">
                  <w:pPr>
                    <w:spacing w:line="276" w:lineRule="auto"/>
                    <w:jc w:val="center"/>
                    <w:rPr>
                      <w:bCs/>
                      <w:szCs w:val="21"/>
                    </w:rPr>
                  </w:pPr>
                  <w:r>
                    <w:rPr>
                      <w:rFonts w:hint="eastAsia"/>
                      <w:bCs/>
                      <w:szCs w:val="21"/>
                    </w:rPr>
                    <w:t>14</w:t>
                  </w:r>
                </w:p>
              </w:tc>
              <w:tc>
                <w:tcPr>
                  <w:tcW w:w="1732" w:type="dxa"/>
                  <w:noWrap w:val="0"/>
                  <w:vAlign w:val="center"/>
                </w:tcPr>
                <w:p w14:paraId="4C885027">
                  <w:pPr>
                    <w:spacing w:line="276" w:lineRule="auto"/>
                    <w:jc w:val="center"/>
                    <w:rPr>
                      <w:bCs/>
                      <w:szCs w:val="21"/>
                    </w:rPr>
                  </w:pPr>
                  <w:r>
                    <w:rPr>
                      <w:rFonts w:hint="eastAsia"/>
                      <w:bCs/>
                      <w:szCs w:val="21"/>
                    </w:rPr>
                    <w:t>摆渡顶车机</w:t>
                  </w:r>
                </w:p>
              </w:tc>
              <w:tc>
                <w:tcPr>
                  <w:tcW w:w="1461" w:type="dxa"/>
                  <w:noWrap w:val="0"/>
                  <w:vAlign w:val="center"/>
                </w:tcPr>
                <w:p w14:paraId="7BD7B9FE">
                  <w:pPr>
                    <w:spacing w:line="276" w:lineRule="auto"/>
                    <w:jc w:val="center"/>
                    <w:rPr>
                      <w:bCs/>
                      <w:szCs w:val="21"/>
                    </w:rPr>
                  </w:pPr>
                  <w:r>
                    <w:rPr>
                      <w:bCs/>
                      <w:szCs w:val="21"/>
                    </w:rPr>
                    <w:t>生产配套设备</w:t>
                  </w:r>
                </w:p>
              </w:tc>
              <w:tc>
                <w:tcPr>
                  <w:tcW w:w="1800" w:type="dxa"/>
                  <w:noWrap w:val="0"/>
                  <w:vAlign w:val="center"/>
                </w:tcPr>
                <w:p w14:paraId="34BAF45E">
                  <w:pPr>
                    <w:spacing w:line="276" w:lineRule="auto"/>
                    <w:jc w:val="center"/>
                    <w:rPr>
                      <w:bCs/>
                      <w:szCs w:val="21"/>
                    </w:rPr>
                  </w:pPr>
                  <w:r>
                    <w:rPr>
                      <w:rFonts w:hint="eastAsia"/>
                      <w:bCs/>
                      <w:szCs w:val="21"/>
                    </w:rPr>
                    <w:t>2.6×2.7</w:t>
                  </w:r>
                </w:p>
              </w:tc>
              <w:tc>
                <w:tcPr>
                  <w:tcW w:w="960" w:type="dxa"/>
                  <w:noWrap w:val="0"/>
                  <w:vAlign w:val="center"/>
                </w:tcPr>
                <w:p w14:paraId="1791C727">
                  <w:pPr>
                    <w:spacing w:line="276" w:lineRule="auto"/>
                    <w:jc w:val="center"/>
                    <w:rPr>
                      <w:rFonts w:hint="eastAsia"/>
                      <w:bCs/>
                      <w:szCs w:val="21"/>
                    </w:rPr>
                  </w:pPr>
                  <w:r>
                    <w:rPr>
                      <w:rFonts w:hint="eastAsia"/>
                      <w:bCs/>
                      <w:szCs w:val="21"/>
                    </w:rPr>
                    <w:t>3</w:t>
                  </w:r>
                </w:p>
              </w:tc>
              <w:tc>
                <w:tcPr>
                  <w:tcW w:w="914" w:type="dxa"/>
                  <w:noWrap w:val="0"/>
                  <w:vAlign w:val="center"/>
                </w:tcPr>
                <w:p w14:paraId="47F50C5F">
                  <w:pPr>
                    <w:spacing w:line="276" w:lineRule="auto"/>
                    <w:jc w:val="center"/>
                    <w:rPr>
                      <w:rFonts w:hint="eastAsia"/>
                      <w:bCs/>
                      <w:szCs w:val="21"/>
                    </w:rPr>
                  </w:pPr>
                  <w:r>
                    <w:rPr>
                      <w:rFonts w:hint="eastAsia"/>
                      <w:bCs/>
                      <w:szCs w:val="21"/>
                    </w:rPr>
                    <w:t>3</w:t>
                  </w:r>
                </w:p>
              </w:tc>
              <w:tc>
                <w:tcPr>
                  <w:tcW w:w="477" w:type="dxa"/>
                  <w:noWrap w:val="0"/>
                  <w:vAlign w:val="center"/>
                </w:tcPr>
                <w:p w14:paraId="0174F7E7">
                  <w:pPr>
                    <w:spacing w:line="276" w:lineRule="auto"/>
                    <w:jc w:val="center"/>
                    <w:rPr>
                      <w:bCs/>
                      <w:szCs w:val="21"/>
                    </w:rPr>
                  </w:pPr>
                  <w:r>
                    <w:rPr>
                      <w:bCs/>
                      <w:szCs w:val="21"/>
                    </w:rPr>
                    <w:t>台</w:t>
                  </w:r>
                </w:p>
              </w:tc>
              <w:tc>
                <w:tcPr>
                  <w:tcW w:w="567" w:type="dxa"/>
                  <w:noWrap w:val="0"/>
                  <w:vAlign w:val="center"/>
                </w:tcPr>
                <w:p w14:paraId="691E311C">
                  <w:pPr>
                    <w:spacing w:line="276" w:lineRule="auto"/>
                    <w:jc w:val="center"/>
                    <w:rPr>
                      <w:bCs/>
                      <w:szCs w:val="21"/>
                    </w:rPr>
                  </w:pPr>
                  <w:r>
                    <w:rPr>
                      <w:bCs/>
                      <w:szCs w:val="21"/>
                    </w:rPr>
                    <w:t>0</w:t>
                  </w:r>
                </w:p>
              </w:tc>
            </w:tr>
            <w:tr w14:paraId="3524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0E7CBBA9">
                  <w:pPr>
                    <w:spacing w:line="276" w:lineRule="auto"/>
                    <w:jc w:val="center"/>
                    <w:rPr>
                      <w:bCs/>
                      <w:szCs w:val="21"/>
                    </w:rPr>
                  </w:pPr>
                  <w:r>
                    <w:rPr>
                      <w:rFonts w:hint="eastAsia"/>
                      <w:bCs/>
                      <w:szCs w:val="21"/>
                    </w:rPr>
                    <w:t>15</w:t>
                  </w:r>
                </w:p>
              </w:tc>
              <w:tc>
                <w:tcPr>
                  <w:tcW w:w="1732" w:type="dxa"/>
                  <w:noWrap w:val="0"/>
                  <w:vAlign w:val="center"/>
                </w:tcPr>
                <w:p w14:paraId="6B28C91C">
                  <w:pPr>
                    <w:spacing w:line="276" w:lineRule="auto"/>
                    <w:jc w:val="center"/>
                    <w:rPr>
                      <w:bCs/>
                      <w:szCs w:val="21"/>
                    </w:rPr>
                  </w:pPr>
                  <w:r>
                    <w:rPr>
                      <w:rFonts w:hint="eastAsia"/>
                      <w:bCs/>
                      <w:szCs w:val="21"/>
                    </w:rPr>
                    <w:t>输送机</w:t>
                  </w:r>
                </w:p>
              </w:tc>
              <w:tc>
                <w:tcPr>
                  <w:tcW w:w="1461" w:type="dxa"/>
                  <w:noWrap w:val="0"/>
                  <w:vAlign w:val="center"/>
                </w:tcPr>
                <w:p w14:paraId="280B2F85">
                  <w:pPr>
                    <w:spacing w:line="276" w:lineRule="auto"/>
                    <w:jc w:val="center"/>
                    <w:rPr>
                      <w:bCs/>
                      <w:szCs w:val="21"/>
                    </w:rPr>
                  </w:pPr>
                  <w:r>
                    <w:rPr>
                      <w:bCs/>
                      <w:szCs w:val="21"/>
                    </w:rPr>
                    <w:t>生产配套设备</w:t>
                  </w:r>
                </w:p>
              </w:tc>
              <w:tc>
                <w:tcPr>
                  <w:tcW w:w="1800" w:type="dxa"/>
                  <w:noWrap w:val="0"/>
                  <w:vAlign w:val="center"/>
                </w:tcPr>
                <w:p w14:paraId="15D64FB9">
                  <w:pPr>
                    <w:spacing w:line="276" w:lineRule="auto"/>
                    <w:jc w:val="center"/>
                    <w:rPr>
                      <w:bCs/>
                      <w:szCs w:val="21"/>
                    </w:rPr>
                  </w:pPr>
                  <w:r>
                    <w:rPr>
                      <w:rFonts w:hint="eastAsia"/>
                      <w:bCs/>
                      <w:szCs w:val="21"/>
                    </w:rPr>
                    <w:t>B500</w:t>
                  </w:r>
                </w:p>
              </w:tc>
              <w:tc>
                <w:tcPr>
                  <w:tcW w:w="960" w:type="dxa"/>
                  <w:noWrap w:val="0"/>
                  <w:vAlign w:val="center"/>
                </w:tcPr>
                <w:p w14:paraId="4727349F">
                  <w:pPr>
                    <w:spacing w:line="276" w:lineRule="auto"/>
                    <w:jc w:val="center"/>
                    <w:rPr>
                      <w:bCs/>
                      <w:szCs w:val="21"/>
                    </w:rPr>
                  </w:pPr>
                  <w:r>
                    <w:rPr>
                      <w:rFonts w:hint="eastAsia"/>
                      <w:bCs/>
                      <w:szCs w:val="21"/>
                    </w:rPr>
                    <w:t>15</w:t>
                  </w:r>
                </w:p>
              </w:tc>
              <w:tc>
                <w:tcPr>
                  <w:tcW w:w="914" w:type="dxa"/>
                  <w:noWrap w:val="0"/>
                  <w:vAlign w:val="center"/>
                </w:tcPr>
                <w:p w14:paraId="3BA8331D">
                  <w:pPr>
                    <w:spacing w:line="276" w:lineRule="auto"/>
                    <w:jc w:val="center"/>
                    <w:rPr>
                      <w:bCs/>
                      <w:szCs w:val="21"/>
                    </w:rPr>
                  </w:pPr>
                  <w:r>
                    <w:rPr>
                      <w:rFonts w:hint="eastAsia"/>
                      <w:bCs/>
                      <w:szCs w:val="21"/>
                    </w:rPr>
                    <w:t>15</w:t>
                  </w:r>
                </w:p>
              </w:tc>
              <w:tc>
                <w:tcPr>
                  <w:tcW w:w="477" w:type="dxa"/>
                  <w:noWrap w:val="0"/>
                  <w:vAlign w:val="center"/>
                </w:tcPr>
                <w:p w14:paraId="51285B9D">
                  <w:pPr>
                    <w:spacing w:line="276" w:lineRule="auto"/>
                    <w:jc w:val="center"/>
                    <w:rPr>
                      <w:rFonts w:hint="eastAsia"/>
                      <w:bCs/>
                      <w:szCs w:val="21"/>
                    </w:rPr>
                  </w:pPr>
                  <w:r>
                    <w:rPr>
                      <w:rFonts w:hint="eastAsia"/>
                      <w:bCs/>
                      <w:szCs w:val="21"/>
                    </w:rPr>
                    <w:t>套</w:t>
                  </w:r>
                </w:p>
              </w:tc>
              <w:tc>
                <w:tcPr>
                  <w:tcW w:w="567" w:type="dxa"/>
                  <w:noWrap w:val="0"/>
                  <w:vAlign w:val="center"/>
                </w:tcPr>
                <w:p w14:paraId="7C8C3B93">
                  <w:pPr>
                    <w:spacing w:line="276" w:lineRule="auto"/>
                    <w:jc w:val="center"/>
                    <w:rPr>
                      <w:bCs/>
                      <w:szCs w:val="21"/>
                    </w:rPr>
                  </w:pPr>
                  <w:r>
                    <w:rPr>
                      <w:bCs/>
                      <w:szCs w:val="21"/>
                    </w:rPr>
                    <w:t>0</w:t>
                  </w:r>
                </w:p>
              </w:tc>
            </w:tr>
            <w:tr w14:paraId="74FA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55217CA3">
                  <w:pPr>
                    <w:spacing w:line="276" w:lineRule="auto"/>
                    <w:jc w:val="center"/>
                    <w:rPr>
                      <w:bCs/>
                      <w:szCs w:val="21"/>
                    </w:rPr>
                  </w:pPr>
                  <w:r>
                    <w:rPr>
                      <w:rFonts w:hint="eastAsia"/>
                      <w:bCs/>
                      <w:szCs w:val="21"/>
                    </w:rPr>
                    <w:t>16</w:t>
                  </w:r>
                </w:p>
              </w:tc>
              <w:tc>
                <w:tcPr>
                  <w:tcW w:w="1732" w:type="dxa"/>
                  <w:noWrap w:val="0"/>
                  <w:vAlign w:val="center"/>
                </w:tcPr>
                <w:p w14:paraId="1D1BE487">
                  <w:pPr>
                    <w:spacing w:line="276" w:lineRule="auto"/>
                    <w:jc w:val="center"/>
                    <w:rPr>
                      <w:bCs/>
                      <w:szCs w:val="21"/>
                    </w:rPr>
                  </w:pPr>
                  <w:r>
                    <w:rPr>
                      <w:rFonts w:hint="eastAsia"/>
                      <w:bCs/>
                      <w:szCs w:val="21"/>
                    </w:rPr>
                    <w:t>自动包装机</w:t>
                  </w:r>
                </w:p>
              </w:tc>
              <w:tc>
                <w:tcPr>
                  <w:tcW w:w="1461" w:type="dxa"/>
                  <w:noWrap w:val="0"/>
                  <w:vAlign w:val="center"/>
                </w:tcPr>
                <w:p w14:paraId="2F9C6DAD">
                  <w:pPr>
                    <w:spacing w:line="276" w:lineRule="auto"/>
                    <w:jc w:val="center"/>
                    <w:rPr>
                      <w:rFonts w:hint="eastAsia"/>
                      <w:bCs/>
                      <w:szCs w:val="21"/>
                    </w:rPr>
                  </w:pPr>
                  <w:r>
                    <w:rPr>
                      <w:rFonts w:hint="eastAsia"/>
                      <w:bCs/>
                      <w:szCs w:val="21"/>
                    </w:rPr>
                    <w:t>包装</w:t>
                  </w:r>
                </w:p>
              </w:tc>
              <w:tc>
                <w:tcPr>
                  <w:tcW w:w="1800" w:type="dxa"/>
                  <w:noWrap w:val="0"/>
                  <w:vAlign w:val="center"/>
                </w:tcPr>
                <w:p w14:paraId="7BEA6A64">
                  <w:pPr>
                    <w:spacing w:line="276" w:lineRule="auto"/>
                    <w:jc w:val="center"/>
                    <w:rPr>
                      <w:bCs/>
                      <w:szCs w:val="21"/>
                    </w:rPr>
                  </w:pPr>
                  <w:r>
                    <w:rPr>
                      <w:rFonts w:hint="eastAsia"/>
                      <w:bCs/>
                      <w:szCs w:val="21"/>
                    </w:rPr>
                    <w:t>/</w:t>
                  </w:r>
                </w:p>
              </w:tc>
              <w:tc>
                <w:tcPr>
                  <w:tcW w:w="960" w:type="dxa"/>
                  <w:noWrap w:val="0"/>
                  <w:vAlign w:val="center"/>
                </w:tcPr>
                <w:p w14:paraId="118512AD">
                  <w:pPr>
                    <w:spacing w:line="276" w:lineRule="auto"/>
                    <w:jc w:val="center"/>
                    <w:rPr>
                      <w:bCs/>
                      <w:szCs w:val="21"/>
                    </w:rPr>
                  </w:pPr>
                  <w:r>
                    <w:rPr>
                      <w:rFonts w:hint="eastAsia"/>
                      <w:bCs/>
                      <w:szCs w:val="21"/>
                    </w:rPr>
                    <w:t>0</w:t>
                  </w:r>
                </w:p>
              </w:tc>
              <w:tc>
                <w:tcPr>
                  <w:tcW w:w="914" w:type="dxa"/>
                  <w:noWrap w:val="0"/>
                  <w:vAlign w:val="center"/>
                </w:tcPr>
                <w:p w14:paraId="094BFF44">
                  <w:pPr>
                    <w:spacing w:line="276" w:lineRule="auto"/>
                    <w:jc w:val="center"/>
                    <w:rPr>
                      <w:bCs/>
                      <w:szCs w:val="21"/>
                    </w:rPr>
                  </w:pPr>
                  <w:r>
                    <w:rPr>
                      <w:rFonts w:hint="eastAsia"/>
                      <w:bCs/>
                      <w:szCs w:val="21"/>
                    </w:rPr>
                    <w:t>1</w:t>
                  </w:r>
                </w:p>
              </w:tc>
              <w:tc>
                <w:tcPr>
                  <w:tcW w:w="477" w:type="dxa"/>
                  <w:noWrap w:val="0"/>
                  <w:vAlign w:val="center"/>
                </w:tcPr>
                <w:p w14:paraId="7E75A058">
                  <w:pPr>
                    <w:spacing w:line="276" w:lineRule="auto"/>
                    <w:jc w:val="center"/>
                    <w:rPr>
                      <w:rFonts w:hint="eastAsia"/>
                      <w:bCs/>
                      <w:szCs w:val="21"/>
                    </w:rPr>
                  </w:pPr>
                  <w:r>
                    <w:rPr>
                      <w:bCs/>
                      <w:szCs w:val="21"/>
                    </w:rPr>
                    <w:t>台</w:t>
                  </w:r>
                </w:p>
              </w:tc>
              <w:tc>
                <w:tcPr>
                  <w:tcW w:w="567" w:type="dxa"/>
                  <w:noWrap w:val="0"/>
                  <w:vAlign w:val="center"/>
                </w:tcPr>
                <w:p w14:paraId="006736E7">
                  <w:pPr>
                    <w:spacing w:line="276" w:lineRule="auto"/>
                    <w:jc w:val="center"/>
                    <w:rPr>
                      <w:bCs/>
                      <w:szCs w:val="21"/>
                    </w:rPr>
                  </w:pPr>
                  <w:r>
                    <w:rPr>
                      <w:rFonts w:hint="eastAsia"/>
                      <w:bCs/>
                      <w:szCs w:val="21"/>
                    </w:rPr>
                    <w:t>+1</w:t>
                  </w:r>
                </w:p>
              </w:tc>
            </w:tr>
            <w:tr w14:paraId="3F1A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7" w:type="dxa"/>
                  <w:noWrap w:val="0"/>
                  <w:vAlign w:val="center"/>
                </w:tcPr>
                <w:p w14:paraId="224DCC36">
                  <w:pPr>
                    <w:spacing w:line="276" w:lineRule="auto"/>
                    <w:jc w:val="center"/>
                    <w:rPr>
                      <w:bCs/>
                      <w:szCs w:val="21"/>
                    </w:rPr>
                  </w:pPr>
                  <w:r>
                    <w:rPr>
                      <w:rFonts w:hint="eastAsia"/>
                      <w:bCs/>
                      <w:szCs w:val="21"/>
                    </w:rPr>
                    <w:t>17</w:t>
                  </w:r>
                </w:p>
              </w:tc>
              <w:tc>
                <w:tcPr>
                  <w:tcW w:w="1732" w:type="dxa"/>
                  <w:noWrap w:val="0"/>
                  <w:vAlign w:val="center"/>
                </w:tcPr>
                <w:p w14:paraId="501888A0">
                  <w:pPr>
                    <w:spacing w:line="276" w:lineRule="auto"/>
                    <w:jc w:val="center"/>
                    <w:rPr>
                      <w:bCs/>
                      <w:szCs w:val="21"/>
                    </w:rPr>
                  </w:pPr>
                  <w:r>
                    <w:rPr>
                      <w:rFonts w:hint="eastAsia"/>
                      <w:bCs/>
                      <w:szCs w:val="21"/>
                    </w:rPr>
                    <w:t>旋转</w:t>
                  </w:r>
                  <w:r>
                    <w:rPr>
                      <w:bCs/>
                      <w:szCs w:val="21"/>
                    </w:rPr>
                    <w:t>窑</w:t>
                  </w:r>
                </w:p>
              </w:tc>
              <w:tc>
                <w:tcPr>
                  <w:tcW w:w="1461" w:type="dxa"/>
                  <w:noWrap w:val="0"/>
                  <w:vAlign w:val="center"/>
                </w:tcPr>
                <w:p w14:paraId="59C8ED64">
                  <w:pPr>
                    <w:spacing w:line="276" w:lineRule="auto"/>
                    <w:jc w:val="center"/>
                    <w:rPr>
                      <w:bCs/>
                      <w:szCs w:val="21"/>
                    </w:rPr>
                  </w:pPr>
                  <w:r>
                    <w:rPr>
                      <w:bCs/>
                      <w:szCs w:val="21"/>
                    </w:rPr>
                    <w:t>成品砖烧成设施</w:t>
                  </w:r>
                </w:p>
              </w:tc>
              <w:tc>
                <w:tcPr>
                  <w:tcW w:w="1800" w:type="dxa"/>
                  <w:noWrap w:val="0"/>
                  <w:vAlign w:val="center"/>
                </w:tcPr>
                <w:p w14:paraId="2FDD90E0">
                  <w:pPr>
                    <w:spacing w:line="276" w:lineRule="auto"/>
                    <w:jc w:val="center"/>
                    <w:rPr>
                      <w:bCs/>
                      <w:szCs w:val="21"/>
                    </w:rPr>
                  </w:pPr>
                  <w:r>
                    <w:rPr>
                      <w:rFonts w:hint="eastAsia"/>
                      <w:bCs/>
                      <w:szCs w:val="21"/>
                    </w:rPr>
                    <w:t>窑外轨直径100m，窑内轨直径82.8m，窑截面长8.6m，宽3.2m</w:t>
                  </w:r>
                </w:p>
              </w:tc>
              <w:tc>
                <w:tcPr>
                  <w:tcW w:w="960" w:type="dxa"/>
                  <w:noWrap w:val="0"/>
                  <w:vAlign w:val="center"/>
                </w:tcPr>
                <w:p w14:paraId="1EBD52A3">
                  <w:pPr>
                    <w:spacing w:line="276" w:lineRule="auto"/>
                    <w:jc w:val="center"/>
                    <w:rPr>
                      <w:rFonts w:hint="eastAsia"/>
                      <w:bCs/>
                      <w:szCs w:val="21"/>
                    </w:rPr>
                  </w:pPr>
                  <w:r>
                    <w:rPr>
                      <w:rFonts w:hint="eastAsia"/>
                      <w:bCs/>
                      <w:szCs w:val="21"/>
                    </w:rPr>
                    <w:t>1</w:t>
                  </w:r>
                </w:p>
              </w:tc>
              <w:tc>
                <w:tcPr>
                  <w:tcW w:w="914" w:type="dxa"/>
                  <w:noWrap w:val="0"/>
                  <w:vAlign w:val="center"/>
                </w:tcPr>
                <w:p w14:paraId="41D95C12">
                  <w:pPr>
                    <w:spacing w:line="276" w:lineRule="auto"/>
                    <w:jc w:val="center"/>
                    <w:rPr>
                      <w:rFonts w:hint="eastAsia"/>
                      <w:bCs/>
                      <w:szCs w:val="21"/>
                    </w:rPr>
                  </w:pPr>
                  <w:r>
                    <w:rPr>
                      <w:rFonts w:hint="eastAsia"/>
                      <w:bCs/>
                      <w:szCs w:val="21"/>
                    </w:rPr>
                    <w:t>1</w:t>
                  </w:r>
                </w:p>
              </w:tc>
              <w:tc>
                <w:tcPr>
                  <w:tcW w:w="477" w:type="dxa"/>
                  <w:noWrap w:val="0"/>
                  <w:vAlign w:val="center"/>
                </w:tcPr>
                <w:p w14:paraId="7E12FA80">
                  <w:pPr>
                    <w:spacing w:line="276" w:lineRule="auto"/>
                    <w:jc w:val="center"/>
                    <w:rPr>
                      <w:bCs/>
                      <w:szCs w:val="21"/>
                    </w:rPr>
                  </w:pPr>
                  <w:r>
                    <w:rPr>
                      <w:bCs/>
                      <w:szCs w:val="21"/>
                    </w:rPr>
                    <w:t>座</w:t>
                  </w:r>
                </w:p>
              </w:tc>
              <w:tc>
                <w:tcPr>
                  <w:tcW w:w="567" w:type="dxa"/>
                  <w:noWrap w:val="0"/>
                  <w:vAlign w:val="center"/>
                </w:tcPr>
                <w:p w14:paraId="06F9BAC2">
                  <w:pPr>
                    <w:spacing w:line="276" w:lineRule="auto"/>
                    <w:jc w:val="center"/>
                    <w:rPr>
                      <w:bCs/>
                      <w:szCs w:val="21"/>
                    </w:rPr>
                  </w:pPr>
                  <w:r>
                    <w:rPr>
                      <w:bCs/>
                      <w:szCs w:val="21"/>
                    </w:rPr>
                    <w:t>0</w:t>
                  </w:r>
                </w:p>
              </w:tc>
            </w:tr>
          </w:tbl>
          <w:p w14:paraId="018F90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黑体" w:hAnsi="黑体" w:eastAsia="黑体" w:cs="黑体"/>
                <w:color w:val="FF0000"/>
                <w:sz w:val="24"/>
                <w:szCs w:val="24"/>
                <w:highlight w:val="yellow"/>
              </w:rPr>
            </w:pPr>
          </w:p>
          <w:p w14:paraId="67585966">
            <w:pPr>
              <w:pStyle w:val="205"/>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设备与产能匹配性分析：</w:t>
            </w:r>
          </w:p>
          <w:p w14:paraId="553B805E">
            <w:pPr>
              <w:pStyle w:val="205"/>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ascii="Times New Roman" w:hAnsi="Times New Roman" w:cs="Times New Roman"/>
                <w:sz w:val="24"/>
                <w:szCs w:val="24"/>
                <w:lang w:eastAsia="zh-CN"/>
              </w:rPr>
            </w:pPr>
            <w:r>
              <w:rPr>
                <w:rFonts w:ascii="Times New Roman" w:hAnsi="Times New Roman" w:cs="Times New Roman"/>
                <w:sz w:val="24"/>
                <w:szCs w:val="24"/>
                <w:lang w:eastAsia="zh-CN"/>
              </w:rPr>
              <w:t>本项目主要从事</w:t>
            </w:r>
            <w:r>
              <w:rPr>
                <w:rFonts w:hint="eastAsia"/>
                <w:sz w:val="24"/>
              </w:rPr>
              <w:t>煤矸石等原料</w:t>
            </w:r>
            <w:r>
              <w:rPr>
                <w:rFonts w:hint="eastAsia"/>
                <w:sz w:val="24"/>
                <w:lang w:val="en-US" w:eastAsia="zh-CN"/>
              </w:rPr>
              <w:t>生产</w:t>
            </w:r>
            <w:r>
              <w:rPr>
                <w:rFonts w:hint="eastAsia"/>
                <w:sz w:val="24"/>
              </w:rPr>
              <w:t>烧结砖</w:t>
            </w:r>
            <w:r>
              <w:rPr>
                <w:rFonts w:ascii="Times New Roman" w:hAnsi="Times New Roman" w:cs="Times New Roman"/>
                <w:sz w:val="24"/>
                <w:szCs w:val="24"/>
                <w:lang w:eastAsia="zh-CN"/>
              </w:rPr>
              <w:t>，</w:t>
            </w:r>
            <w:r>
              <w:rPr>
                <w:rFonts w:hint="eastAsia" w:ascii="Times New Roman" w:hAnsi="Times New Roman" w:cs="Times New Roman"/>
                <w:sz w:val="24"/>
                <w:szCs w:val="24"/>
                <w:lang w:val="en-US" w:eastAsia="zh-CN"/>
              </w:rPr>
              <w:t>现有项目旋转窑</w:t>
            </w:r>
            <w:r>
              <w:rPr>
                <w:rFonts w:hint="eastAsia" w:ascii="Times New Roman" w:hAnsi="Times New Roman" w:cs="Times New Roman"/>
                <w:color w:val="0000FF"/>
                <w:sz w:val="24"/>
                <w:szCs w:val="24"/>
                <w:lang w:val="en-US" w:eastAsia="zh-CN"/>
              </w:rPr>
              <w:t>窑高2.6m，</w:t>
            </w:r>
            <w:r>
              <w:rPr>
                <w:rFonts w:ascii="Times New Roman" w:hAnsi="Times New Roman" w:cs="Times New Roman"/>
                <w:sz w:val="24"/>
                <w:szCs w:val="24"/>
                <w:lang w:eastAsia="zh-CN"/>
              </w:rPr>
              <w:t>每天24小时生产能力约为</w:t>
            </w:r>
            <w:r>
              <w:rPr>
                <w:rFonts w:hint="eastAsia" w:ascii="Times New Roman" w:hAnsi="Times New Roman" w:cs="Times New Roman"/>
                <w:sz w:val="24"/>
                <w:szCs w:val="24"/>
                <w:lang w:val="en-US" w:eastAsia="zh-CN"/>
              </w:rPr>
              <w:t>30</w:t>
            </w:r>
            <w:r>
              <w:rPr>
                <w:rFonts w:ascii="Times New Roman" w:hAnsi="Times New Roman" w:cs="Times New Roman"/>
                <w:sz w:val="24"/>
                <w:szCs w:val="24"/>
                <w:lang w:eastAsia="zh-CN"/>
              </w:rPr>
              <w:t>万块坯块(折标砖)</w:t>
            </w:r>
            <w:bookmarkStart w:id="7" w:name="_Hlk213338283"/>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本次项目对窑体进行增高0.6m，</w:t>
            </w:r>
            <w:r>
              <w:rPr>
                <w:rFonts w:ascii="Times New Roman" w:hAnsi="Times New Roman" w:cs="Times New Roman"/>
                <w:sz w:val="24"/>
                <w:szCs w:val="24"/>
                <w:lang w:eastAsia="zh-CN"/>
              </w:rPr>
              <w:t>每天生产能力</w:t>
            </w:r>
            <w:r>
              <w:rPr>
                <w:rFonts w:hint="eastAsia" w:ascii="Times New Roman" w:hAnsi="Times New Roman" w:cs="Times New Roman"/>
                <w:sz w:val="24"/>
                <w:szCs w:val="24"/>
                <w:lang w:val="en-US" w:eastAsia="zh-CN"/>
              </w:rPr>
              <w:t>提高至</w:t>
            </w:r>
            <w:r>
              <w:rPr>
                <w:rFonts w:ascii="Times New Roman" w:hAnsi="Times New Roman" w:cs="Times New Roman"/>
                <w:sz w:val="24"/>
                <w:szCs w:val="24"/>
                <w:lang w:eastAsia="zh-CN"/>
              </w:rPr>
              <w:t>40万块(折标砖)</w:t>
            </w:r>
            <w:bookmarkEnd w:id="7"/>
            <w:r>
              <w:rPr>
                <w:rFonts w:hint="eastAsia" w:ascii="Times New Roman" w:hAnsi="Times New Roman" w:cs="Times New Roman"/>
                <w:sz w:val="24"/>
                <w:szCs w:val="24"/>
                <w:lang w:val="en-US" w:eastAsia="zh-CN"/>
              </w:rPr>
              <w:t>左右</w:t>
            </w:r>
            <w:r>
              <w:rPr>
                <w:rFonts w:ascii="Times New Roman" w:hAnsi="Times New Roman" w:cs="Times New Roman"/>
                <w:sz w:val="24"/>
                <w:szCs w:val="24"/>
                <w:lang w:eastAsia="zh-CN"/>
              </w:rPr>
              <w:t>。本项目</w:t>
            </w:r>
            <w:r>
              <w:rPr>
                <w:rFonts w:hint="eastAsia" w:ascii="Times New Roman" w:hAnsi="Times New Roman" w:cs="Times New Roman"/>
                <w:sz w:val="24"/>
                <w:szCs w:val="24"/>
                <w:lang w:val="en-US" w:eastAsia="zh-CN"/>
              </w:rPr>
              <w:t>建成后</w:t>
            </w:r>
            <w:r>
              <w:rPr>
                <w:rFonts w:ascii="Times New Roman" w:hAnsi="Times New Roman" w:cs="Times New Roman"/>
                <w:sz w:val="24"/>
                <w:szCs w:val="24"/>
                <w:lang w:eastAsia="zh-CN"/>
              </w:rPr>
              <w:t>年运行300天，每天运行24小时，</w:t>
            </w:r>
            <w:r>
              <w:rPr>
                <w:rFonts w:hint="eastAsia" w:ascii="Times New Roman" w:hAnsi="Times New Roman" w:cs="Times New Roman"/>
                <w:sz w:val="24"/>
                <w:szCs w:val="24"/>
                <w:lang w:val="en-US" w:eastAsia="zh-CN"/>
              </w:rPr>
              <w:t>旋转窑</w:t>
            </w:r>
            <w:r>
              <w:rPr>
                <w:rFonts w:ascii="Times New Roman" w:hAnsi="Times New Roman" w:cs="Times New Roman"/>
                <w:sz w:val="24"/>
                <w:szCs w:val="24"/>
                <w:lang w:eastAsia="zh-CN"/>
              </w:rPr>
              <w:t>生产能力约12000万块/年，能够满足设计生产规模需求。</w:t>
            </w:r>
          </w:p>
          <w:p w14:paraId="310279F7">
            <w:pPr>
              <w:spacing w:line="480" w:lineRule="exact"/>
              <w:ind w:firstLine="480" w:firstLineChars="200"/>
              <w:rPr>
                <w:rFonts w:hint="eastAsia" w:ascii="黑体" w:hAnsi="黑体" w:eastAsia="黑体" w:cs="黑体"/>
                <w:sz w:val="24"/>
              </w:rPr>
            </w:pPr>
            <w:r>
              <w:rPr>
                <w:rFonts w:hint="eastAsia" w:ascii="黑体" w:hAnsi="黑体" w:eastAsia="黑体" w:cs="黑体"/>
                <w:sz w:val="24"/>
              </w:rPr>
              <w:t>6、主要原辅材料及能源用量</w:t>
            </w:r>
          </w:p>
          <w:p w14:paraId="7FCD2CEF">
            <w:pPr>
              <w:spacing w:line="480" w:lineRule="exact"/>
              <w:ind w:firstLine="480" w:firstLineChars="200"/>
              <w:rPr>
                <w:b/>
                <w:sz w:val="24"/>
              </w:rPr>
            </w:pPr>
            <w:r>
              <w:rPr>
                <w:sz w:val="24"/>
              </w:rPr>
              <w:t>项目主要原辅材料及用量详见下表。</w:t>
            </w:r>
          </w:p>
          <w:p w14:paraId="68CDC16D">
            <w:pPr>
              <w:spacing w:line="440" w:lineRule="exact"/>
              <w:jc w:val="center"/>
              <w:rPr>
                <w:rFonts w:hint="eastAsia" w:ascii="黑体" w:hAnsi="黑体" w:eastAsia="黑体" w:cs="黑体"/>
                <w:bCs/>
                <w:sz w:val="24"/>
              </w:rPr>
            </w:pPr>
            <w:r>
              <w:rPr>
                <w:rFonts w:hint="eastAsia" w:ascii="黑体" w:hAnsi="黑体" w:eastAsia="黑体" w:cs="黑体"/>
                <w:bCs/>
                <w:sz w:val="24"/>
              </w:rPr>
              <w:t>表2-6主要原辅材料、能源及其用量一览表</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641"/>
              <w:gridCol w:w="1162"/>
              <w:gridCol w:w="1057"/>
              <w:gridCol w:w="926"/>
              <w:gridCol w:w="1084"/>
              <w:gridCol w:w="883"/>
              <w:gridCol w:w="858"/>
              <w:gridCol w:w="1278"/>
            </w:tblGrid>
            <w:tr w14:paraId="17DC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506D5EF0">
                  <w:pPr>
                    <w:spacing w:line="276" w:lineRule="auto"/>
                    <w:jc w:val="center"/>
                    <w:rPr>
                      <w:bCs/>
                      <w:szCs w:val="21"/>
                    </w:rPr>
                  </w:pPr>
                  <w:r>
                    <w:rPr>
                      <w:bCs/>
                      <w:szCs w:val="21"/>
                    </w:rPr>
                    <w:t>序号</w:t>
                  </w:r>
                </w:p>
              </w:tc>
              <w:tc>
                <w:tcPr>
                  <w:tcW w:w="385" w:type="pct"/>
                  <w:noWrap w:val="0"/>
                  <w:vAlign w:val="center"/>
                </w:tcPr>
                <w:p w14:paraId="03A3863E">
                  <w:pPr>
                    <w:spacing w:line="276" w:lineRule="auto"/>
                    <w:jc w:val="center"/>
                    <w:rPr>
                      <w:bCs/>
                      <w:szCs w:val="21"/>
                    </w:rPr>
                  </w:pPr>
                  <w:r>
                    <w:rPr>
                      <w:bCs/>
                      <w:szCs w:val="21"/>
                    </w:rPr>
                    <w:t>名称</w:t>
                  </w:r>
                </w:p>
              </w:tc>
              <w:tc>
                <w:tcPr>
                  <w:tcW w:w="699" w:type="pct"/>
                  <w:noWrap w:val="0"/>
                  <w:vAlign w:val="center"/>
                </w:tcPr>
                <w:p w14:paraId="3B2B0AB4">
                  <w:pPr>
                    <w:spacing w:line="276" w:lineRule="auto"/>
                    <w:jc w:val="center"/>
                    <w:rPr>
                      <w:bCs/>
                      <w:szCs w:val="21"/>
                    </w:rPr>
                  </w:pPr>
                  <w:r>
                    <w:rPr>
                      <w:bCs/>
                      <w:szCs w:val="21"/>
                    </w:rPr>
                    <w:t>改扩建前年用量</w:t>
                  </w:r>
                </w:p>
              </w:tc>
              <w:tc>
                <w:tcPr>
                  <w:tcW w:w="635" w:type="pct"/>
                  <w:noWrap w:val="0"/>
                  <w:vAlign w:val="center"/>
                </w:tcPr>
                <w:p w14:paraId="19658733">
                  <w:pPr>
                    <w:spacing w:line="276" w:lineRule="auto"/>
                    <w:jc w:val="center"/>
                    <w:rPr>
                      <w:bCs/>
                      <w:szCs w:val="21"/>
                    </w:rPr>
                  </w:pPr>
                  <w:r>
                    <w:rPr>
                      <w:rFonts w:hint="eastAsia"/>
                      <w:bCs/>
                      <w:szCs w:val="21"/>
                    </w:rPr>
                    <w:t>改扩建</w:t>
                  </w:r>
                  <w:r>
                    <w:rPr>
                      <w:bCs/>
                      <w:szCs w:val="21"/>
                    </w:rPr>
                    <w:t>后</w:t>
                  </w:r>
                </w:p>
                <w:p w14:paraId="4754057E">
                  <w:pPr>
                    <w:spacing w:line="276" w:lineRule="auto"/>
                    <w:jc w:val="center"/>
                    <w:rPr>
                      <w:bCs/>
                      <w:szCs w:val="21"/>
                    </w:rPr>
                  </w:pPr>
                  <w:r>
                    <w:rPr>
                      <w:bCs/>
                      <w:szCs w:val="21"/>
                    </w:rPr>
                    <w:t>年用量</w:t>
                  </w:r>
                </w:p>
              </w:tc>
              <w:tc>
                <w:tcPr>
                  <w:tcW w:w="557" w:type="pct"/>
                  <w:noWrap w:val="0"/>
                  <w:vAlign w:val="center"/>
                </w:tcPr>
                <w:p w14:paraId="2091BDE9">
                  <w:pPr>
                    <w:spacing w:line="276" w:lineRule="auto"/>
                    <w:jc w:val="center"/>
                    <w:rPr>
                      <w:bCs/>
                      <w:szCs w:val="21"/>
                    </w:rPr>
                  </w:pPr>
                  <w:r>
                    <w:rPr>
                      <w:bCs/>
                      <w:szCs w:val="21"/>
                    </w:rPr>
                    <w:t>最大储存量</w:t>
                  </w:r>
                </w:p>
              </w:tc>
              <w:tc>
                <w:tcPr>
                  <w:tcW w:w="652" w:type="pct"/>
                  <w:noWrap w:val="0"/>
                  <w:vAlign w:val="center"/>
                </w:tcPr>
                <w:p w14:paraId="6E4A2896">
                  <w:pPr>
                    <w:spacing w:line="276" w:lineRule="auto"/>
                    <w:jc w:val="center"/>
                    <w:rPr>
                      <w:bCs/>
                      <w:szCs w:val="21"/>
                    </w:rPr>
                  </w:pPr>
                  <w:r>
                    <w:rPr>
                      <w:bCs/>
                      <w:szCs w:val="21"/>
                    </w:rPr>
                    <w:t>形态/规格</w:t>
                  </w:r>
                </w:p>
              </w:tc>
              <w:tc>
                <w:tcPr>
                  <w:tcW w:w="531" w:type="pct"/>
                  <w:noWrap w:val="0"/>
                  <w:vAlign w:val="center"/>
                </w:tcPr>
                <w:p w14:paraId="6AB45513">
                  <w:pPr>
                    <w:spacing w:line="276" w:lineRule="auto"/>
                    <w:jc w:val="center"/>
                    <w:rPr>
                      <w:bCs/>
                      <w:szCs w:val="21"/>
                    </w:rPr>
                  </w:pPr>
                  <w:r>
                    <w:rPr>
                      <w:bCs/>
                      <w:szCs w:val="21"/>
                    </w:rPr>
                    <w:t>储存位置</w:t>
                  </w:r>
                </w:p>
              </w:tc>
              <w:tc>
                <w:tcPr>
                  <w:tcW w:w="516" w:type="pct"/>
                  <w:noWrap w:val="0"/>
                  <w:vAlign w:val="center"/>
                </w:tcPr>
                <w:p w14:paraId="53639C36">
                  <w:pPr>
                    <w:spacing w:line="276" w:lineRule="auto"/>
                    <w:jc w:val="center"/>
                    <w:rPr>
                      <w:bCs/>
                      <w:szCs w:val="21"/>
                    </w:rPr>
                  </w:pPr>
                  <w:r>
                    <w:rPr>
                      <w:bCs/>
                      <w:szCs w:val="21"/>
                    </w:rPr>
                    <w:t>来源</w:t>
                  </w:r>
                </w:p>
              </w:tc>
              <w:tc>
                <w:tcPr>
                  <w:tcW w:w="768" w:type="pct"/>
                  <w:noWrap w:val="0"/>
                  <w:vAlign w:val="center"/>
                </w:tcPr>
                <w:p w14:paraId="0DC2DC0C">
                  <w:pPr>
                    <w:spacing w:line="276" w:lineRule="auto"/>
                    <w:jc w:val="center"/>
                    <w:rPr>
                      <w:bCs/>
                      <w:szCs w:val="21"/>
                    </w:rPr>
                  </w:pPr>
                  <w:r>
                    <w:rPr>
                      <w:bCs/>
                      <w:szCs w:val="21"/>
                    </w:rPr>
                    <w:t>备注</w:t>
                  </w:r>
                </w:p>
              </w:tc>
            </w:tr>
            <w:tr w14:paraId="0129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692A6DD6">
                  <w:pPr>
                    <w:spacing w:line="276" w:lineRule="auto"/>
                    <w:jc w:val="center"/>
                    <w:rPr>
                      <w:bCs/>
                      <w:szCs w:val="21"/>
                    </w:rPr>
                  </w:pPr>
                  <w:r>
                    <w:rPr>
                      <w:bCs/>
                      <w:szCs w:val="21"/>
                    </w:rPr>
                    <w:t>1</w:t>
                  </w:r>
                </w:p>
              </w:tc>
              <w:tc>
                <w:tcPr>
                  <w:tcW w:w="385" w:type="pct"/>
                  <w:noWrap w:val="0"/>
                  <w:vAlign w:val="center"/>
                </w:tcPr>
                <w:p w14:paraId="159F71FA">
                  <w:pPr>
                    <w:autoSpaceDE w:val="0"/>
                    <w:autoSpaceDN w:val="0"/>
                    <w:spacing w:line="276" w:lineRule="auto"/>
                    <w:jc w:val="center"/>
                    <w:rPr>
                      <w:bCs/>
                      <w:szCs w:val="21"/>
                    </w:rPr>
                  </w:pPr>
                  <w:r>
                    <w:rPr>
                      <w:rFonts w:hint="eastAsia"/>
                      <w:bCs/>
                      <w:szCs w:val="21"/>
                    </w:rPr>
                    <w:t>煤矸石</w:t>
                  </w:r>
                </w:p>
              </w:tc>
              <w:tc>
                <w:tcPr>
                  <w:tcW w:w="699" w:type="pct"/>
                  <w:noWrap w:val="0"/>
                  <w:vAlign w:val="center"/>
                </w:tcPr>
                <w:p w14:paraId="3A2A139E">
                  <w:pPr>
                    <w:spacing w:line="276" w:lineRule="auto"/>
                    <w:jc w:val="center"/>
                    <w:textAlignment w:val="center"/>
                    <w:rPr>
                      <w:bCs/>
                      <w:szCs w:val="21"/>
                    </w:rPr>
                  </w:pPr>
                  <w:r>
                    <w:rPr>
                      <w:rFonts w:hint="eastAsia"/>
                      <w:bCs/>
                      <w:szCs w:val="21"/>
                    </w:rPr>
                    <w:t>179000t</w:t>
                  </w:r>
                </w:p>
              </w:tc>
              <w:tc>
                <w:tcPr>
                  <w:tcW w:w="635" w:type="pct"/>
                  <w:noWrap w:val="0"/>
                  <w:vAlign w:val="center"/>
                </w:tcPr>
                <w:p w14:paraId="334076FF">
                  <w:pPr>
                    <w:spacing w:line="276" w:lineRule="auto"/>
                    <w:jc w:val="center"/>
                    <w:rPr>
                      <w:bCs/>
                      <w:szCs w:val="21"/>
                    </w:rPr>
                  </w:pPr>
                  <w:r>
                    <w:rPr>
                      <w:rFonts w:hint="eastAsia"/>
                      <w:bCs/>
                      <w:szCs w:val="21"/>
                      <w:lang w:val="en-US" w:eastAsia="zh-CN"/>
                    </w:rPr>
                    <w:t>192</w:t>
                  </w:r>
                  <w:r>
                    <w:rPr>
                      <w:rFonts w:hint="eastAsia"/>
                      <w:bCs/>
                      <w:szCs w:val="21"/>
                    </w:rPr>
                    <w:t>000</w:t>
                  </w:r>
                  <w:r>
                    <w:rPr>
                      <w:rFonts w:hint="eastAsia"/>
                      <w:bCs/>
                      <w:color w:val="000000"/>
                      <w:szCs w:val="21"/>
                      <w:highlight w:val="none"/>
                    </w:rPr>
                    <w:t>t</w:t>
                  </w:r>
                </w:p>
              </w:tc>
              <w:tc>
                <w:tcPr>
                  <w:tcW w:w="557" w:type="pct"/>
                  <w:noWrap w:val="0"/>
                  <w:vAlign w:val="center"/>
                </w:tcPr>
                <w:p w14:paraId="03056EA0">
                  <w:pPr>
                    <w:spacing w:line="276" w:lineRule="auto"/>
                    <w:jc w:val="center"/>
                    <w:rPr>
                      <w:bCs/>
                      <w:szCs w:val="21"/>
                    </w:rPr>
                  </w:pPr>
                  <w:r>
                    <w:rPr>
                      <w:rFonts w:hint="eastAsia"/>
                      <w:bCs/>
                      <w:szCs w:val="21"/>
                    </w:rPr>
                    <w:t>5000</w:t>
                  </w:r>
                  <w:r>
                    <w:rPr>
                      <w:bCs/>
                      <w:szCs w:val="21"/>
                    </w:rPr>
                    <w:t>t</w:t>
                  </w:r>
                </w:p>
              </w:tc>
              <w:tc>
                <w:tcPr>
                  <w:tcW w:w="652" w:type="pct"/>
                  <w:noWrap w:val="0"/>
                  <w:vAlign w:val="center"/>
                </w:tcPr>
                <w:p w14:paraId="7C3E9811">
                  <w:pPr>
                    <w:spacing w:line="276" w:lineRule="auto"/>
                    <w:jc w:val="center"/>
                    <w:rPr>
                      <w:bCs/>
                      <w:szCs w:val="21"/>
                    </w:rPr>
                  </w:pPr>
                  <w:r>
                    <w:rPr>
                      <w:bCs/>
                      <w:szCs w:val="21"/>
                    </w:rPr>
                    <w:t>固态、散装</w:t>
                  </w:r>
                </w:p>
              </w:tc>
              <w:tc>
                <w:tcPr>
                  <w:tcW w:w="531" w:type="pct"/>
                  <w:noWrap w:val="0"/>
                  <w:vAlign w:val="center"/>
                </w:tcPr>
                <w:p w14:paraId="3D581D75">
                  <w:pPr>
                    <w:spacing w:line="276" w:lineRule="auto"/>
                    <w:jc w:val="center"/>
                    <w:rPr>
                      <w:bCs/>
                      <w:szCs w:val="21"/>
                    </w:rPr>
                  </w:pPr>
                  <w:r>
                    <w:rPr>
                      <w:bCs/>
                      <w:szCs w:val="21"/>
                    </w:rPr>
                    <w:t>原料库</w:t>
                  </w:r>
                </w:p>
              </w:tc>
              <w:tc>
                <w:tcPr>
                  <w:tcW w:w="516" w:type="pct"/>
                  <w:noWrap w:val="0"/>
                  <w:vAlign w:val="center"/>
                </w:tcPr>
                <w:p w14:paraId="1CCF4C47">
                  <w:pPr>
                    <w:spacing w:line="276" w:lineRule="auto"/>
                    <w:jc w:val="center"/>
                    <w:rPr>
                      <w:bCs/>
                      <w:szCs w:val="21"/>
                    </w:rPr>
                  </w:pPr>
                  <w:r>
                    <w:rPr>
                      <w:bCs/>
                      <w:szCs w:val="21"/>
                    </w:rPr>
                    <w:t>外购</w:t>
                  </w:r>
                  <w:r>
                    <w:rPr>
                      <w:rFonts w:hint="eastAsia"/>
                      <w:bCs/>
                      <w:szCs w:val="21"/>
                    </w:rPr>
                    <w:t>，</w:t>
                  </w:r>
                  <w:r>
                    <w:rPr>
                      <w:bCs/>
                      <w:szCs w:val="21"/>
                    </w:rPr>
                    <w:t>汽运</w:t>
                  </w:r>
                </w:p>
              </w:tc>
              <w:tc>
                <w:tcPr>
                  <w:tcW w:w="768" w:type="pct"/>
                  <w:noWrap w:val="0"/>
                  <w:vAlign w:val="center"/>
                </w:tcPr>
                <w:p w14:paraId="72ADB527">
                  <w:pPr>
                    <w:spacing w:line="276" w:lineRule="auto"/>
                    <w:jc w:val="center"/>
                    <w:rPr>
                      <w:bCs/>
                      <w:szCs w:val="21"/>
                    </w:rPr>
                  </w:pPr>
                  <w:r>
                    <w:rPr>
                      <w:bCs/>
                      <w:szCs w:val="21"/>
                    </w:rPr>
                    <w:t>+</w:t>
                  </w:r>
                  <w:r>
                    <w:rPr>
                      <w:rFonts w:hint="eastAsia"/>
                      <w:bCs/>
                      <w:szCs w:val="21"/>
                    </w:rPr>
                    <w:t>47000</w:t>
                  </w:r>
                  <w:r>
                    <w:rPr>
                      <w:bCs/>
                      <w:szCs w:val="21"/>
                    </w:rPr>
                    <w:t>t/a</w:t>
                  </w:r>
                </w:p>
              </w:tc>
            </w:tr>
            <w:tr w14:paraId="01DC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622C3690">
                  <w:pPr>
                    <w:spacing w:line="276" w:lineRule="auto"/>
                    <w:jc w:val="center"/>
                    <w:rPr>
                      <w:rFonts w:hint="eastAsia"/>
                      <w:bCs/>
                      <w:szCs w:val="21"/>
                    </w:rPr>
                  </w:pPr>
                  <w:r>
                    <w:rPr>
                      <w:rFonts w:hint="eastAsia"/>
                      <w:bCs/>
                      <w:szCs w:val="21"/>
                    </w:rPr>
                    <w:t>2</w:t>
                  </w:r>
                </w:p>
              </w:tc>
              <w:tc>
                <w:tcPr>
                  <w:tcW w:w="385" w:type="pct"/>
                  <w:noWrap w:val="0"/>
                  <w:vAlign w:val="center"/>
                </w:tcPr>
                <w:p w14:paraId="6EF04785">
                  <w:pPr>
                    <w:autoSpaceDE w:val="0"/>
                    <w:autoSpaceDN w:val="0"/>
                    <w:spacing w:line="276" w:lineRule="auto"/>
                    <w:jc w:val="center"/>
                    <w:rPr>
                      <w:rFonts w:hint="eastAsia"/>
                      <w:bCs/>
                      <w:color w:val="000000"/>
                      <w:szCs w:val="21"/>
                    </w:rPr>
                  </w:pPr>
                  <w:r>
                    <w:rPr>
                      <w:rFonts w:hint="eastAsia"/>
                      <w:bCs/>
                      <w:color w:val="000000"/>
                      <w:szCs w:val="21"/>
                    </w:rPr>
                    <w:t>粘土</w:t>
                  </w:r>
                </w:p>
              </w:tc>
              <w:tc>
                <w:tcPr>
                  <w:tcW w:w="699" w:type="pct"/>
                  <w:noWrap w:val="0"/>
                  <w:vAlign w:val="center"/>
                </w:tcPr>
                <w:p w14:paraId="2ABB5AFC">
                  <w:pPr>
                    <w:spacing w:line="276" w:lineRule="auto"/>
                    <w:jc w:val="center"/>
                    <w:textAlignment w:val="center"/>
                    <w:rPr>
                      <w:bCs/>
                      <w:color w:val="000000"/>
                      <w:szCs w:val="21"/>
                    </w:rPr>
                  </w:pPr>
                  <w:r>
                    <w:rPr>
                      <w:rFonts w:hint="eastAsia"/>
                      <w:bCs/>
                      <w:color w:val="000000"/>
                      <w:szCs w:val="21"/>
                    </w:rPr>
                    <w:t>63000</w:t>
                  </w:r>
                  <w:r>
                    <w:rPr>
                      <w:rFonts w:hint="eastAsia"/>
                      <w:bCs/>
                      <w:szCs w:val="21"/>
                    </w:rPr>
                    <w:t>t</w:t>
                  </w:r>
                </w:p>
              </w:tc>
              <w:tc>
                <w:tcPr>
                  <w:tcW w:w="635" w:type="pct"/>
                  <w:noWrap w:val="0"/>
                  <w:vAlign w:val="center"/>
                </w:tcPr>
                <w:p w14:paraId="0194AF28">
                  <w:pPr>
                    <w:spacing w:line="276" w:lineRule="auto"/>
                    <w:jc w:val="center"/>
                    <w:rPr>
                      <w:rFonts w:hint="default" w:eastAsia="宋体"/>
                      <w:bCs/>
                      <w:color w:val="000000"/>
                      <w:szCs w:val="21"/>
                      <w:lang w:val="en-US" w:eastAsia="zh-CN"/>
                    </w:rPr>
                  </w:pPr>
                  <w:r>
                    <w:rPr>
                      <w:rFonts w:hint="eastAsia"/>
                      <w:bCs/>
                      <w:color w:val="000000"/>
                      <w:szCs w:val="21"/>
                      <w:lang w:val="en-US" w:eastAsia="zh-CN"/>
                    </w:rPr>
                    <w:t>32000</w:t>
                  </w:r>
                  <w:r>
                    <w:rPr>
                      <w:rFonts w:hint="eastAsia"/>
                      <w:bCs/>
                      <w:color w:val="000000"/>
                      <w:szCs w:val="21"/>
                      <w:highlight w:val="none"/>
                    </w:rPr>
                    <w:t>t</w:t>
                  </w:r>
                </w:p>
              </w:tc>
              <w:tc>
                <w:tcPr>
                  <w:tcW w:w="557" w:type="pct"/>
                  <w:noWrap w:val="0"/>
                  <w:vAlign w:val="center"/>
                </w:tcPr>
                <w:p w14:paraId="076E00B6">
                  <w:pPr>
                    <w:spacing w:line="276" w:lineRule="auto"/>
                    <w:jc w:val="center"/>
                    <w:rPr>
                      <w:bCs/>
                      <w:color w:val="000000"/>
                      <w:szCs w:val="21"/>
                    </w:rPr>
                  </w:pPr>
                  <w:r>
                    <w:rPr>
                      <w:rFonts w:hint="eastAsia"/>
                      <w:bCs/>
                      <w:color w:val="000000"/>
                      <w:szCs w:val="21"/>
                      <w:lang w:val="en-US" w:eastAsia="zh-CN"/>
                    </w:rPr>
                    <w:t>1</w:t>
                  </w:r>
                  <w:r>
                    <w:rPr>
                      <w:rFonts w:hint="eastAsia"/>
                      <w:bCs/>
                      <w:color w:val="000000"/>
                      <w:szCs w:val="21"/>
                    </w:rPr>
                    <w:t>000t</w:t>
                  </w:r>
                </w:p>
              </w:tc>
              <w:tc>
                <w:tcPr>
                  <w:tcW w:w="652" w:type="pct"/>
                  <w:noWrap w:val="0"/>
                  <w:vAlign w:val="center"/>
                </w:tcPr>
                <w:p w14:paraId="1E2E581C">
                  <w:pPr>
                    <w:spacing w:line="276" w:lineRule="auto"/>
                    <w:jc w:val="center"/>
                    <w:rPr>
                      <w:bCs/>
                      <w:color w:val="000000"/>
                      <w:szCs w:val="21"/>
                    </w:rPr>
                  </w:pPr>
                  <w:r>
                    <w:rPr>
                      <w:bCs/>
                      <w:color w:val="000000"/>
                      <w:szCs w:val="21"/>
                    </w:rPr>
                    <w:t>固态、散装</w:t>
                  </w:r>
                </w:p>
              </w:tc>
              <w:tc>
                <w:tcPr>
                  <w:tcW w:w="531" w:type="pct"/>
                  <w:noWrap w:val="0"/>
                  <w:vAlign w:val="center"/>
                </w:tcPr>
                <w:p w14:paraId="7558DBB2">
                  <w:pPr>
                    <w:spacing w:line="276" w:lineRule="auto"/>
                    <w:jc w:val="center"/>
                    <w:rPr>
                      <w:bCs/>
                      <w:color w:val="000000"/>
                      <w:szCs w:val="21"/>
                    </w:rPr>
                  </w:pPr>
                  <w:r>
                    <w:rPr>
                      <w:bCs/>
                      <w:color w:val="000000"/>
                      <w:szCs w:val="21"/>
                    </w:rPr>
                    <w:t>原料库</w:t>
                  </w:r>
                </w:p>
              </w:tc>
              <w:tc>
                <w:tcPr>
                  <w:tcW w:w="516" w:type="pct"/>
                  <w:noWrap w:val="0"/>
                  <w:vAlign w:val="center"/>
                </w:tcPr>
                <w:p w14:paraId="2196E245">
                  <w:pPr>
                    <w:spacing w:line="276" w:lineRule="auto"/>
                    <w:jc w:val="center"/>
                    <w:rPr>
                      <w:bCs/>
                      <w:color w:val="000000"/>
                      <w:szCs w:val="21"/>
                    </w:rPr>
                  </w:pPr>
                  <w:r>
                    <w:rPr>
                      <w:bCs/>
                      <w:color w:val="000000"/>
                      <w:szCs w:val="21"/>
                    </w:rPr>
                    <w:t>外购</w:t>
                  </w:r>
                  <w:r>
                    <w:rPr>
                      <w:rFonts w:hint="eastAsia"/>
                      <w:bCs/>
                      <w:color w:val="000000"/>
                      <w:szCs w:val="21"/>
                    </w:rPr>
                    <w:t>，</w:t>
                  </w:r>
                  <w:r>
                    <w:rPr>
                      <w:bCs/>
                      <w:color w:val="000000"/>
                      <w:szCs w:val="21"/>
                    </w:rPr>
                    <w:t>汽运</w:t>
                  </w:r>
                </w:p>
              </w:tc>
              <w:tc>
                <w:tcPr>
                  <w:tcW w:w="768" w:type="pct"/>
                  <w:noWrap w:val="0"/>
                  <w:vAlign w:val="center"/>
                </w:tcPr>
                <w:p w14:paraId="76AD3114">
                  <w:pPr>
                    <w:spacing w:line="276" w:lineRule="auto"/>
                    <w:jc w:val="center"/>
                    <w:rPr>
                      <w:bCs/>
                      <w:color w:val="000000"/>
                      <w:szCs w:val="21"/>
                    </w:rPr>
                  </w:pPr>
                  <w:r>
                    <w:rPr>
                      <w:rFonts w:hint="eastAsia"/>
                      <w:bCs/>
                      <w:color w:val="000000"/>
                      <w:szCs w:val="21"/>
                    </w:rPr>
                    <w:t>-</w:t>
                  </w:r>
                  <w:r>
                    <w:rPr>
                      <w:rFonts w:hint="eastAsia"/>
                      <w:bCs/>
                      <w:color w:val="000000"/>
                      <w:szCs w:val="21"/>
                      <w:lang w:val="en-US" w:eastAsia="zh-CN"/>
                    </w:rPr>
                    <w:t>310</w:t>
                  </w:r>
                  <w:r>
                    <w:rPr>
                      <w:rFonts w:hint="eastAsia"/>
                      <w:bCs/>
                      <w:color w:val="000000"/>
                      <w:szCs w:val="21"/>
                    </w:rPr>
                    <w:t>00</w:t>
                  </w:r>
                  <w:r>
                    <w:rPr>
                      <w:bCs/>
                      <w:color w:val="000000"/>
                      <w:szCs w:val="21"/>
                    </w:rPr>
                    <w:t>t/a</w:t>
                  </w:r>
                </w:p>
              </w:tc>
            </w:tr>
            <w:tr w14:paraId="06BA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6123930B">
                  <w:pPr>
                    <w:spacing w:line="276" w:lineRule="auto"/>
                    <w:jc w:val="center"/>
                    <w:rPr>
                      <w:rFonts w:hint="eastAsia"/>
                      <w:bCs/>
                      <w:szCs w:val="21"/>
                    </w:rPr>
                  </w:pPr>
                  <w:r>
                    <w:rPr>
                      <w:rFonts w:hint="eastAsia"/>
                      <w:bCs/>
                      <w:szCs w:val="21"/>
                    </w:rPr>
                    <w:t>3</w:t>
                  </w:r>
                </w:p>
              </w:tc>
              <w:tc>
                <w:tcPr>
                  <w:tcW w:w="385" w:type="pct"/>
                  <w:noWrap w:val="0"/>
                  <w:vAlign w:val="center"/>
                </w:tcPr>
                <w:p w14:paraId="57C6E3AC">
                  <w:pPr>
                    <w:autoSpaceDE w:val="0"/>
                    <w:autoSpaceDN w:val="0"/>
                    <w:spacing w:line="276" w:lineRule="auto"/>
                    <w:jc w:val="center"/>
                    <w:rPr>
                      <w:rFonts w:hint="eastAsia"/>
                      <w:bCs/>
                      <w:color w:val="000000"/>
                      <w:szCs w:val="21"/>
                    </w:rPr>
                  </w:pPr>
                  <w:r>
                    <w:rPr>
                      <w:rFonts w:hint="eastAsia"/>
                      <w:bCs/>
                      <w:color w:val="000000"/>
                      <w:szCs w:val="21"/>
                    </w:rPr>
                    <w:t>建筑渣土</w:t>
                  </w:r>
                </w:p>
              </w:tc>
              <w:tc>
                <w:tcPr>
                  <w:tcW w:w="699" w:type="pct"/>
                  <w:noWrap w:val="0"/>
                  <w:vAlign w:val="center"/>
                </w:tcPr>
                <w:p w14:paraId="2E9B93E2">
                  <w:pPr>
                    <w:spacing w:line="276" w:lineRule="auto"/>
                    <w:jc w:val="center"/>
                    <w:textAlignment w:val="center"/>
                    <w:rPr>
                      <w:bCs/>
                      <w:color w:val="000000"/>
                      <w:szCs w:val="21"/>
                    </w:rPr>
                  </w:pPr>
                  <w:r>
                    <w:rPr>
                      <w:rFonts w:hint="eastAsia"/>
                      <w:bCs/>
                      <w:color w:val="000000"/>
                      <w:szCs w:val="21"/>
                    </w:rPr>
                    <w:t>0</w:t>
                  </w:r>
                </w:p>
              </w:tc>
              <w:tc>
                <w:tcPr>
                  <w:tcW w:w="635" w:type="pct"/>
                  <w:noWrap w:val="0"/>
                  <w:vAlign w:val="center"/>
                </w:tcPr>
                <w:p w14:paraId="0F18A41F">
                  <w:pPr>
                    <w:spacing w:line="276" w:lineRule="auto"/>
                    <w:jc w:val="center"/>
                    <w:rPr>
                      <w:bCs/>
                      <w:color w:val="000000"/>
                      <w:szCs w:val="21"/>
                    </w:rPr>
                  </w:pPr>
                  <w:r>
                    <w:rPr>
                      <w:rFonts w:hint="eastAsia"/>
                      <w:bCs/>
                      <w:color w:val="000000"/>
                      <w:szCs w:val="21"/>
                      <w:lang w:val="en-US" w:eastAsia="zh-CN"/>
                    </w:rPr>
                    <w:t>960</w:t>
                  </w:r>
                  <w:r>
                    <w:rPr>
                      <w:rFonts w:hint="eastAsia"/>
                      <w:bCs/>
                      <w:color w:val="000000"/>
                      <w:szCs w:val="21"/>
                    </w:rPr>
                    <w:t>00</w:t>
                  </w:r>
                  <w:r>
                    <w:rPr>
                      <w:rFonts w:hint="eastAsia"/>
                      <w:bCs/>
                      <w:color w:val="000000"/>
                      <w:szCs w:val="21"/>
                      <w:highlight w:val="none"/>
                    </w:rPr>
                    <w:t>t</w:t>
                  </w:r>
                </w:p>
              </w:tc>
              <w:tc>
                <w:tcPr>
                  <w:tcW w:w="557" w:type="pct"/>
                  <w:noWrap w:val="0"/>
                  <w:vAlign w:val="center"/>
                </w:tcPr>
                <w:p w14:paraId="7BAD5747">
                  <w:pPr>
                    <w:spacing w:line="276" w:lineRule="auto"/>
                    <w:jc w:val="center"/>
                    <w:rPr>
                      <w:bCs/>
                      <w:color w:val="000000"/>
                      <w:szCs w:val="21"/>
                    </w:rPr>
                  </w:pPr>
                  <w:r>
                    <w:rPr>
                      <w:rFonts w:hint="eastAsia"/>
                      <w:bCs/>
                      <w:color w:val="000000"/>
                      <w:szCs w:val="21"/>
                      <w:lang w:val="en-US" w:eastAsia="zh-CN"/>
                    </w:rPr>
                    <w:t>2</w:t>
                  </w:r>
                  <w:r>
                    <w:rPr>
                      <w:rFonts w:hint="eastAsia"/>
                      <w:bCs/>
                      <w:color w:val="000000"/>
                      <w:szCs w:val="21"/>
                    </w:rPr>
                    <w:t>000</w:t>
                  </w:r>
                  <w:r>
                    <w:rPr>
                      <w:bCs/>
                      <w:color w:val="000000"/>
                      <w:szCs w:val="21"/>
                    </w:rPr>
                    <w:t>t</w:t>
                  </w:r>
                </w:p>
              </w:tc>
              <w:tc>
                <w:tcPr>
                  <w:tcW w:w="652" w:type="pct"/>
                  <w:noWrap w:val="0"/>
                  <w:vAlign w:val="center"/>
                </w:tcPr>
                <w:p w14:paraId="7F826A45">
                  <w:pPr>
                    <w:spacing w:line="276" w:lineRule="auto"/>
                    <w:jc w:val="center"/>
                    <w:rPr>
                      <w:bCs/>
                      <w:color w:val="000000"/>
                      <w:szCs w:val="21"/>
                    </w:rPr>
                  </w:pPr>
                  <w:r>
                    <w:rPr>
                      <w:bCs/>
                      <w:color w:val="000000"/>
                      <w:szCs w:val="21"/>
                    </w:rPr>
                    <w:t>固态、</w:t>
                  </w:r>
                  <w:r>
                    <w:rPr>
                      <w:rFonts w:hint="eastAsia"/>
                      <w:bCs/>
                      <w:color w:val="000000"/>
                      <w:szCs w:val="21"/>
                    </w:rPr>
                    <w:t>块状</w:t>
                  </w:r>
                </w:p>
              </w:tc>
              <w:tc>
                <w:tcPr>
                  <w:tcW w:w="531" w:type="pct"/>
                  <w:noWrap w:val="0"/>
                  <w:vAlign w:val="center"/>
                </w:tcPr>
                <w:p w14:paraId="4DD11D3B">
                  <w:pPr>
                    <w:spacing w:line="276" w:lineRule="auto"/>
                    <w:jc w:val="center"/>
                    <w:rPr>
                      <w:bCs/>
                      <w:color w:val="000000"/>
                      <w:szCs w:val="21"/>
                    </w:rPr>
                  </w:pPr>
                  <w:r>
                    <w:rPr>
                      <w:bCs/>
                      <w:color w:val="000000"/>
                      <w:szCs w:val="21"/>
                    </w:rPr>
                    <w:t>原料库</w:t>
                  </w:r>
                </w:p>
              </w:tc>
              <w:tc>
                <w:tcPr>
                  <w:tcW w:w="516" w:type="pct"/>
                  <w:noWrap w:val="0"/>
                  <w:vAlign w:val="center"/>
                </w:tcPr>
                <w:p w14:paraId="3B8E73EB">
                  <w:pPr>
                    <w:spacing w:line="276" w:lineRule="auto"/>
                    <w:jc w:val="center"/>
                    <w:rPr>
                      <w:bCs/>
                      <w:color w:val="000000"/>
                      <w:szCs w:val="21"/>
                    </w:rPr>
                  </w:pPr>
                  <w:r>
                    <w:rPr>
                      <w:bCs/>
                      <w:color w:val="000000"/>
                      <w:szCs w:val="21"/>
                    </w:rPr>
                    <w:t>外购，</w:t>
                  </w:r>
                  <w:r>
                    <w:rPr>
                      <w:rFonts w:hint="eastAsia"/>
                      <w:bCs/>
                      <w:color w:val="000000"/>
                      <w:szCs w:val="21"/>
                    </w:rPr>
                    <w:t>汽运</w:t>
                  </w:r>
                </w:p>
              </w:tc>
              <w:tc>
                <w:tcPr>
                  <w:tcW w:w="768" w:type="pct"/>
                  <w:noWrap w:val="0"/>
                  <w:vAlign w:val="center"/>
                </w:tcPr>
                <w:p w14:paraId="42405287">
                  <w:pPr>
                    <w:spacing w:line="276" w:lineRule="auto"/>
                    <w:jc w:val="center"/>
                    <w:rPr>
                      <w:bCs/>
                      <w:color w:val="000000"/>
                      <w:szCs w:val="21"/>
                    </w:rPr>
                  </w:pPr>
                  <w:r>
                    <w:rPr>
                      <w:bCs/>
                      <w:color w:val="000000"/>
                      <w:szCs w:val="21"/>
                    </w:rPr>
                    <w:t>+</w:t>
                  </w:r>
                  <w:r>
                    <w:rPr>
                      <w:rFonts w:hint="eastAsia"/>
                      <w:bCs/>
                      <w:color w:val="000000"/>
                      <w:szCs w:val="21"/>
                      <w:lang w:val="en-US" w:eastAsia="zh-CN"/>
                    </w:rPr>
                    <w:t>960</w:t>
                  </w:r>
                  <w:r>
                    <w:rPr>
                      <w:rFonts w:hint="eastAsia"/>
                      <w:bCs/>
                      <w:color w:val="000000"/>
                      <w:szCs w:val="21"/>
                    </w:rPr>
                    <w:t>00</w:t>
                  </w:r>
                  <w:r>
                    <w:rPr>
                      <w:bCs/>
                      <w:color w:val="000000"/>
                      <w:szCs w:val="21"/>
                    </w:rPr>
                    <w:t>t/a</w:t>
                  </w:r>
                </w:p>
              </w:tc>
            </w:tr>
            <w:tr w14:paraId="6B5B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37E16B9D">
                  <w:pPr>
                    <w:spacing w:line="276" w:lineRule="auto"/>
                    <w:jc w:val="center"/>
                    <w:rPr>
                      <w:rFonts w:hint="eastAsia"/>
                      <w:bCs/>
                      <w:color w:val="000000"/>
                      <w:szCs w:val="21"/>
                      <w:highlight w:val="none"/>
                    </w:rPr>
                  </w:pPr>
                  <w:r>
                    <w:rPr>
                      <w:rFonts w:hint="eastAsia"/>
                      <w:bCs/>
                      <w:color w:val="000000"/>
                      <w:szCs w:val="21"/>
                      <w:highlight w:val="none"/>
                    </w:rPr>
                    <w:t>4</w:t>
                  </w:r>
                </w:p>
              </w:tc>
              <w:tc>
                <w:tcPr>
                  <w:tcW w:w="385" w:type="pct"/>
                  <w:noWrap w:val="0"/>
                  <w:vAlign w:val="center"/>
                </w:tcPr>
                <w:p w14:paraId="0F4EA6FB">
                  <w:pPr>
                    <w:autoSpaceDE w:val="0"/>
                    <w:autoSpaceDN w:val="0"/>
                    <w:spacing w:line="276" w:lineRule="auto"/>
                    <w:jc w:val="center"/>
                    <w:rPr>
                      <w:bCs/>
                      <w:color w:val="000000"/>
                      <w:szCs w:val="21"/>
                      <w:highlight w:val="none"/>
                    </w:rPr>
                  </w:pPr>
                  <w:r>
                    <w:rPr>
                      <w:rFonts w:hint="eastAsia"/>
                      <w:bCs/>
                      <w:color w:val="000000"/>
                      <w:szCs w:val="21"/>
                      <w:highlight w:val="none"/>
                    </w:rPr>
                    <w:t>生物质颗粒</w:t>
                  </w:r>
                </w:p>
              </w:tc>
              <w:tc>
                <w:tcPr>
                  <w:tcW w:w="699" w:type="pct"/>
                  <w:noWrap w:val="0"/>
                  <w:vAlign w:val="center"/>
                </w:tcPr>
                <w:p w14:paraId="5F9A7BF6">
                  <w:pPr>
                    <w:spacing w:line="276" w:lineRule="auto"/>
                    <w:jc w:val="center"/>
                    <w:textAlignment w:val="center"/>
                    <w:rPr>
                      <w:bCs/>
                      <w:color w:val="000000"/>
                      <w:szCs w:val="21"/>
                      <w:highlight w:val="none"/>
                    </w:rPr>
                  </w:pPr>
                  <w:r>
                    <w:rPr>
                      <w:rFonts w:hint="eastAsia"/>
                      <w:bCs/>
                      <w:color w:val="000000"/>
                      <w:szCs w:val="21"/>
                      <w:highlight w:val="none"/>
                    </w:rPr>
                    <w:t>8t</w:t>
                  </w:r>
                </w:p>
              </w:tc>
              <w:tc>
                <w:tcPr>
                  <w:tcW w:w="635" w:type="pct"/>
                  <w:noWrap w:val="0"/>
                  <w:vAlign w:val="center"/>
                </w:tcPr>
                <w:p w14:paraId="13145C34">
                  <w:pPr>
                    <w:spacing w:line="276" w:lineRule="auto"/>
                    <w:jc w:val="center"/>
                    <w:rPr>
                      <w:bCs/>
                      <w:color w:val="000000"/>
                      <w:szCs w:val="21"/>
                      <w:highlight w:val="none"/>
                    </w:rPr>
                  </w:pPr>
                  <w:r>
                    <w:rPr>
                      <w:rFonts w:hint="eastAsia"/>
                      <w:bCs/>
                      <w:color w:val="000000"/>
                      <w:szCs w:val="21"/>
                      <w:highlight w:val="none"/>
                    </w:rPr>
                    <w:t>12t</w:t>
                  </w:r>
                </w:p>
              </w:tc>
              <w:tc>
                <w:tcPr>
                  <w:tcW w:w="557" w:type="pct"/>
                  <w:noWrap w:val="0"/>
                  <w:vAlign w:val="center"/>
                </w:tcPr>
                <w:p w14:paraId="38790517">
                  <w:pPr>
                    <w:spacing w:line="276" w:lineRule="auto"/>
                    <w:jc w:val="center"/>
                    <w:rPr>
                      <w:bCs/>
                      <w:color w:val="000000"/>
                      <w:szCs w:val="21"/>
                      <w:highlight w:val="none"/>
                    </w:rPr>
                  </w:pPr>
                  <w:r>
                    <w:rPr>
                      <w:rFonts w:hint="eastAsia"/>
                      <w:bCs/>
                      <w:color w:val="000000"/>
                      <w:szCs w:val="21"/>
                      <w:highlight w:val="none"/>
                    </w:rPr>
                    <w:t>2t</w:t>
                  </w:r>
                </w:p>
              </w:tc>
              <w:tc>
                <w:tcPr>
                  <w:tcW w:w="652" w:type="pct"/>
                  <w:noWrap w:val="0"/>
                  <w:vAlign w:val="center"/>
                </w:tcPr>
                <w:p w14:paraId="4A40C972">
                  <w:pPr>
                    <w:spacing w:line="276" w:lineRule="auto"/>
                    <w:jc w:val="center"/>
                    <w:rPr>
                      <w:bCs/>
                      <w:color w:val="000000"/>
                      <w:szCs w:val="21"/>
                      <w:highlight w:val="none"/>
                    </w:rPr>
                  </w:pPr>
                  <w:r>
                    <w:rPr>
                      <w:rFonts w:hint="eastAsia"/>
                      <w:bCs/>
                      <w:color w:val="000000"/>
                      <w:szCs w:val="21"/>
                      <w:highlight w:val="none"/>
                    </w:rPr>
                    <w:t>固态</w:t>
                  </w:r>
                  <w:r>
                    <w:rPr>
                      <w:bCs/>
                      <w:color w:val="000000"/>
                      <w:szCs w:val="21"/>
                      <w:highlight w:val="none"/>
                    </w:rPr>
                    <w:t>、散装</w:t>
                  </w:r>
                </w:p>
              </w:tc>
              <w:tc>
                <w:tcPr>
                  <w:tcW w:w="531" w:type="pct"/>
                  <w:noWrap w:val="0"/>
                  <w:vAlign w:val="center"/>
                </w:tcPr>
                <w:p w14:paraId="686D8A6A">
                  <w:pPr>
                    <w:spacing w:line="276" w:lineRule="auto"/>
                    <w:jc w:val="center"/>
                    <w:rPr>
                      <w:bCs/>
                      <w:color w:val="000000"/>
                      <w:szCs w:val="21"/>
                      <w:highlight w:val="none"/>
                    </w:rPr>
                  </w:pPr>
                  <w:r>
                    <w:rPr>
                      <w:rFonts w:hint="eastAsia"/>
                      <w:bCs/>
                      <w:color w:val="000000"/>
                      <w:szCs w:val="21"/>
                      <w:highlight w:val="none"/>
                    </w:rPr>
                    <w:t>原料库</w:t>
                  </w:r>
                </w:p>
              </w:tc>
              <w:tc>
                <w:tcPr>
                  <w:tcW w:w="516" w:type="pct"/>
                  <w:noWrap w:val="0"/>
                  <w:vAlign w:val="center"/>
                </w:tcPr>
                <w:p w14:paraId="597392AB">
                  <w:pPr>
                    <w:spacing w:line="276" w:lineRule="auto"/>
                    <w:jc w:val="center"/>
                    <w:rPr>
                      <w:bCs/>
                      <w:color w:val="000000"/>
                      <w:szCs w:val="21"/>
                      <w:highlight w:val="none"/>
                    </w:rPr>
                  </w:pPr>
                  <w:r>
                    <w:rPr>
                      <w:bCs/>
                      <w:color w:val="000000"/>
                      <w:szCs w:val="21"/>
                      <w:highlight w:val="none"/>
                    </w:rPr>
                    <w:t>外购，</w:t>
                  </w:r>
                  <w:r>
                    <w:rPr>
                      <w:rFonts w:hint="eastAsia"/>
                      <w:bCs/>
                      <w:color w:val="000000"/>
                      <w:szCs w:val="21"/>
                      <w:highlight w:val="none"/>
                    </w:rPr>
                    <w:t>汽运</w:t>
                  </w:r>
                </w:p>
              </w:tc>
              <w:tc>
                <w:tcPr>
                  <w:tcW w:w="768" w:type="pct"/>
                  <w:noWrap w:val="0"/>
                  <w:vAlign w:val="center"/>
                </w:tcPr>
                <w:p w14:paraId="7E592740">
                  <w:pPr>
                    <w:spacing w:line="276" w:lineRule="auto"/>
                    <w:jc w:val="center"/>
                    <w:rPr>
                      <w:bCs/>
                      <w:color w:val="000000"/>
                      <w:szCs w:val="21"/>
                      <w:highlight w:val="none"/>
                    </w:rPr>
                  </w:pPr>
                  <w:r>
                    <w:rPr>
                      <w:bCs/>
                      <w:color w:val="000000"/>
                      <w:szCs w:val="21"/>
                      <w:highlight w:val="none"/>
                    </w:rPr>
                    <w:t>+</w:t>
                  </w:r>
                  <w:r>
                    <w:rPr>
                      <w:rFonts w:hint="eastAsia"/>
                      <w:bCs/>
                      <w:color w:val="000000"/>
                      <w:szCs w:val="21"/>
                      <w:highlight w:val="none"/>
                    </w:rPr>
                    <w:t>4</w:t>
                  </w:r>
                  <w:r>
                    <w:rPr>
                      <w:bCs/>
                      <w:color w:val="000000"/>
                      <w:szCs w:val="21"/>
                      <w:highlight w:val="none"/>
                    </w:rPr>
                    <w:t>t/a</w:t>
                  </w:r>
                </w:p>
              </w:tc>
            </w:tr>
            <w:tr w14:paraId="1F17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1EF9FB83">
                  <w:pPr>
                    <w:spacing w:line="276" w:lineRule="auto"/>
                    <w:jc w:val="center"/>
                    <w:rPr>
                      <w:rFonts w:hint="eastAsia"/>
                      <w:bCs/>
                      <w:szCs w:val="21"/>
                    </w:rPr>
                  </w:pPr>
                  <w:r>
                    <w:rPr>
                      <w:rFonts w:hint="eastAsia"/>
                      <w:bCs/>
                      <w:szCs w:val="21"/>
                    </w:rPr>
                    <w:t>5</w:t>
                  </w:r>
                </w:p>
              </w:tc>
              <w:tc>
                <w:tcPr>
                  <w:tcW w:w="385" w:type="pct"/>
                  <w:noWrap w:val="0"/>
                  <w:vAlign w:val="center"/>
                </w:tcPr>
                <w:p w14:paraId="66702428">
                  <w:pPr>
                    <w:autoSpaceDE w:val="0"/>
                    <w:autoSpaceDN w:val="0"/>
                    <w:spacing w:line="276" w:lineRule="auto"/>
                    <w:jc w:val="center"/>
                    <w:rPr>
                      <w:rFonts w:hint="eastAsia"/>
                      <w:bCs/>
                      <w:szCs w:val="21"/>
                    </w:rPr>
                  </w:pPr>
                  <w:r>
                    <w:rPr>
                      <w:rFonts w:hint="eastAsia"/>
                      <w:bCs/>
                      <w:szCs w:val="21"/>
                    </w:rPr>
                    <w:t>机油</w:t>
                  </w:r>
                </w:p>
              </w:tc>
              <w:tc>
                <w:tcPr>
                  <w:tcW w:w="699" w:type="pct"/>
                  <w:noWrap w:val="0"/>
                  <w:vAlign w:val="center"/>
                </w:tcPr>
                <w:p w14:paraId="74E49700">
                  <w:pPr>
                    <w:spacing w:line="276" w:lineRule="auto"/>
                    <w:jc w:val="center"/>
                    <w:textAlignment w:val="center"/>
                    <w:rPr>
                      <w:rFonts w:hint="eastAsia"/>
                      <w:bCs/>
                      <w:szCs w:val="21"/>
                    </w:rPr>
                  </w:pPr>
                  <w:r>
                    <w:rPr>
                      <w:rFonts w:hint="eastAsia"/>
                      <w:bCs/>
                      <w:szCs w:val="21"/>
                    </w:rPr>
                    <w:t>0.5t</w:t>
                  </w:r>
                </w:p>
              </w:tc>
              <w:tc>
                <w:tcPr>
                  <w:tcW w:w="635" w:type="pct"/>
                  <w:noWrap w:val="0"/>
                  <w:vAlign w:val="center"/>
                </w:tcPr>
                <w:p w14:paraId="7A23D358">
                  <w:pPr>
                    <w:spacing w:line="276" w:lineRule="auto"/>
                    <w:jc w:val="center"/>
                    <w:rPr>
                      <w:rFonts w:hint="eastAsia"/>
                      <w:bCs/>
                      <w:szCs w:val="21"/>
                    </w:rPr>
                  </w:pPr>
                  <w:r>
                    <w:rPr>
                      <w:rFonts w:hint="eastAsia"/>
                      <w:bCs/>
                      <w:szCs w:val="21"/>
                    </w:rPr>
                    <w:t>0.6t</w:t>
                  </w:r>
                </w:p>
              </w:tc>
              <w:tc>
                <w:tcPr>
                  <w:tcW w:w="557" w:type="pct"/>
                  <w:noWrap w:val="0"/>
                  <w:vAlign w:val="center"/>
                </w:tcPr>
                <w:p w14:paraId="11449E4B">
                  <w:pPr>
                    <w:spacing w:line="276" w:lineRule="auto"/>
                    <w:jc w:val="center"/>
                    <w:rPr>
                      <w:rFonts w:hint="eastAsia"/>
                      <w:bCs/>
                      <w:szCs w:val="21"/>
                    </w:rPr>
                  </w:pPr>
                  <w:r>
                    <w:rPr>
                      <w:rFonts w:hint="eastAsia"/>
                      <w:bCs/>
                      <w:szCs w:val="21"/>
                    </w:rPr>
                    <w:t>0.1t</w:t>
                  </w:r>
                </w:p>
              </w:tc>
              <w:tc>
                <w:tcPr>
                  <w:tcW w:w="652" w:type="pct"/>
                  <w:noWrap w:val="0"/>
                  <w:vAlign w:val="center"/>
                </w:tcPr>
                <w:p w14:paraId="493DD792">
                  <w:pPr>
                    <w:spacing w:line="276" w:lineRule="auto"/>
                    <w:jc w:val="center"/>
                    <w:rPr>
                      <w:rFonts w:hint="eastAsia"/>
                      <w:bCs/>
                      <w:szCs w:val="21"/>
                    </w:rPr>
                  </w:pPr>
                  <w:r>
                    <w:rPr>
                      <w:bCs/>
                      <w:szCs w:val="21"/>
                    </w:rPr>
                    <w:t>液态、</w:t>
                  </w:r>
                  <w:r>
                    <w:rPr>
                      <w:rFonts w:hint="eastAsia"/>
                      <w:bCs/>
                      <w:szCs w:val="21"/>
                    </w:rPr>
                    <w:t>50kg</w:t>
                  </w:r>
                  <w:r>
                    <w:rPr>
                      <w:bCs/>
                      <w:szCs w:val="21"/>
                    </w:rPr>
                    <w:t>桶装</w:t>
                  </w:r>
                </w:p>
              </w:tc>
              <w:tc>
                <w:tcPr>
                  <w:tcW w:w="531" w:type="pct"/>
                  <w:noWrap w:val="0"/>
                  <w:vAlign w:val="center"/>
                </w:tcPr>
                <w:p w14:paraId="64B36F43">
                  <w:pPr>
                    <w:spacing w:line="276" w:lineRule="auto"/>
                    <w:jc w:val="center"/>
                    <w:rPr>
                      <w:rFonts w:hint="eastAsia"/>
                      <w:bCs/>
                      <w:szCs w:val="21"/>
                    </w:rPr>
                  </w:pPr>
                  <w:r>
                    <w:rPr>
                      <w:rFonts w:hint="eastAsia"/>
                      <w:bCs/>
                      <w:szCs w:val="21"/>
                    </w:rPr>
                    <w:t>原料库</w:t>
                  </w:r>
                </w:p>
              </w:tc>
              <w:tc>
                <w:tcPr>
                  <w:tcW w:w="516" w:type="pct"/>
                  <w:noWrap w:val="0"/>
                  <w:vAlign w:val="center"/>
                </w:tcPr>
                <w:p w14:paraId="29A08FA2">
                  <w:pPr>
                    <w:spacing w:line="276" w:lineRule="auto"/>
                    <w:jc w:val="center"/>
                    <w:rPr>
                      <w:bCs/>
                      <w:szCs w:val="21"/>
                    </w:rPr>
                  </w:pPr>
                  <w:r>
                    <w:rPr>
                      <w:bCs/>
                      <w:szCs w:val="21"/>
                    </w:rPr>
                    <w:t>外购</w:t>
                  </w:r>
                </w:p>
              </w:tc>
              <w:tc>
                <w:tcPr>
                  <w:tcW w:w="768" w:type="pct"/>
                  <w:noWrap w:val="0"/>
                  <w:vAlign w:val="center"/>
                </w:tcPr>
                <w:p w14:paraId="53C24B00">
                  <w:pPr>
                    <w:spacing w:line="276" w:lineRule="auto"/>
                    <w:jc w:val="center"/>
                    <w:rPr>
                      <w:bCs/>
                      <w:szCs w:val="21"/>
                    </w:rPr>
                  </w:pPr>
                  <w:r>
                    <w:rPr>
                      <w:rFonts w:hint="eastAsia"/>
                      <w:bCs/>
                      <w:szCs w:val="21"/>
                    </w:rPr>
                    <w:t>+0.1t/a</w:t>
                  </w:r>
                </w:p>
              </w:tc>
            </w:tr>
            <w:tr w14:paraId="1BFE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6C6DE955">
                  <w:pPr>
                    <w:spacing w:line="276" w:lineRule="auto"/>
                    <w:jc w:val="center"/>
                    <w:rPr>
                      <w:rFonts w:hint="eastAsia"/>
                      <w:bCs/>
                      <w:szCs w:val="21"/>
                    </w:rPr>
                  </w:pPr>
                  <w:r>
                    <w:rPr>
                      <w:rFonts w:hint="eastAsia"/>
                      <w:bCs/>
                      <w:szCs w:val="21"/>
                    </w:rPr>
                    <w:t>6</w:t>
                  </w:r>
                </w:p>
              </w:tc>
              <w:tc>
                <w:tcPr>
                  <w:tcW w:w="385" w:type="pct"/>
                  <w:noWrap w:val="0"/>
                  <w:vAlign w:val="center"/>
                </w:tcPr>
                <w:p w14:paraId="0EA8BE3E">
                  <w:pPr>
                    <w:autoSpaceDE w:val="0"/>
                    <w:autoSpaceDN w:val="0"/>
                    <w:spacing w:line="276" w:lineRule="auto"/>
                    <w:jc w:val="center"/>
                    <w:rPr>
                      <w:rFonts w:hint="eastAsia"/>
                      <w:bCs/>
                      <w:szCs w:val="21"/>
                    </w:rPr>
                  </w:pPr>
                  <w:r>
                    <w:rPr>
                      <w:rFonts w:hint="eastAsia"/>
                      <w:bCs/>
                      <w:szCs w:val="21"/>
                    </w:rPr>
                    <w:t>石灰石</w:t>
                  </w:r>
                </w:p>
              </w:tc>
              <w:tc>
                <w:tcPr>
                  <w:tcW w:w="699" w:type="pct"/>
                  <w:noWrap w:val="0"/>
                  <w:vAlign w:val="center"/>
                </w:tcPr>
                <w:p w14:paraId="0B482DBC">
                  <w:pPr>
                    <w:spacing w:line="276" w:lineRule="auto"/>
                    <w:jc w:val="center"/>
                    <w:textAlignment w:val="center"/>
                    <w:rPr>
                      <w:rFonts w:hint="default" w:eastAsia="宋体"/>
                      <w:bCs/>
                      <w:szCs w:val="21"/>
                      <w:lang w:val="en-US" w:eastAsia="zh-CN"/>
                    </w:rPr>
                  </w:pPr>
                  <w:r>
                    <w:rPr>
                      <w:rFonts w:hint="eastAsia"/>
                      <w:bCs/>
                      <w:szCs w:val="21"/>
                      <w:lang w:val="en-US" w:eastAsia="zh-CN"/>
                    </w:rPr>
                    <w:t>1100</w:t>
                  </w:r>
                  <w:r>
                    <w:rPr>
                      <w:rFonts w:hint="eastAsia"/>
                      <w:bCs/>
                      <w:szCs w:val="21"/>
                    </w:rPr>
                    <w:t>t</w:t>
                  </w:r>
                </w:p>
              </w:tc>
              <w:tc>
                <w:tcPr>
                  <w:tcW w:w="635" w:type="pct"/>
                  <w:noWrap w:val="0"/>
                  <w:vAlign w:val="center"/>
                </w:tcPr>
                <w:p w14:paraId="08562A1C">
                  <w:pPr>
                    <w:spacing w:line="276" w:lineRule="auto"/>
                    <w:jc w:val="center"/>
                    <w:rPr>
                      <w:rFonts w:hint="eastAsia"/>
                      <w:bCs/>
                      <w:szCs w:val="21"/>
                    </w:rPr>
                  </w:pPr>
                  <w:r>
                    <w:rPr>
                      <w:rFonts w:hint="eastAsia"/>
                      <w:bCs/>
                      <w:szCs w:val="21"/>
                    </w:rPr>
                    <w:t>1500t</w:t>
                  </w:r>
                </w:p>
              </w:tc>
              <w:tc>
                <w:tcPr>
                  <w:tcW w:w="557" w:type="pct"/>
                  <w:noWrap w:val="0"/>
                  <w:vAlign w:val="center"/>
                </w:tcPr>
                <w:p w14:paraId="34662D00">
                  <w:pPr>
                    <w:spacing w:line="276" w:lineRule="auto"/>
                    <w:jc w:val="center"/>
                    <w:rPr>
                      <w:rFonts w:hint="eastAsia"/>
                      <w:bCs/>
                      <w:szCs w:val="21"/>
                    </w:rPr>
                  </w:pPr>
                  <w:r>
                    <w:rPr>
                      <w:rFonts w:hint="eastAsia"/>
                      <w:bCs/>
                      <w:szCs w:val="21"/>
                      <w:lang w:val="en-US" w:eastAsia="zh-CN"/>
                    </w:rPr>
                    <w:t>30</w:t>
                  </w:r>
                  <w:r>
                    <w:rPr>
                      <w:rFonts w:hint="eastAsia"/>
                      <w:bCs/>
                      <w:szCs w:val="21"/>
                    </w:rPr>
                    <w:t>t</w:t>
                  </w:r>
                </w:p>
              </w:tc>
              <w:tc>
                <w:tcPr>
                  <w:tcW w:w="652" w:type="pct"/>
                  <w:noWrap w:val="0"/>
                  <w:vAlign w:val="center"/>
                </w:tcPr>
                <w:p w14:paraId="641C83D2">
                  <w:pPr>
                    <w:spacing w:line="276" w:lineRule="auto"/>
                    <w:jc w:val="center"/>
                    <w:rPr>
                      <w:rFonts w:hint="eastAsia"/>
                      <w:bCs/>
                      <w:szCs w:val="21"/>
                    </w:rPr>
                  </w:pPr>
                  <w:r>
                    <w:rPr>
                      <w:rFonts w:hint="eastAsia"/>
                      <w:bCs/>
                      <w:szCs w:val="21"/>
                    </w:rPr>
                    <w:t>罐装</w:t>
                  </w:r>
                </w:p>
              </w:tc>
              <w:tc>
                <w:tcPr>
                  <w:tcW w:w="531" w:type="pct"/>
                  <w:noWrap w:val="0"/>
                  <w:vAlign w:val="center"/>
                </w:tcPr>
                <w:p w14:paraId="355EEEBB">
                  <w:pPr>
                    <w:spacing w:line="276" w:lineRule="auto"/>
                    <w:jc w:val="center"/>
                    <w:rPr>
                      <w:rFonts w:hint="eastAsia"/>
                      <w:bCs/>
                      <w:szCs w:val="21"/>
                    </w:rPr>
                  </w:pPr>
                  <w:r>
                    <w:rPr>
                      <w:rFonts w:hint="eastAsia"/>
                      <w:bCs/>
                      <w:szCs w:val="21"/>
                    </w:rPr>
                    <w:t>石灰罐</w:t>
                  </w:r>
                </w:p>
              </w:tc>
              <w:tc>
                <w:tcPr>
                  <w:tcW w:w="516" w:type="pct"/>
                  <w:noWrap w:val="0"/>
                  <w:vAlign w:val="center"/>
                </w:tcPr>
                <w:p w14:paraId="65F36228">
                  <w:pPr>
                    <w:spacing w:line="276" w:lineRule="auto"/>
                    <w:jc w:val="center"/>
                    <w:rPr>
                      <w:bCs/>
                      <w:szCs w:val="21"/>
                    </w:rPr>
                  </w:pPr>
                  <w:r>
                    <w:rPr>
                      <w:bCs/>
                      <w:szCs w:val="21"/>
                    </w:rPr>
                    <w:t>外购</w:t>
                  </w:r>
                </w:p>
              </w:tc>
              <w:tc>
                <w:tcPr>
                  <w:tcW w:w="768" w:type="pct"/>
                  <w:noWrap w:val="0"/>
                  <w:vAlign w:val="center"/>
                </w:tcPr>
                <w:p w14:paraId="0B51C408">
                  <w:pPr>
                    <w:spacing w:line="276" w:lineRule="auto"/>
                    <w:jc w:val="center"/>
                    <w:rPr>
                      <w:bCs/>
                      <w:szCs w:val="21"/>
                    </w:rPr>
                  </w:pPr>
                  <w:r>
                    <w:rPr>
                      <w:rFonts w:hint="eastAsia"/>
                      <w:bCs/>
                      <w:szCs w:val="21"/>
                    </w:rPr>
                    <w:t>+</w:t>
                  </w:r>
                  <w:r>
                    <w:rPr>
                      <w:rFonts w:hint="eastAsia"/>
                      <w:bCs/>
                      <w:szCs w:val="21"/>
                      <w:lang w:val="en-US" w:eastAsia="zh-CN"/>
                    </w:rPr>
                    <w:t>4</w:t>
                  </w:r>
                  <w:r>
                    <w:rPr>
                      <w:rFonts w:hint="eastAsia"/>
                      <w:bCs/>
                      <w:szCs w:val="21"/>
                    </w:rPr>
                    <w:t>00t/a</w:t>
                  </w:r>
                </w:p>
              </w:tc>
            </w:tr>
            <w:tr w14:paraId="7860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17EE7ECF">
                  <w:pPr>
                    <w:spacing w:line="276" w:lineRule="auto"/>
                    <w:jc w:val="center"/>
                    <w:rPr>
                      <w:rFonts w:hint="eastAsia"/>
                      <w:bCs/>
                      <w:szCs w:val="21"/>
                    </w:rPr>
                  </w:pPr>
                  <w:r>
                    <w:rPr>
                      <w:rFonts w:hint="eastAsia"/>
                      <w:bCs/>
                      <w:szCs w:val="21"/>
                    </w:rPr>
                    <w:t>7</w:t>
                  </w:r>
                </w:p>
              </w:tc>
              <w:tc>
                <w:tcPr>
                  <w:tcW w:w="385" w:type="pct"/>
                  <w:noWrap w:val="0"/>
                  <w:vAlign w:val="center"/>
                </w:tcPr>
                <w:p w14:paraId="6B28877B">
                  <w:pPr>
                    <w:autoSpaceDE w:val="0"/>
                    <w:autoSpaceDN w:val="0"/>
                    <w:spacing w:line="276" w:lineRule="auto"/>
                    <w:jc w:val="center"/>
                    <w:rPr>
                      <w:rFonts w:hint="eastAsia"/>
                      <w:bCs/>
                      <w:szCs w:val="21"/>
                    </w:rPr>
                  </w:pPr>
                  <w:r>
                    <w:rPr>
                      <w:rFonts w:hint="eastAsia"/>
                      <w:bCs/>
                      <w:szCs w:val="21"/>
                    </w:rPr>
                    <w:t>絮凝剂</w:t>
                  </w:r>
                </w:p>
              </w:tc>
              <w:tc>
                <w:tcPr>
                  <w:tcW w:w="699" w:type="pct"/>
                  <w:noWrap w:val="0"/>
                  <w:vAlign w:val="center"/>
                </w:tcPr>
                <w:p w14:paraId="130A7A3B">
                  <w:pPr>
                    <w:spacing w:line="276" w:lineRule="auto"/>
                    <w:jc w:val="center"/>
                    <w:textAlignment w:val="center"/>
                    <w:rPr>
                      <w:rFonts w:hint="default" w:eastAsia="宋体"/>
                      <w:bCs/>
                      <w:szCs w:val="21"/>
                      <w:lang w:val="en-US" w:eastAsia="zh-CN"/>
                    </w:rPr>
                  </w:pPr>
                  <w:r>
                    <w:rPr>
                      <w:rFonts w:hint="eastAsia"/>
                      <w:bCs/>
                      <w:szCs w:val="21"/>
                      <w:lang w:val="en-US" w:eastAsia="zh-CN"/>
                    </w:rPr>
                    <w:t>0.9</w:t>
                  </w:r>
                  <w:r>
                    <w:rPr>
                      <w:rFonts w:hint="eastAsia"/>
                      <w:bCs/>
                      <w:szCs w:val="21"/>
                    </w:rPr>
                    <w:t>t</w:t>
                  </w:r>
                </w:p>
              </w:tc>
              <w:tc>
                <w:tcPr>
                  <w:tcW w:w="635" w:type="pct"/>
                  <w:noWrap w:val="0"/>
                  <w:vAlign w:val="center"/>
                </w:tcPr>
                <w:p w14:paraId="57A2A791">
                  <w:pPr>
                    <w:spacing w:line="276" w:lineRule="auto"/>
                    <w:jc w:val="center"/>
                    <w:rPr>
                      <w:rFonts w:hint="eastAsia"/>
                      <w:bCs/>
                      <w:szCs w:val="21"/>
                    </w:rPr>
                  </w:pPr>
                  <w:r>
                    <w:rPr>
                      <w:rFonts w:hint="eastAsia"/>
                      <w:bCs/>
                      <w:szCs w:val="21"/>
                    </w:rPr>
                    <w:t>1.2t</w:t>
                  </w:r>
                </w:p>
              </w:tc>
              <w:tc>
                <w:tcPr>
                  <w:tcW w:w="557" w:type="pct"/>
                  <w:noWrap w:val="0"/>
                  <w:vAlign w:val="center"/>
                </w:tcPr>
                <w:p w14:paraId="5AA387C1">
                  <w:pPr>
                    <w:spacing w:line="276" w:lineRule="auto"/>
                    <w:jc w:val="center"/>
                    <w:rPr>
                      <w:rFonts w:hint="eastAsia"/>
                      <w:bCs/>
                      <w:szCs w:val="21"/>
                    </w:rPr>
                  </w:pPr>
                  <w:r>
                    <w:rPr>
                      <w:rFonts w:hint="eastAsia"/>
                      <w:bCs/>
                      <w:szCs w:val="21"/>
                    </w:rPr>
                    <w:t>0.05t</w:t>
                  </w:r>
                </w:p>
              </w:tc>
              <w:tc>
                <w:tcPr>
                  <w:tcW w:w="652" w:type="pct"/>
                  <w:noWrap w:val="0"/>
                  <w:vAlign w:val="center"/>
                </w:tcPr>
                <w:p w14:paraId="4E64401A">
                  <w:pPr>
                    <w:spacing w:line="276" w:lineRule="auto"/>
                    <w:jc w:val="center"/>
                    <w:rPr>
                      <w:rFonts w:hint="eastAsia"/>
                      <w:bCs/>
                      <w:szCs w:val="21"/>
                    </w:rPr>
                  </w:pPr>
                  <w:r>
                    <w:rPr>
                      <w:rFonts w:hint="eastAsia"/>
                      <w:bCs/>
                      <w:szCs w:val="21"/>
                    </w:rPr>
                    <w:t>袋装</w:t>
                  </w:r>
                </w:p>
              </w:tc>
              <w:tc>
                <w:tcPr>
                  <w:tcW w:w="531" w:type="pct"/>
                  <w:noWrap w:val="0"/>
                  <w:vAlign w:val="center"/>
                </w:tcPr>
                <w:p w14:paraId="1D787900">
                  <w:pPr>
                    <w:spacing w:line="276" w:lineRule="auto"/>
                    <w:jc w:val="center"/>
                    <w:rPr>
                      <w:rFonts w:hint="eastAsia"/>
                      <w:bCs/>
                      <w:szCs w:val="21"/>
                    </w:rPr>
                  </w:pPr>
                  <w:r>
                    <w:rPr>
                      <w:rFonts w:hint="eastAsia"/>
                      <w:bCs/>
                      <w:szCs w:val="21"/>
                    </w:rPr>
                    <w:t>原料库</w:t>
                  </w:r>
                </w:p>
              </w:tc>
              <w:tc>
                <w:tcPr>
                  <w:tcW w:w="516" w:type="pct"/>
                  <w:noWrap w:val="0"/>
                  <w:vAlign w:val="center"/>
                </w:tcPr>
                <w:p w14:paraId="410AD516">
                  <w:pPr>
                    <w:spacing w:line="276" w:lineRule="auto"/>
                    <w:jc w:val="center"/>
                    <w:rPr>
                      <w:bCs/>
                      <w:szCs w:val="21"/>
                    </w:rPr>
                  </w:pPr>
                  <w:r>
                    <w:rPr>
                      <w:bCs/>
                      <w:szCs w:val="21"/>
                    </w:rPr>
                    <w:t>外购</w:t>
                  </w:r>
                </w:p>
              </w:tc>
              <w:tc>
                <w:tcPr>
                  <w:tcW w:w="768" w:type="pct"/>
                  <w:noWrap w:val="0"/>
                  <w:vAlign w:val="center"/>
                </w:tcPr>
                <w:p w14:paraId="6D6A38EF">
                  <w:pPr>
                    <w:spacing w:line="276" w:lineRule="auto"/>
                    <w:jc w:val="center"/>
                    <w:rPr>
                      <w:rFonts w:hint="eastAsia"/>
                      <w:bCs/>
                      <w:szCs w:val="21"/>
                    </w:rPr>
                  </w:pPr>
                  <w:r>
                    <w:rPr>
                      <w:rFonts w:hint="eastAsia"/>
                      <w:bCs/>
                      <w:szCs w:val="21"/>
                      <w:lang w:val="en-US" w:eastAsia="zh-CN"/>
                    </w:rPr>
                    <w:t>+0.3</w:t>
                  </w:r>
                  <w:r>
                    <w:rPr>
                      <w:rFonts w:hint="eastAsia"/>
                      <w:bCs/>
                      <w:szCs w:val="21"/>
                    </w:rPr>
                    <w:t>t/a</w:t>
                  </w:r>
                </w:p>
              </w:tc>
            </w:tr>
            <w:tr w14:paraId="02E8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9"/>
                  <w:noWrap w:val="0"/>
                  <w:vAlign w:val="center"/>
                </w:tcPr>
                <w:p w14:paraId="726B677D">
                  <w:pPr>
                    <w:spacing w:line="276" w:lineRule="auto"/>
                    <w:rPr>
                      <w:bCs/>
                      <w:szCs w:val="21"/>
                    </w:rPr>
                  </w:pPr>
                  <w:r>
                    <w:rPr>
                      <w:bCs/>
                      <w:szCs w:val="21"/>
                    </w:rPr>
                    <w:t>能源</w:t>
                  </w:r>
                </w:p>
              </w:tc>
            </w:tr>
            <w:tr w14:paraId="64D9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4E657E2F">
                  <w:pPr>
                    <w:spacing w:line="276" w:lineRule="auto"/>
                    <w:jc w:val="center"/>
                    <w:rPr>
                      <w:bCs/>
                      <w:szCs w:val="21"/>
                    </w:rPr>
                  </w:pPr>
                  <w:r>
                    <w:rPr>
                      <w:bCs/>
                      <w:szCs w:val="21"/>
                    </w:rPr>
                    <w:t>1</w:t>
                  </w:r>
                </w:p>
              </w:tc>
              <w:tc>
                <w:tcPr>
                  <w:tcW w:w="385" w:type="pct"/>
                  <w:noWrap w:val="0"/>
                  <w:vAlign w:val="center"/>
                </w:tcPr>
                <w:p w14:paraId="2EC86A82">
                  <w:pPr>
                    <w:spacing w:line="276" w:lineRule="auto"/>
                    <w:jc w:val="center"/>
                    <w:rPr>
                      <w:bCs/>
                      <w:szCs w:val="21"/>
                    </w:rPr>
                  </w:pPr>
                  <w:r>
                    <w:rPr>
                      <w:rFonts w:hint="eastAsia"/>
                      <w:bCs/>
                      <w:szCs w:val="21"/>
                    </w:rPr>
                    <w:t>水</w:t>
                  </w:r>
                </w:p>
              </w:tc>
              <w:tc>
                <w:tcPr>
                  <w:tcW w:w="699" w:type="pct"/>
                  <w:noWrap w:val="0"/>
                  <w:vAlign w:val="center"/>
                </w:tcPr>
                <w:p w14:paraId="61C79D78">
                  <w:pPr>
                    <w:spacing w:line="276" w:lineRule="auto"/>
                    <w:jc w:val="center"/>
                    <w:rPr>
                      <w:bCs/>
                      <w:szCs w:val="21"/>
                    </w:rPr>
                  </w:pPr>
                  <w:r>
                    <w:rPr>
                      <w:rFonts w:hint="eastAsia"/>
                      <w:bCs/>
                      <w:szCs w:val="21"/>
                    </w:rPr>
                    <w:t>36620</w:t>
                  </w:r>
                  <w:r>
                    <w:rPr>
                      <w:bCs/>
                      <w:szCs w:val="21"/>
                    </w:rPr>
                    <w:t>m</w:t>
                  </w:r>
                  <w:r>
                    <w:rPr>
                      <w:bCs/>
                      <w:szCs w:val="21"/>
                      <w:vertAlign w:val="superscript"/>
                    </w:rPr>
                    <w:t>3</w:t>
                  </w:r>
                  <w:r>
                    <w:rPr>
                      <w:bCs/>
                      <w:szCs w:val="21"/>
                    </w:rPr>
                    <w:t>/a</w:t>
                  </w:r>
                </w:p>
              </w:tc>
              <w:tc>
                <w:tcPr>
                  <w:tcW w:w="635" w:type="pct"/>
                  <w:noWrap w:val="0"/>
                  <w:vAlign w:val="center"/>
                </w:tcPr>
                <w:p w14:paraId="3E73354F">
                  <w:pPr>
                    <w:spacing w:line="276" w:lineRule="auto"/>
                    <w:jc w:val="center"/>
                    <w:rPr>
                      <w:bCs/>
                      <w:szCs w:val="21"/>
                    </w:rPr>
                  </w:pPr>
                  <w:r>
                    <w:rPr>
                      <w:rFonts w:hint="eastAsia"/>
                      <w:bCs/>
                      <w:szCs w:val="21"/>
                    </w:rPr>
                    <w:t>53432.6</w:t>
                  </w:r>
                  <w:r>
                    <w:rPr>
                      <w:bCs/>
                      <w:szCs w:val="21"/>
                    </w:rPr>
                    <w:t>m</w:t>
                  </w:r>
                  <w:r>
                    <w:rPr>
                      <w:bCs/>
                      <w:szCs w:val="21"/>
                      <w:vertAlign w:val="superscript"/>
                    </w:rPr>
                    <w:t>3</w:t>
                  </w:r>
                  <w:r>
                    <w:rPr>
                      <w:bCs/>
                      <w:szCs w:val="21"/>
                    </w:rPr>
                    <w:t>/a</w:t>
                  </w:r>
                </w:p>
              </w:tc>
              <w:tc>
                <w:tcPr>
                  <w:tcW w:w="557" w:type="pct"/>
                  <w:noWrap w:val="0"/>
                  <w:vAlign w:val="center"/>
                </w:tcPr>
                <w:p w14:paraId="1EA39045">
                  <w:pPr>
                    <w:spacing w:line="276" w:lineRule="auto"/>
                    <w:jc w:val="center"/>
                    <w:rPr>
                      <w:bCs/>
                      <w:szCs w:val="21"/>
                    </w:rPr>
                  </w:pPr>
                  <w:r>
                    <w:rPr>
                      <w:bCs/>
                      <w:szCs w:val="21"/>
                    </w:rPr>
                    <w:t>/</w:t>
                  </w:r>
                </w:p>
              </w:tc>
              <w:tc>
                <w:tcPr>
                  <w:tcW w:w="652" w:type="pct"/>
                  <w:noWrap w:val="0"/>
                  <w:vAlign w:val="center"/>
                </w:tcPr>
                <w:p w14:paraId="6238E8DC">
                  <w:pPr>
                    <w:spacing w:line="276" w:lineRule="auto"/>
                    <w:jc w:val="center"/>
                    <w:rPr>
                      <w:bCs/>
                      <w:szCs w:val="21"/>
                    </w:rPr>
                  </w:pPr>
                  <w:r>
                    <w:rPr>
                      <w:bCs/>
                      <w:szCs w:val="21"/>
                    </w:rPr>
                    <w:t>/</w:t>
                  </w:r>
                </w:p>
              </w:tc>
              <w:tc>
                <w:tcPr>
                  <w:tcW w:w="531" w:type="pct"/>
                  <w:noWrap w:val="0"/>
                  <w:vAlign w:val="center"/>
                </w:tcPr>
                <w:p w14:paraId="584A872D">
                  <w:pPr>
                    <w:spacing w:line="276" w:lineRule="auto"/>
                    <w:jc w:val="center"/>
                    <w:rPr>
                      <w:bCs/>
                      <w:szCs w:val="21"/>
                    </w:rPr>
                  </w:pPr>
                  <w:r>
                    <w:rPr>
                      <w:bCs/>
                      <w:szCs w:val="21"/>
                    </w:rPr>
                    <w:t>/</w:t>
                  </w:r>
                </w:p>
              </w:tc>
              <w:tc>
                <w:tcPr>
                  <w:tcW w:w="516" w:type="pct"/>
                  <w:noWrap w:val="0"/>
                  <w:vAlign w:val="center"/>
                </w:tcPr>
                <w:p w14:paraId="05D6A2F4">
                  <w:pPr>
                    <w:spacing w:line="276" w:lineRule="auto"/>
                    <w:jc w:val="center"/>
                    <w:rPr>
                      <w:rFonts w:hint="default" w:eastAsia="宋体"/>
                      <w:bCs/>
                      <w:color w:val="FF0000"/>
                      <w:szCs w:val="21"/>
                      <w:lang w:val="en-US" w:eastAsia="zh-CN"/>
                    </w:rPr>
                  </w:pPr>
                  <w:r>
                    <w:rPr>
                      <w:rFonts w:hint="eastAsia"/>
                      <w:bCs/>
                      <w:color w:val="000000"/>
                      <w:szCs w:val="21"/>
                      <w:lang w:val="en-US" w:eastAsia="zh-CN"/>
                    </w:rPr>
                    <w:t>市政供水</w:t>
                  </w:r>
                </w:p>
              </w:tc>
              <w:tc>
                <w:tcPr>
                  <w:tcW w:w="768" w:type="pct"/>
                  <w:noWrap w:val="0"/>
                  <w:vAlign w:val="center"/>
                </w:tcPr>
                <w:p w14:paraId="15EC32D8">
                  <w:pPr>
                    <w:spacing w:line="276" w:lineRule="auto"/>
                    <w:jc w:val="center"/>
                    <w:rPr>
                      <w:bCs/>
                      <w:szCs w:val="21"/>
                    </w:rPr>
                  </w:pPr>
                  <w:r>
                    <w:rPr>
                      <w:bCs/>
                      <w:szCs w:val="21"/>
                    </w:rPr>
                    <w:t>+</w:t>
                  </w:r>
                  <w:r>
                    <w:rPr>
                      <w:rFonts w:hint="eastAsia"/>
                      <w:bCs/>
                      <w:szCs w:val="21"/>
                    </w:rPr>
                    <w:t>16812.6</w:t>
                  </w:r>
                  <w:r>
                    <w:rPr>
                      <w:bCs/>
                      <w:szCs w:val="21"/>
                    </w:rPr>
                    <w:t>m</w:t>
                  </w:r>
                  <w:r>
                    <w:rPr>
                      <w:bCs/>
                      <w:szCs w:val="21"/>
                      <w:vertAlign w:val="superscript"/>
                    </w:rPr>
                    <w:t>3</w:t>
                  </w:r>
                  <w:r>
                    <w:rPr>
                      <w:bCs/>
                      <w:szCs w:val="21"/>
                    </w:rPr>
                    <w:t>/a</w:t>
                  </w:r>
                </w:p>
              </w:tc>
            </w:tr>
            <w:tr w14:paraId="5F90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val="0"/>
                  <w:vAlign w:val="center"/>
                </w:tcPr>
                <w:p w14:paraId="27F23548">
                  <w:pPr>
                    <w:spacing w:line="276" w:lineRule="auto"/>
                    <w:jc w:val="center"/>
                    <w:rPr>
                      <w:bCs/>
                      <w:szCs w:val="21"/>
                    </w:rPr>
                  </w:pPr>
                  <w:r>
                    <w:rPr>
                      <w:bCs/>
                      <w:szCs w:val="21"/>
                    </w:rPr>
                    <w:t>2</w:t>
                  </w:r>
                </w:p>
              </w:tc>
              <w:tc>
                <w:tcPr>
                  <w:tcW w:w="385" w:type="pct"/>
                  <w:noWrap w:val="0"/>
                  <w:vAlign w:val="center"/>
                </w:tcPr>
                <w:p w14:paraId="66B46D00">
                  <w:pPr>
                    <w:spacing w:line="276" w:lineRule="auto"/>
                    <w:jc w:val="center"/>
                    <w:rPr>
                      <w:bCs/>
                      <w:szCs w:val="21"/>
                    </w:rPr>
                  </w:pPr>
                  <w:r>
                    <w:rPr>
                      <w:bCs/>
                      <w:szCs w:val="21"/>
                    </w:rPr>
                    <w:t>电</w:t>
                  </w:r>
                </w:p>
              </w:tc>
              <w:tc>
                <w:tcPr>
                  <w:tcW w:w="699" w:type="pct"/>
                  <w:noWrap w:val="0"/>
                  <w:vAlign w:val="center"/>
                </w:tcPr>
                <w:p w14:paraId="545F979D">
                  <w:pPr>
                    <w:spacing w:line="276" w:lineRule="auto"/>
                    <w:jc w:val="center"/>
                    <w:rPr>
                      <w:bCs/>
                      <w:szCs w:val="21"/>
                    </w:rPr>
                  </w:pPr>
                  <w:r>
                    <w:rPr>
                      <w:rFonts w:hint="eastAsia"/>
                      <w:bCs/>
                      <w:szCs w:val="21"/>
                    </w:rPr>
                    <w:t>120</w:t>
                  </w:r>
                  <w:r>
                    <w:rPr>
                      <w:bCs/>
                      <w:szCs w:val="21"/>
                    </w:rPr>
                    <w:t>万kwh/a</w:t>
                  </w:r>
                </w:p>
              </w:tc>
              <w:tc>
                <w:tcPr>
                  <w:tcW w:w="635" w:type="pct"/>
                  <w:noWrap w:val="0"/>
                  <w:vAlign w:val="center"/>
                </w:tcPr>
                <w:p w14:paraId="6047BF0C">
                  <w:pPr>
                    <w:spacing w:line="276" w:lineRule="auto"/>
                    <w:jc w:val="center"/>
                    <w:rPr>
                      <w:bCs/>
                      <w:szCs w:val="21"/>
                    </w:rPr>
                  </w:pPr>
                  <w:r>
                    <w:rPr>
                      <w:rFonts w:hint="eastAsia"/>
                      <w:bCs/>
                      <w:szCs w:val="21"/>
                    </w:rPr>
                    <w:t>150</w:t>
                  </w:r>
                  <w:r>
                    <w:rPr>
                      <w:bCs/>
                      <w:szCs w:val="21"/>
                    </w:rPr>
                    <w:t>万kwh/a</w:t>
                  </w:r>
                </w:p>
              </w:tc>
              <w:tc>
                <w:tcPr>
                  <w:tcW w:w="557" w:type="pct"/>
                  <w:noWrap w:val="0"/>
                  <w:vAlign w:val="center"/>
                </w:tcPr>
                <w:p w14:paraId="0B02F5D5">
                  <w:pPr>
                    <w:spacing w:line="276" w:lineRule="auto"/>
                    <w:jc w:val="center"/>
                    <w:rPr>
                      <w:bCs/>
                      <w:szCs w:val="21"/>
                    </w:rPr>
                  </w:pPr>
                  <w:r>
                    <w:rPr>
                      <w:bCs/>
                      <w:szCs w:val="21"/>
                    </w:rPr>
                    <w:t>/</w:t>
                  </w:r>
                </w:p>
              </w:tc>
              <w:tc>
                <w:tcPr>
                  <w:tcW w:w="652" w:type="pct"/>
                  <w:noWrap w:val="0"/>
                  <w:vAlign w:val="center"/>
                </w:tcPr>
                <w:p w14:paraId="6F0DAAC7">
                  <w:pPr>
                    <w:spacing w:line="276" w:lineRule="auto"/>
                    <w:jc w:val="center"/>
                    <w:rPr>
                      <w:bCs/>
                      <w:szCs w:val="21"/>
                    </w:rPr>
                  </w:pPr>
                  <w:r>
                    <w:rPr>
                      <w:bCs/>
                      <w:szCs w:val="21"/>
                    </w:rPr>
                    <w:t>/</w:t>
                  </w:r>
                </w:p>
              </w:tc>
              <w:tc>
                <w:tcPr>
                  <w:tcW w:w="531" w:type="pct"/>
                  <w:noWrap w:val="0"/>
                  <w:vAlign w:val="center"/>
                </w:tcPr>
                <w:p w14:paraId="6A964EE6">
                  <w:pPr>
                    <w:spacing w:line="276" w:lineRule="auto"/>
                    <w:jc w:val="center"/>
                    <w:rPr>
                      <w:bCs/>
                      <w:szCs w:val="21"/>
                    </w:rPr>
                  </w:pPr>
                  <w:r>
                    <w:rPr>
                      <w:bCs/>
                      <w:szCs w:val="21"/>
                    </w:rPr>
                    <w:t>/</w:t>
                  </w:r>
                </w:p>
              </w:tc>
              <w:tc>
                <w:tcPr>
                  <w:tcW w:w="516" w:type="pct"/>
                  <w:noWrap w:val="0"/>
                  <w:vAlign w:val="center"/>
                </w:tcPr>
                <w:p w14:paraId="17886096">
                  <w:pPr>
                    <w:spacing w:line="276" w:lineRule="auto"/>
                    <w:jc w:val="center"/>
                    <w:rPr>
                      <w:bCs/>
                      <w:szCs w:val="21"/>
                    </w:rPr>
                  </w:pPr>
                  <w:r>
                    <w:rPr>
                      <w:rFonts w:hint="eastAsia"/>
                      <w:bCs/>
                      <w:szCs w:val="21"/>
                    </w:rPr>
                    <w:t>市政</w:t>
                  </w:r>
                  <w:r>
                    <w:rPr>
                      <w:bCs/>
                      <w:szCs w:val="21"/>
                    </w:rPr>
                    <w:t>供电</w:t>
                  </w:r>
                </w:p>
              </w:tc>
              <w:tc>
                <w:tcPr>
                  <w:tcW w:w="768" w:type="pct"/>
                  <w:noWrap w:val="0"/>
                  <w:vAlign w:val="center"/>
                </w:tcPr>
                <w:p w14:paraId="75F1CAB6">
                  <w:pPr>
                    <w:spacing w:line="276" w:lineRule="auto"/>
                    <w:jc w:val="center"/>
                    <w:rPr>
                      <w:bCs/>
                      <w:szCs w:val="21"/>
                    </w:rPr>
                  </w:pPr>
                  <w:r>
                    <w:rPr>
                      <w:bCs/>
                      <w:szCs w:val="21"/>
                    </w:rPr>
                    <w:t>+</w:t>
                  </w:r>
                  <w:r>
                    <w:rPr>
                      <w:rFonts w:hint="eastAsia"/>
                      <w:bCs/>
                      <w:szCs w:val="21"/>
                    </w:rPr>
                    <w:t>30</w:t>
                  </w:r>
                  <w:r>
                    <w:rPr>
                      <w:bCs/>
                      <w:szCs w:val="21"/>
                    </w:rPr>
                    <w:t>万kwh/a</w:t>
                  </w:r>
                </w:p>
              </w:tc>
            </w:tr>
          </w:tbl>
          <w:p w14:paraId="7DDAC6E2">
            <w:pPr>
              <w:spacing w:line="480" w:lineRule="exact"/>
              <w:rPr>
                <w:b/>
                <w:sz w:val="24"/>
              </w:rPr>
            </w:pPr>
          </w:p>
          <w:p w14:paraId="513CEE2D">
            <w:pPr>
              <w:spacing w:line="480" w:lineRule="exact"/>
              <w:ind w:firstLine="480" w:firstLineChars="200"/>
              <w:rPr>
                <w:sz w:val="24"/>
                <w:szCs w:val="32"/>
              </w:rPr>
            </w:pPr>
          </w:p>
          <w:p w14:paraId="2A0D7168">
            <w:pPr>
              <w:spacing w:line="480" w:lineRule="exact"/>
              <w:ind w:firstLine="480" w:firstLineChars="200"/>
              <w:rPr>
                <w:sz w:val="24"/>
                <w:szCs w:val="32"/>
              </w:rPr>
            </w:pPr>
          </w:p>
          <w:p w14:paraId="7381EF5D">
            <w:pPr>
              <w:spacing w:line="480" w:lineRule="exact"/>
              <w:ind w:firstLine="480" w:firstLineChars="200"/>
              <w:rPr>
                <w:sz w:val="24"/>
                <w:szCs w:val="32"/>
              </w:rPr>
            </w:pPr>
          </w:p>
          <w:p w14:paraId="4C815241">
            <w:pPr>
              <w:spacing w:line="480" w:lineRule="exact"/>
              <w:ind w:firstLine="480" w:firstLineChars="200"/>
              <w:rPr>
                <w:sz w:val="24"/>
                <w:szCs w:val="32"/>
              </w:rPr>
            </w:pPr>
          </w:p>
          <w:p w14:paraId="494BBF59">
            <w:pPr>
              <w:spacing w:line="480" w:lineRule="exact"/>
              <w:ind w:firstLine="480" w:firstLineChars="200"/>
              <w:rPr>
                <w:sz w:val="24"/>
                <w:szCs w:val="32"/>
              </w:rPr>
            </w:pPr>
          </w:p>
          <w:p w14:paraId="14C4080B">
            <w:pPr>
              <w:spacing w:line="480" w:lineRule="exact"/>
              <w:ind w:firstLine="480" w:firstLineChars="200"/>
              <w:rPr>
                <w:sz w:val="24"/>
                <w:szCs w:val="32"/>
              </w:rPr>
            </w:pPr>
          </w:p>
          <w:p w14:paraId="46ACC4D8">
            <w:pPr>
              <w:spacing w:line="480" w:lineRule="exact"/>
              <w:ind w:firstLine="480" w:firstLineChars="200"/>
              <w:rPr>
                <w:rFonts w:hint="eastAsia"/>
                <w:sz w:val="24"/>
                <w:szCs w:val="32"/>
              </w:rPr>
            </w:pPr>
            <w:r>
              <w:rPr>
                <w:sz w:val="24"/>
                <w:szCs w:val="32"/>
              </w:rPr>
              <w:t>项目原辅材料理化性质见下表。</w:t>
            </w:r>
          </w:p>
          <w:p w14:paraId="2AA4778B">
            <w:pPr>
              <w:spacing w:line="480" w:lineRule="exact"/>
              <w:jc w:val="center"/>
              <w:rPr>
                <w:rFonts w:hint="eastAsia" w:ascii="黑体" w:hAnsi="黑体" w:eastAsia="黑体" w:cs="黑体"/>
                <w:sz w:val="24"/>
                <w:szCs w:val="32"/>
              </w:rPr>
            </w:pPr>
            <w:r>
              <w:rPr>
                <w:rFonts w:hint="eastAsia" w:ascii="黑体" w:hAnsi="黑体" w:eastAsia="黑体" w:cs="黑体"/>
                <w:sz w:val="24"/>
                <w:szCs w:val="32"/>
              </w:rPr>
              <w:t>表2-7主要原辅料理化性质一览表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888"/>
              <w:gridCol w:w="6773"/>
            </w:tblGrid>
            <w:tr w14:paraId="6B2E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4A3FE0FE">
                  <w:pPr>
                    <w:keepLines/>
                    <w:pageBreakBefore w:val="0"/>
                    <w:widowControl w:val="0"/>
                    <w:kinsoku/>
                    <w:wordWrap/>
                    <w:overflowPunct/>
                    <w:topLinePunct w:val="0"/>
                    <w:bidi w:val="0"/>
                    <w:adjustRightInd/>
                    <w:snapToGrid/>
                    <w:spacing w:line="276" w:lineRule="auto"/>
                    <w:jc w:val="center"/>
                    <w:textAlignment w:val="auto"/>
                    <w:rPr>
                      <w:bCs/>
                      <w:szCs w:val="21"/>
                    </w:rPr>
                  </w:pPr>
                  <w:r>
                    <w:rPr>
                      <w:bCs/>
                      <w:szCs w:val="21"/>
                    </w:rPr>
                    <w:t>序号</w:t>
                  </w:r>
                </w:p>
              </w:tc>
              <w:tc>
                <w:tcPr>
                  <w:tcW w:w="534" w:type="pct"/>
                  <w:noWrap w:val="0"/>
                  <w:vAlign w:val="center"/>
                </w:tcPr>
                <w:p w14:paraId="2F7738AC">
                  <w:pPr>
                    <w:keepLines/>
                    <w:pageBreakBefore w:val="0"/>
                    <w:widowControl w:val="0"/>
                    <w:kinsoku/>
                    <w:wordWrap/>
                    <w:overflowPunct/>
                    <w:topLinePunct w:val="0"/>
                    <w:bidi w:val="0"/>
                    <w:adjustRightInd/>
                    <w:snapToGrid/>
                    <w:spacing w:line="276" w:lineRule="auto"/>
                    <w:jc w:val="center"/>
                    <w:textAlignment w:val="auto"/>
                    <w:rPr>
                      <w:bCs/>
                      <w:szCs w:val="21"/>
                    </w:rPr>
                  </w:pPr>
                  <w:r>
                    <w:rPr>
                      <w:bCs/>
                      <w:szCs w:val="21"/>
                    </w:rPr>
                    <w:t>名称</w:t>
                  </w:r>
                </w:p>
              </w:tc>
              <w:tc>
                <w:tcPr>
                  <w:tcW w:w="4072" w:type="pct"/>
                  <w:noWrap w:val="0"/>
                  <w:vAlign w:val="center"/>
                </w:tcPr>
                <w:p w14:paraId="3DF7427C">
                  <w:pPr>
                    <w:keepLines/>
                    <w:pageBreakBefore w:val="0"/>
                    <w:widowControl w:val="0"/>
                    <w:kinsoku/>
                    <w:wordWrap/>
                    <w:overflowPunct/>
                    <w:topLinePunct w:val="0"/>
                    <w:bidi w:val="0"/>
                    <w:adjustRightInd/>
                    <w:snapToGrid/>
                    <w:spacing w:line="276" w:lineRule="auto"/>
                    <w:jc w:val="center"/>
                    <w:textAlignment w:val="auto"/>
                    <w:rPr>
                      <w:bCs/>
                      <w:szCs w:val="21"/>
                    </w:rPr>
                  </w:pPr>
                  <w:r>
                    <w:rPr>
                      <w:bCs/>
                      <w:szCs w:val="21"/>
                    </w:rPr>
                    <w:t>理化性质</w:t>
                  </w:r>
                </w:p>
              </w:tc>
            </w:tr>
            <w:tr w14:paraId="7218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trPr>
              <w:tc>
                <w:tcPr>
                  <w:tcW w:w="392" w:type="pct"/>
                  <w:noWrap w:val="0"/>
                  <w:vAlign w:val="center"/>
                </w:tcPr>
                <w:p w14:paraId="4D8FB020">
                  <w:pPr>
                    <w:keepLines/>
                    <w:pageBreakBefore w:val="0"/>
                    <w:widowControl w:val="0"/>
                    <w:kinsoku/>
                    <w:wordWrap/>
                    <w:overflowPunct/>
                    <w:topLinePunct w:val="0"/>
                    <w:bidi w:val="0"/>
                    <w:adjustRightInd/>
                    <w:snapToGrid/>
                    <w:spacing w:line="276" w:lineRule="auto"/>
                    <w:jc w:val="center"/>
                    <w:textAlignment w:val="auto"/>
                    <w:rPr>
                      <w:bCs/>
                      <w:szCs w:val="21"/>
                    </w:rPr>
                  </w:pPr>
                  <w:r>
                    <w:rPr>
                      <w:bCs/>
                      <w:szCs w:val="21"/>
                    </w:rPr>
                    <w:t>1</w:t>
                  </w:r>
                </w:p>
              </w:tc>
              <w:tc>
                <w:tcPr>
                  <w:tcW w:w="534" w:type="pct"/>
                  <w:noWrap w:val="0"/>
                  <w:vAlign w:val="center"/>
                </w:tcPr>
                <w:p w14:paraId="12BF15AA">
                  <w:pPr>
                    <w:keepLines/>
                    <w:pageBreakBefore w:val="0"/>
                    <w:widowControl w:val="0"/>
                    <w:kinsoku/>
                    <w:wordWrap/>
                    <w:overflowPunct/>
                    <w:topLinePunct w:val="0"/>
                    <w:bidi w:val="0"/>
                    <w:adjustRightInd/>
                    <w:snapToGrid/>
                    <w:jc w:val="center"/>
                    <w:textAlignment w:val="auto"/>
                    <w:rPr>
                      <w:bCs/>
                      <w:szCs w:val="21"/>
                    </w:rPr>
                  </w:pPr>
                  <w:r>
                    <w:rPr>
                      <w:bCs/>
                      <w:szCs w:val="21"/>
                    </w:rPr>
                    <w:t>煤矸石</w:t>
                  </w:r>
                </w:p>
              </w:tc>
              <w:tc>
                <w:tcPr>
                  <w:tcW w:w="4072" w:type="pct"/>
                  <w:noWrap w:val="0"/>
                  <w:vAlign w:val="center"/>
                </w:tcPr>
                <w:p w14:paraId="46682E8A">
                  <w:pPr>
                    <w:keepLines/>
                    <w:pageBreakBefore w:val="0"/>
                    <w:widowControl w:val="0"/>
                    <w:kinsoku/>
                    <w:wordWrap/>
                    <w:overflowPunct/>
                    <w:topLinePunct w:val="0"/>
                    <w:bidi w:val="0"/>
                    <w:adjustRightInd/>
                    <w:snapToGrid/>
                    <w:spacing w:line="276" w:lineRule="auto"/>
                    <w:textAlignment w:val="auto"/>
                    <w:rPr>
                      <w:bCs/>
                      <w:szCs w:val="21"/>
                    </w:rPr>
                  </w:pPr>
                  <w:r>
                    <w:rPr>
                      <w:bCs/>
                      <w:szCs w:val="21"/>
                    </w:rPr>
                    <w:t>煤矸石是采煤过程和洗煤过程中排放的固体废物，是一种在成煤过程中与煤层伴生的一种含碳量较低、比煤坚硬的黑灰色岩石。包括巷道掘进过程中的掘进矸石、采掘过程中从顶板、底板及夹层里采出的矸石以及洗煤过程中挑出的洗矸石。煤矸石堆积密度为1200~1800kg/m</w:t>
                  </w:r>
                  <w:r>
                    <w:rPr>
                      <w:bCs/>
                      <w:szCs w:val="21"/>
                      <w:vertAlign w:val="superscript"/>
                    </w:rPr>
                    <w:t>3</w:t>
                  </w:r>
                  <w:r>
                    <w:rPr>
                      <w:bCs/>
                      <w:szCs w:val="21"/>
                    </w:rPr>
                    <w:t>，其主要成分是Al</w:t>
                  </w:r>
                  <w:r>
                    <w:rPr>
                      <w:bCs/>
                      <w:szCs w:val="21"/>
                      <w:vertAlign w:val="subscript"/>
                    </w:rPr>
                    <w:t>2</w:t>
                  </w:r>
                  <w:r>
                    <w:rPr>
                      <w:bCs/>
                      <w:szCs w:val="21"/>
                    </w:rPr>
                    <w:t>O</w:t>
                  </w:r>
                  <w:r>
                    <w:rPr>
                      <w:bCs/>
                      <w:szCs w:val="21"/>
                      <w:vertAlign w:val="subscript"/>
                    </w:rPr>
                    <w:t>3</w:t>
                  </w:r>
                  <w:r>
                    <w:rPr>
                      <w:bCs/>
                      <w:szCs w:val="21"/>
                    </w:rPr>
                    <w:t>、SiO</w:t>
                  </w:r>
                  <w:r>
                    <w:rPr>
                      <w:bCs/>
                      <w:szCs w:val="21"/>
                      <w:vertAlign w:val="subscript"/>
                    </w:rPr>
                    <w:t>2</w:t>
                  </w:r>
                  <w:r>
                    <w:rPr>
                      <w:bCs/>
                      <w:szCs w:val="21"/>
                    </w:rPr>
                    <w:t>，另外还含有数量不等的Fe</w:t>
                  </w:r>
                  <w:r>
                    <w:rPr>
                      <w:bCs/>
                      <w:szCs w:val="21"/>
                      <w:vertAlign w:val="subscript"/>
                    </w:rPr>
                    <w:t>2</w:t>
                  </w:r>
                  <w:r>
                    <w:rPr>
                      <w:bCs/>
                      <w:szCs w:val="21"/>
                    </w:rPr>
                    <w:t>O</w:t>
                  </w:r>
                  <w:r>
                    <w:rPr>
                      <w:bCs/>
                      <w:szCs w:val="21"/>
                      <w:vertAlign w:val="subscript"/>
                    </w:rPr>
                    <w:t>3</w:t>
                  </w:r>
                  <w:r>
                    <w:rPr>
                      <w:bCs/>
                      <w:szCs w:val="21"/>
                    </w:rPr>
                    <w:t>、CaO、MgO、Na</w:t>
                  </w:r>
                  <w:r>
                    <w:rPr>
                      <w:bCs/>
                      <w:szCs w:val="21"/>
                      <w:vertAlign w:val="subscript"/>
                    </w:rPr>
                    <w:t>2</w:t>
                  </w:r>
                  <w:r>
                    <w:rPr>
                      <w:bCs/>
                      <w:szCs w:val="21"/>
                    </w:rPr>
                    <w:t>O、K</w:t>
                  </w:r>
                  <w:r>
                    <w:rPr>
                      <w:bCs/>
                      <w:szCs w:val="21"/>
                      <w:vertAlign w:val="subscript"/>
                    </w:rPr>
                    <w:t>2</w:t>
                  </w:r>
                  <w:r>
                    <w:rPr>
                      <w:bCs/>
                      <w:szCs w:val="21"/>
                    </w:rPr>
                    <w:t>O、P</w:t>
                  </w:r>
                  <w:r>
                    <w:rPr>
                      <w:bCs/>
                      <w:szCs w:val="21"/>
                      <w:vertAlign w:val="subscript"/>
                    </w:rPr>
                    <w:t>2</w:t>
                  </w:r>
                  <w:r>
                    <w:rPr>
                      <w:bCs/>
                      <w:szCs w:val="21"/>
                    </w:rPr>
                    <w:t>O</w:t>
                  </w:r>
                  <w:r>
                    <w:rPr>
                      <w:bCs/>
                      <w:szCs w:val="21"/>
                      <w:vertAlign w:val="subscript"/>
                    </w:rPr>
                    <w:t>5</w:t>
                  </w:r>
                  <w:r>
                    <w:rPr>
                      <w:bCs/>
                      <w:szCs w:val="21"/>
                    </w:rPr>
                    <w:t>、SO</w:t>
                  </w:r>
                  <w:r>
                    <w:rPr>
                      <w:bCs/>
                      <w:szCs w:val="21"/>
                      <w:vertAlign w:val="subscript"/>
                    </w:rPr>
                    <w:t>3</w:t>
                  </w:r>
                  <w:r>
                    <w:rPr>
                      <w:bCs/>
                      <w:szCs w:val="21"/>
                    </w:rPr>
                    <w:t>和微量稀有元素(镓、钒、钛、钴)。</w:t>
                  </w:r>
                </w:p>
                <w:p w14:paraId="389DBE24">
                  <w:pPr>
                    <w:pStyle w:val="62"/>
                    <w:keepLines/>
                    <w:pageBreakBefore w:val="0"/>
                    <w:widowControl w:val="0"/>
                    <w:numPr>
                      <w:ilvl w:val="0"/>
                      <w:numId w:val="0"/>
                    </w:numPr>
                    <w:kinsoku/>
                    <w:wordWrap/>
                    <w:overflowPunct/>
                    <w:topLinePunct w:val="0"/>
                    <w:bidi w:val="0"/>
                    <w:adjustRightInd/>
                    <w:snapToGrid/>
                    <w:spacing w:line="276" w:lineRule="auto"/>
                    <w:jc w:val="both"/>
                    <w:textAlignment w:val="auto"/>
                    <w:rPr>
                      <w:rFonts w:ascii="Times New Roman" w:hAnsi="Times New Roman" w:eastAsia="宋体" w:cs="Times New Roman"/>
                      <w:b w:val="0"/>
                      <w:color w:val="auto"/>
                      <w:sz w:val="21"/>
                      <w:szCs w:val="21"/>
                    </w:rPr>
                  </w:pPr>
                </w:p>
                <w:p w14:paraId="230CD11E">
                  <w:pPr>
                    <w:pStyle w:val="62"/>
                    <w:keepLines/>
                    <w:pageBreakBefore w:val="0"/>
                    <w:widowControl w:val="0"/>
                    <w:numPr>
                      <w:ilvl w:val="0"/>
                      <w:numId w:val="0"/>
                    </w:numPr>
                    <w:kinsoku/>
                    <w:wordWrap/>
                    <w:overflowPunct/>
                    <w:topLinePunct w:val="0"/>
                    <w:bidi w:val="0"/>
                    <w:adjustRightInd/>
                    <w:snapToGrid/>
                    <w:spacing w:line="276" w:lineRule="auto"/>
                    <w:jc w:val="both"/>
                    <w:textAlignment w:val="auto"/>
                    <w:rPr>
                      <w:rFonts w:ascii="Times New Roman" w:hAnsi="Times New Roman" w:eastAsia="宋体" w:cs="Times New Roman"/>
                      <w:b w:val="0"/>
                      <w:color w:val="auto"/>
                    </w:rPr>
                  </w:pPr>
                  <w:r>
                    <w:rPr>
                      <w:rFonts w:ascii="Times New Roman" w:hAnsi="Times New Roman" w:eastAsia="宋体" w:cs="Times New Roman"/>
                      <w:b w:val="0"/>
                      <w:color w:val="auto"/>
                      <w:sz w:val="21"/>
                      <w:szCs w:val="21"/>
                    </w:rPr>
                    <w:t>本项目煤矸石</w:t>
                  </w:r>
                  <w:r>
                    <w:rPr>
                      <w:rFonts w:hint="eastAsia" w:ascii="Times New Roman" w:hAnsi="Times New Roman" w:eastAsia="宋体" w:cs="Times New Roman"/>
                      <w:b w:val="0"/>
                      <w:color w:val="auto"/>
                      <w:sz w:val="21"/>
                      <w:szCs w:val="21"/>
                    </w:rPr>
                    <w:t>收到基</w:t>
                  </w:r>
                  <w:r>
                    <w:rPr>
                      <w:rFonts w:ascii="Times New Roman" w:hAnsi="Times New Roman" w:eastAsia="宋体" w:cs="Times New Roman"/>
                      <w:b w:val="0"/>
                      <w:color w:val="auto"/>
                      <w:sz w:val="21"/>
                      <w:szCs w:val="21"/>
                    </w:rPr>
                    <w:t>全水分3%、低位发热量</w:t>
                  </w:r>
                  <w:r>
                    <w:rPr>
                      <w:rFonts w:hint="eastAsia" w:ascii="Times New Roman" w:hAnsi="Times New Roman" w:eastAsia="宋体" w:cs="Times New Roman"/>
                      <w:b w:val="0"/>
                      <w:color w:val="auto"/>
                      <w:sz w:val="21"/>
                      <w:szCs w:val="21"/>
                    </w:rPr>
                    <w:t>1.69</w:t>
                  </w:r>
                  <w:r>
                    <w:rPr>
                      <w:rFonts w:ascii="Times New Roman" w:hAnsi="Times New Roman" w:eastAsia="宋体" w:cs="Times New Roman"/>
                      <w:b w:val="0"/>
                      <w:color w:val="auto"/>
                      <w:sz w:val="21"/>
                      <w:szCs w:val="21"/>
                    </w:rPr>
                    <w:t>MJ/kg</w:t>
                  </w:r>
                  <w:r>
                    <w:rPr>
                      <w:rFonts w:hint="eastAsia" w:ascii="Times New Roman" w:hAnsi="Times New Roman" w:eastAsia="宋体" w:cs="Times New Roman"/>
                      <w:b w:val="0"/>
                      <w:color w:val="auto"/>
                      <w:sz w:val="21"/>
                      <w:szCs w:val="21"/>
                    </w:rPr>
                    <w:t>；空干基水分0.61</w:t>
                  </w:r>
                  <w:r>
                    <w:rPr>
                      <w:rFonts w:ascii="Times New Roman" w:hAnsi="Times New Roman" w:eastAsia="宋体" w:cs="Times New Roman"/>
                      <w:b w:val="0"/>
                      <w:color w:val="auto"/>
                      <w:sz w:val="21"/>
                      <w:szCs w:val="21"/>
                    </w:rPr>
                    <w:t>%、全硫0.</w:t>
                  </w:r>
                  <w:r>
                    <w:rPr>
                      <w:rFonts w:hint="eastAsia" w:ascii="Times New Roman" w:hAnsi="Times New Roman" w:eastAsia="宋体" w:cs="Times New Roman"/>
                      <w:b w:val="0"/>
                      <w:color w:val="auto"/>
                      <w:sz w:val="21"/>
                      <w:szCs w:val="21"/>
                    </w:rPr>
                    <w:t>1</w:t>
                  </w:r>
                  <w:r>
                    <w:rPr>
                      <w:rFonts w:ascii="Times New Roman" w:hAnsi="Times New Roman" w:eastAsia="宋体" w:cs="Times New Roman"/>
                      <w:b w:val="0"/>
                      <w:color w:val="auto"/>
                      <w:sz w:val="21"/>
                      <w:szCs w:val="21"/>
                    </w:rPr>
                    <w:t>3%、</w:t>
                  </w:r>
                  <w:r>
                    <w:rPr>
                      <w:rFonts w:hint="eastAsia" w:ascii="Times New Roman" w:hAnsi="Times New Roman" w:eastAsia="宋体" w:cs="Times New Roman"/>
                      <w:b w:val="0"/>
                      <w:color w:val="auto"/>
                      <w:sz w:val="21"/>
                      <w:szCs w:val="21"/>
                    </w:rPr>
                    <w:t>高</w:t>
                  </w:r>
                  <w:r>
                    <w:rPr>
                      <w:rFonts w:ascii="Times New Roman" w:hAnsi="Times New Roman" w:eastAsia="宋体" w:cs="Times New Roman"/>
                      <w:b w:val="0"/>
                      <w:color w:val="auto"/>
                      <w:sz w:val="21"/>
                      <w:szCs w:val="21"/>
                    </w:rPr>
                    <w:t>位发热量</w:t>
                  </w:r>
                  <w:r>
                    <w:rPr>
                      <w:rFonts w:hint="eastAsia" w:ascii="Times New Roman" w:hAnsi="Times New Roman" w:eastAsia="宋体" w:cs="Times New Roman"/>
                      <w:b w:val="0"/>
                      <w:color w:val="auto"/>
                      <w:sz w:val="21"/>
                      <w:szCs w:val="21"/>
                    </w:rPr>
                    <w:t>2.26</w:t>
                  </w:r>
                  <w:r>
                    <w:rPr>
                      <w:rFonts w:ascii="Times New Roman" w:hAnsi="Times New Roman" w:eastAsia="宋体" w:cs="Times New Roman"/>
                      <w:b w:val="0"/>
                      <w:color w:val="auto"/>
                      <w:sz w:val="21"/>
                      <w:szCs w:val="21"/>
                    </w:rPr>
                    <w:t>MJ/kg</w:t>
                  </w:r>
                  <w:r>
                    <w:rPr>
                      <w:rFonts w:hint="eastAsia" w:ascii="Times New Roman" w:hAnsi="Times New Roman" w:eastAsia="宋体" w:cs="Times New Roman"/>
                      <w:b w:val="0"/>
                      <w:color w:val="auto"/>
                      <w:sz w:val="21"/>
                      <w:szCs w:val="21"/>
                    </w:rPr>
                    <w:t>；</w:t>
                  </w:r>
                </w:p>
              </w:tc>
            </w:tr>
            <w:tr w14:paraId="7CE3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14:paraId="3DB46BEB">
                  <w:pPr>
                    <w:keepLines/>
                    <w:pageBreakBefore w:val="0"/>
                    <w:widowControl w:val="0"/>
                    <w:kinsoku/>
                    <w:wordWrap/>
                    <w:overflowPunct/>
                    <w:topLinePunct w:val="0"/>
                    <w:bidi w:val="0"/>
                    <w:adjustRightInd/>
                    <w:snapToGrid/>
                    <w:spacing w:line="276" w:lineRule="auto"/>
                    <w:jc w:val="center"/>
                    <w:textAlignment w:val="auto"/>
                    <w:rPr>
                      <w:bCs/>
                      <w:szCs w:val="21"/>
                    </w:rPr>
                  </w:pPr>
                  <w:r>
                    <w:rPr>
                      <w:bCs/>
                      <w:szCs w:val="21"/>
                    </w:rPr>
                    <w:t>2</w:t>
                  </w:r>
                </w:p>
              </w:tc>
              <w:tc>
                <w:tcPr>
                  <w:tcW w:w="534" w:type="pct"/>
                  <w:noWrap w:val="0"/>
                  <w:vAlign w:val="center"/>
                </w:tcPr>
                <w:p w14:paraId="762F3D42">
                  <w:pPr>
                    <w:keepLines/>
                    <w:pageBreakBefore w:val="0"/>
                    <w:widowControl w:val="0"/>
                    <w:kinsoku/>
                    <w:wordWrap/>
                    <w:overflowPunct/>
                    <w:topLinePunct w:val="0"/>
                    <w:bidi w:val="0"/>
                    <w:adjustRightInd/>
                    <w:snapToGrid/>
                    <w:jc w:val="center"/>
                    <w:textAlignment w:val="auto"/>
                    <w:rPr>
                      <w:bCs/>
                      <w:szCs w:val="21"/>
                    </w:rPr>
                  </w:pPr>
                  <w:r>
                    <w:rPr>
                      <w:bCs/>
                      <w:szCs w:val="21"/>
                    </w:rPr>
                    <w:t>机油</w:t>
                  </w:r>
                </w:p>
              </w:tc>
              <w:tc>
                <w:tcPr>
                  <w:tcW w:w="4072" w:type="pct"/>
                  <w:noWrap w:val="0"/>
                  <w:vAlign w:val="center"/>
                </w:tcPr>
                <w:p w14:paraId="006760F3">
                  <w:pPr>
                    <w:keepLines/>
                    <w:pageBreakBefore w:val="0"/>
                    <w:widowControl w:val="0"/>
                    <w:kinsoku/>
                    <w:wordWrap/>
                    <w:overflowPunct/>
                    <w:topLinePunct w:val="0"/>
                    <w:bidi w:val="0"/>
                    <w:adjustRightInd/>
                    <w:snapToGrid/>
                    <w:spacing w:line="276" w:lineRule="auto"/>
                    <w:textAlignment w:val="auto"/>
                    <w:rPr>
                      <w:bCs/>
                      <w:szCs w:val="21"/>
                    </w:rPr>
                  </w:pPr>
                  <w:r>
                    <w:rPr>
                      <w:bCs/>
                      <w:szCs w:val="21"/>
                    </w:rPr>
                    <w:t>油状液体，淡黄色至褐色，无气味或略带异味。闪点76℃，相对密度(水=1)&lt;1，引燃温度248℃，遇明火、高热可燃，LD50:4300mg/kg(小鼠经口)</w:t>
                  </w:r>
                </w:p>
              </w:tc>
            </w:tr>
          </w:tbl>
          <w:p w14:paraId="6F483EE5">
            <w:pPr>
              <w:adjustRightInd w:val="0"/>
              <w:spacing w:line="480" w:lineRule="exact"/>
              <w:ind w:firstLine="480" w:firstLineChars="200"/>
              <w:rPr>
                <w:rFonts w:hint="eastAsia" w:ascii="黑体" w:hAnsi="黑体" w:eastAsia="黑体" w:cs="黑体"/>
                <w:sz w:val="24"/>
              </w:rPr>
            </w:pPr>
          </w:p>
          <w:p w14:paraId="0A9562CF">
            <w:pPr>
              <w:adjustRightInd w:val="0"/>
              <w:spacing w:line="480" w:lineRule="exact"/>
              <w:ind w:firstLine="480" w:firstLineChars="200"/>
              <w:rPr>
                <w:rFonts w:hint="eastAsia" w:ascii="黑体" w:hAnsi="黑体" w:eastAsia="黑体" w:cs="黑体"/>
                <w:sz w:val="24"/>
              </w:rPr>
            </w:pPr>
            <w:r>
              <w:rPr>
                <w:rFonts w:hint="eastAsia" w:ascii="黑体" w:hAnsi="黑体" w:eastAsia="黑体" w:cs="黑体"/>
                <w:sz w:val="24"/>
              </w:rPr>
              <w:t>7、水平衡</w:t>
            </w:r>
          </w:p>
          <w:p w14:paraId="10C41DAA">
            <w:pPr>
              <w:adjustRightInd w:val="0"/>
              <w:spacing w:line="480" w:lineRule="exact"/>
              <w:ind w:firstLine="480" w:firstLineChars="200"/>
              <w:rPr>
                <w:sz w:val="24"/>
              </w:rPr>
            </w:pPr>
            <w:r>
              <w:rPr>
                <w:sz w:val="24"/>
              </w:rPr>
              <w:t>项目用水为</w:t>
            </w:r>
            <w:r>
              <w:rPr>
                <w:rFonts w:hint="eastAsia"/>
                <w:sz w:val="24"/>
                <w:lang w:val="en-US" w:eastAsia="zh-CN"/>
              </w:rPr>
              <w:t>喷淋用水、生产用水、车辆清洗用水</w:t>
            </w:r>
            <w:r>
              <w:rPr>
                <w:sz w:val="24"/>
              </w:rPr>
              <w:t>等。</w:t>
            </w:r>
          </w:p>
          <w:p w14:paraId="5BA13CC9">
            <w:pPr>
              <w:spacing w:line="480" w:lineRule="exact"/>
              <w:ind w:firstLine="480" w:firstLineChars="200"/>
              <w:rPr>
                <w:bCs/>
                <w:color w:val="000000"/>
                <w:sz w:val="24"/>
                <w:szCs w:val="32"/>
              </w:rPr>
            </w:pPr>
            <w:r>
              <w:rPr>
                <w:rFonts w:hint="eastAsia"/>
                <w:bCs/>
                <w:color w:val="000000"/>
                <w:sz w:val="24"/>
                <w:szCs w:val="32"/>
              </w:rPr>
              <w:t>(1)</w:t>
            </w:r>
            <w:r>
              <w:rPr>
                <w:bCs/>
                <w:color w:val="000000"/>
                <w:sz w:val="24"/>
                <w:szCs w:val="32"/>
              </w:rPr>
              <w:t>给</w:t>
            </w:r>
            <w:r>
              <w:rPr>
                <w:rFonts w:hint="eastAsia"/>
                <w:bCs/>
                <w:color w:val="000000"/>
                <w:sz w:val="24"/>
                <w:szCs w:val="32"/>
              </w:rPr>
              <w:t>排</w:t>
            </w:r>
            <w:r>
              <w:rPr>
                <w:bCs/>
                <w:color w:val="000000"/>
                <w:sz w:val="24"/>
                <w:szCs w:val="32"/>
              </w:rPr>
              <w:t>水</w:t>
            </w:r>
          </w:p>
          <w:p w14:paraId="5AB4381A">
            <w:pPr>
              <w:spacing w:line="480" w:lineRule="exact"/>
              <w:ind w:firstLine="480" w:firstLineChars="200"/>
              <w:rPr>
                <w:sz w:val="24"/>
                <w:szCs w:val="32"/>
              </w:rPr>
            </w:pPr>
            <w:r>
              <w:rPr>
                <w:rFonts w:hint="eastAsia"/>
                <w:bCs/>
                <w:sz w:val="24"/>
                <w:szCs w:val="32"/>
              </w:rPr>
              <w:t>本项目新增喷淋用水、原料搅拌用水、车辆冲洗用水、脱硫用水、湿式电除尘用水，用水量为56.042</w:t>
            </w:r>
            <w:r>
              <w:rPr>
                <w:sz w:val="24"/>
                <w:szCs w:val="32"/>
              </w:rPr>
              <w:t>m</w:t>
            </w:r>
            <w:r>
              <w:rPr>
                <w:sz w:val="24"/>
                <w:szCs w:val="32"/>
                <w:vertAlign w:val="superscript"/>
              </w:rPr>
              <w:t>3</w:t>
            </w:r>
            <w:r>
              <w:rPr>
                <w:sz w:val="24"/>
                <w:szCs w:val="32"/>
              </w:rPr>
              <w:t>/d</w:t>
            </w:r>
            <w:r>
              <w:rPr>
                <w:rFonts w:hint="eastAsia"/>
                <w:sz w:val="24"/>
                <w:szCs w:val="32"/>
              </w:rPr>
              <w:t>(16812.6</w:t>
            </w:r>
            <w:r>
              <w:rPr>
                <w:sz w:val="24"/>
                <w:szCs w:val="32"/>
              </w:rPr>
              <w:t>m</w:t>
            </w:r>
            <w:r>
              <w:rPr>
                <w:sz w:val="24"/>
                <w:szCs w:val="32"/>
                <w:vertAlign w:val="superscript"/>
              </w:rPr>
              <w:t>3</w:t>
            </w:r>
            <w:r>
              <w:rPr>
                <w:sz w:val="24"/>
                <w:szCs w:val="32"/>
              </w:rPr>
              <w:t>/a</w:t>
            </w:r>
            <w:r>
              <w:rPr>
                <w:rFonts w:hint="eastAsia"/>
                <w:sz w:val="24"/>
                <w:szCs w:val="32"/>
              </w:rPr>
              <w:t>)</w:t>
            </w:r>
            <w:r>
              <w:rPr>
                <w:sz w:val="24"/>
                <w:szCs w:val="32"/>
              </w:rPr>
              <w:t>。本项目建设完成后</w:t>
            </w:r>
            <w:r>
              <w:rPr>
                <w:rFonts w:hint="eastAsia"/>
                <w:sz w:val="24"/>
                <w:szCs w:val="32"/>
              </w:rPr>
              <w:t>，</w:t>
            </w:r>
            <w:r>
              <w:rPr>
                <w:sz w:val="24"/>
                <w:szCs w:val="32"/>
              </w:rPr>
              <w:t>全厂总用水量为</w:t>
            </w:r>
            <w:r>
              <w:rPr>
                <w:rFonts w:hint="eastAsia"/>
                <w:sz w:val="24"/>
                <w:szCs w:val="32"/>
              </w:rPr>
              <w:t>178.1</w:t>
            </w:r>
            <w:r>
              <w:rPr>
                <w:sz w:val="24"/>
                <w:szCs w:val="32"/>
              </w:rPr>
              <w:t>m</w:t>
            </w:r>
            <w:r>
              <w:rPr>
                <w:sz w:val="24"/>
                <w:szCs w:val="32"/>
                <w:vertAlign w:val="superscript"/>
              </w:rPr>
              <w:t>3</w:t>
            </w:r>
            <w:r>
              <w:rPr>
                <w:sz w:val="24"/>
                <w:szCs w:val="32"/>
              </w:rPr>
              <w:t>/d(</w:t>
            </w:r>
            <w:r>
              <w:rPr>
                <w:rFonts w:hint="eastAsia"/>
                <w:sz w:val="24"/>
                <w:szCs w:val="32"/>
              </w:rPr>
              <w:t>53432.6</w:t>
            </w:r>
            <w:r>
              <w:rPr>
                <w:sz w:val="24"/>
                <w:szCs w:val="32"/>
              </w:rPr>
              <w:t>m</w:t>
            </w:r>
            <w:r>
              <w:rPr>
                <w:sz w:val="24"/>
                <w:szCs w:val="32"/>
                <w:vertAlign w:val="superscript"/>
              </w:rPr>
              <w:t>3</w:t>
            </w:r>
            <w:r>
              <w:rPr>
                <w:sz w:val="24"/>
                <w:szCs w:val="32"/>
              </w:rPr>
              <w:t>/a)</w:t>
            </w:r>
            <w:r>
              <w:rPr>
                <w:rFonts w:hint="eastAsia"/>
                <w:sz w:val="24"/>
                <w:szCs w:val="32"/>
              </w:rPr>
              <w:t>，</w:t>
            </w:r>
            <w:r>
              <w:rPr>
                <w:sz w:val="24"/>
                <w:szCs w:val="32"/>
              </w:rPr>
              <w:t>项目用水由</w:t>
            </w:r>
            <w:r>
              <w:rPr>
                <w:rFonts w:hint="eastAsia"/>
                <w:sz w:val="24"/>
                <w:szCs w:val="32"/>
              </w:rPr>
              <w:t>市政</w:t>
            </w:r>
            <w:r>
              <w:rPr>
                <w:sz w:val="24"/>
                <w:szCs w:val="32"/>
              </w:rPr>
              <w:t>供给。</w:t>
            </w:r>
          </w:p>
          <w:p w14:paraId="25AFFECD">
            <w:pPr>
              <w:spacing w:line="480" w:lineRule="exact"/>
              <w:ind w:firstLine="480" w:firstLineChars="200"/>
              <w:rPr>
                <w:bCs/>
                <w:sz w:val="24"/>
                <w:szCs w:val="28"/>
              </w:rPr>
            </w:pPr>
            <w:r>
              <w:rPr>
                <w:rFonts w:hint="eastAsia"/>
                <w:sz w:val="24"/>
                <w:szCs w:val="28"/>
              </w:rPr>
              <w:t>①</w:t>
            </w:r>
            <w:r>
              <w:rPr>
                <w:bCs/>
                <w:sz w:val="24"/>
                <w:szCs w:val="28"/>
              </w:rPr>
              <w:t>喷淋用水</w:t>
            </w:r>
          </w:p>
          <w:p w14:paraId="67E1C227">
            <w:pPr>
              <w:spacing w:line="480" w:lineRule="exact"/>
              <w:ind w:firstLine="480" w:firstLineChars="200"/>
              <w:rPr>
                <w:bCs/>
                <w:color w:val="000000"/>
                <w:sz w:val="24"/>
                <w:szCs w:val="28"/>
              </w:rPr>
            </w:pPr>
            <w:r>
              <w:rPr>
                <w:bCs/>
                <w:color w:val="000000"/>
                <w:sz w:val="24"/>
                <w:szCs w:val="28"/>
              </w:rPr>
              <w:t>项目在现有原料</w:t>
            </w:r>
            <w:r>
              <w:rPr>
                <w:rFonts w:hint="eastAsia"/>
                <w:bCs/>
                <w:color w:val="000000"/>
                <w:sz w:val="24"/>
                <w:szCs w:val="28"/>
              </w:rPr>
              <w:t>库基础上扩建</w:t>
            </w:r>
            <w:r>
              <w:rPr>
                <w:bCs/>
                <w:color w:val="000000"/>
                <w:sz w:val="24"/>
                <w:szCs w:val="28"/>
              </w:rPr>
              <w:t>一座2</w:t>
            </w:r>
            <w:r>
              <w:rPr>
                <w:rFonts w:hint="eastAsia"/>
                <w:bCs/>
                <w:color w:val="000000"/>
                <w:sz w:val="24"/>
                <w:szCs w:val="28"/>
              </w:rPr>
              <w:t>0</w:t>
            </w:r>
            <w:r>
              <w:rPr>
                <w:bCs/>
                <w:color w:val="000000"/>
                <w:sz w:val="24"/>
                <w:szCs w:val="28"/>
              </w:rPr>
              <w:t>00m</w:t>
            </w:r>
            <w:r>
              <w:rPr>
                <w:bCs/>
                <w:color w:val="000000"/>
                <w:sz w:val="24"/>
                <w:szCs w:val="28"/>
                <w:vertAlign w:val="superscript"/>
              </w:rPr>
              <w:t>2</w:t>
            </w:r>
            <w:r>
              <w:rPr>
                <w:bCs/>
                <w:color w:val="000000"/>
                <w:sz w:val="24"/>
                <w:szCs w:val="28"/>
              </w:rPr>
              <w:t>封闭原料库，并设置喷淋系统，在原料装卸料过程中开启进行降尘，喷淋降尘系统</w:t>
            </w:r>
            <w:r>
              <w:rPr>
                <w:rFonts w:hint="eastAsia"/>
                <w:bCs/>
                <w:color w:val="000000"/>
                <w:sz w:val="24"/>
                <w:szCs w:val="28"/>
              </w:rPr>
              <w:t>采用</w:t>
            </w:r>
            <w:r>
              <w:rPr>
                <w:bCs/>
                <w:color w:val="000000"/>
                <w:sz w:val="24"/>
                <w:szCs w:val="28"/>
              </w:rPr>
              <w:t>智能变频节能系统，耗水量</w:t>
            </w:r>
            <w:r>
              <w:rPr>
                <w:rFonts w:hint="eastAsia"/>
                <w:bCs/>
                <w:color w:val="000000"/>
                <w:sz w:val="24"/>
                <w:szCs w:val="28"/>
              </w:rPr>
              <w:t>约</w:t>
            </w:r>
            <w:r>
              <w:rPr>
                <w:bCs/>
                <w:color w:val="000000"/>
                <w:sz w:val="24"/>
                <w:szCs w:val="28"/>
              </w:rPr>
              <w:t>为每小时8</w:t>
            </w:r>
            <w:r>
              <w:rPr>
                <w:rFonts w:hint="eastAsia"/>
                <w:bCs/>
                <w:color w:val="000000"/>
                <w:sz w:val="24"/>
                <w:szCs w:val="28"/>
              </w:rPr>
              <w:t>L/100m</w:t>
            </w:r>
            <w:r>
              <w:rPr>
                <w:rFonts w:hint="eastAsia"/>
                <w:bCs/>
                <w:color w:val="000000"/>
                <w:sz w:val="24"/>
                <w:szCs w:val="28"/>
                <w:vertAlign w:val="superscript"/>
              </w:rPr>
              <w:t>2</w:t>
            </w:r>
            <w:r>
              <w:rPr>
                <w:bCs/>
                <w:color w:val="000000"/>
                <w:sz w:val="24"/>
                <w:szCs w:val="28"/>
              </w:rPr>
              <w:t>，本项目原料库面积约2</w:t>
            </w:r>
            <w:r>
              <w:rPr>
                <w:rFonts w:hint="eastAsia"/>
                <w:bCs/>
                <w:color w:val="000000"/>
                <w:sz w:val="24"/>
                <w:szCs w:val="28"/>
              </w:rPr>
              <w:t>0</w:t>
            </w:r>
            <w:r>
              <w:rPr>
                <w:bCs/>
                <w:color w:val="000000"/>
                <w:sz w:val="24"/>
                <w:szCs w:val="28"/>
              </w:rPr>
              <w:t>00m</w:t>
            </w:r>
            <w:r>
              <w:rPr>
                <w:bCs/>
                <w:color w:val="000000"/>
                <w:sz w:val="24"/>
                <w:szCs w:val="28"/>
                <w:vertAlign w:val="superscript"/>
              </w:rPr>
              <w:t>2</w:t>
            </w:r>
            <w:r>
              <w:rPr>
                <w:bCs/>
                <w:color w:val="000000"/>
                <w:sz w:val="24"/>
                <w:szCs w:val="28"/>
              </w:rPr>
              <w:t>，全厂总计耗水量为</w:t>
            </w:r>
            <w:r>
              <w:rPr>
                <w:rFonts w:hint="eastAsia"/>
                <w:bCs/>
                <w:color w:val="000000"/>
                <w:sz w:val="24"/>
                <w:szCs w:val="28"/>
              </w:rPr>
              <w:t>0.16</w:t>
            </w:r>
            <w:r>
              <w:rPr>
                <w:bCs/>
                <w:color w:val="000000"/>
                <w:sz w:val="24"/>
                <w:szCs w:val="28"/>
              </w:rPr>
              <w:t>t/h，根据建设单位提供资料，厂区作业时开启降尘系统，喷淋工作时间为</w:t>
            </w:r>
            <w:r>
              <w:rPr>
                <w:rFonts w:hint="eastAsia"/>
                <w:bCs/>
                <w:color w:val="000000"/>
                <w:sz w:val="24"/>
                <w:szCs w:val="28"/>
              </w:rPr>
              <w:t>4</w:t>
            </w:r>
            <w:r>
              <w:rPr>
                <w:bCs/>
                <w:color w:val="000000"/>
                <w:sz w:val="24"/>
                <w:szCs w:val="28"/>
              </w:rPr>
              <w:t>小时/天，一年工作3</w:t>
            </w:r>
            <w:r>
              <w:rPr>
                <w:rFonts w:hint="eastAsia"/>
                <w:bCs/>
                <w:color w:val="000000"/>
                <w:sz w:val="24"/>
                <w:szCs w:val="28"/>
              </w:rPr>
              <w:t>0</w:t>
            </w:r>
            <w:r>
              <w:rPr>
                <w:bCs/>
                <w:color w:val="000000"/>
                <w:sz w:val="24"/>
                <w:szCs w:val="28"/>
              </w:rPr>
              <w:t>0天，因此原料库喷淋用水量为</w:t>
            </w:r>
            <w:r>
              <w:rPr>
                <w:rFonts w:hint="eastAsia"/>
                <w:bCs/>
                <w:color w:val="000000"/>
                <w:sz w:val="24"/>
                <w:szCs w:val="28"/>
              </w:rPr>
              <w:t>0.64</w:t>
            </w:r>
            <w:r>
              <w:rPr>
                <w:bCs/>
                <w:color w:val="000000"/>
                <w:sz w:val="24"/>
                <w:szCs w:val="28"/>
              </w:rPr>
              <w:t>m</w:t>
            </w:r>
            <w:r>
              <w:rPr>
                <w:bCs/>
                <w:color w:val="000000"/>
                <w:sz w:val="24"/>
                <w:szCs w:val="28"/>
                <w:vertAlign w:val="superscript"/>
              </w:rPr>
              <w:t>3</w:t>
            </w:r>
            <w:r>
              <w:rPr>
                <w:bCs/>
                <w:color w:val="000000"/>
                <w:sz w:val="24"/>
                <w:szCs w:val="28"/>
              </w:rPr>
              <w:t>/d(</w:t>
            </w:r>
            <w:r>
              <w:rPr>
                <w:rFonts w:hint="eastAsia"/>
                <w:bCs/>
                <w:color w:val="000000"/>
                <w:sz w:val="24"/>
                <w:szCs w:val="28"/>
              </w:rPr>
              <w:t>192</w:t>
            </w:r>
            <w:r>
              <w:rPr>
                <w:bCs/>
                <w:color w:val="000000"/>
                <w:sz w:val="24"/>
                <w:szCs w:val="28"/>
              </w:rPr>
              <w:t>m</w:t>
            </w:r>
            <w:r>
              <w:rPr>
                <w:bCs/>
                <w:color w:val="000000"/>
                <w:sz w:val="24"/>
                <w:szCs w:val="28"/>
                <w:vertAlign w:val="superscript"/>
              </w:rPr>
              <w:t>3</w:t>
            </w:r>
            <w:r>
              <w:rPr>
                <w:bCs/>
                <w:color w:val="000000"/>
                <w:sz w:val="24"/>
                <w:szCs w:val="28"/>
              </w:rPr>
              <w:t>/a)。</w:t>
            </w:r>
          </w:p>
          <w:p w14:paraId="18AE8BB4">
            <w:pPr>
              <w:spacing w:line="480" w:lineRule="exact"/>
              <w:ind w:firstLine="480" w:firstLineChars="200"/>
              <w:rPr>
                <w:bCs/>
                <w:sz w:val="24"/>
                <w:szCs w:val="28"/>
              </w:rPr>
            </w:pPr>
            <w:r>
              <w:rPr>
                <w:rFonts w:hint="eastAsia"/>
                <w:bCs/>
                <w:sz w:val="24"/>
                <w:szCs w:val="28"/>
              </w:rPr>
              <w:t>②生产用水</w:t>
            </w:r>
          </w:p>
          <w:p w14:paraId="6B1DD09D">
            <w:pPr>
              <w:spacing w:line="480" w:lineRule="exact"/>
              <w:ind w:firstLine="480" w:firstLineChars="200"/>
              <w:rPr>
                <w:bCs/>
                <w:sz w:val="24"/>
                <w:szCs w:val="28"/>
              </w:rPr>
            </w:pPr>
            <w:r>
              <w:rPr>
                <w:bCs/>
                <w:sz w:val="24"/>
                <w:szCs w:val="28"/>
              </w:rPr>
              <w:t>项目原料在陈化和搅拌过程中需要加入水。根据业主资料提供可知，平均每万块标砖需要用水</w:t>
            </w:r>
            <w:r>
              <w:rPr>
                <w:rFonts w:hint="eastAsia"/>
                <w:bCs/>
                <w:sz w:val="24"/>
                <w:szCs w:val="28"/>
              </w:rPr>
              <w:t>4</w:t>
            </w:r>
            <w:r>
              <w:rPr>
                <w:bCs/>
                <w:sz w:val="24"/>
                <w:szCs w:val="28"/>
              </w:rPr>
              <w:t>t，本项目扩建产能为</w:t>
            </w:r>
            <w:r>
              <w:rPr>
                <w:rFonts w:hint="eastAsia"/>
                <w:bCs/>
                <w:sz w:val="24"/>
                <w:szCs w:val="28"/>
              </w:rPr>
              <w:t>3000万块标砖，</w:t>
            </w:r>
            <w:r>
              <w:rPr>
                <w:bCs/>
                <w:sz w:val="24"/>
                <w:szCs w:val="28"/>
              </w:rPr>
              <w:t>则本项目需用水</w:t>
            </w:r>
            <w:r>
              <w:rPr>
                <w:rFonts w:hint="eastAsia"/>
                <w:bCs/>
                <w:sz w:val="24"/>
                <w:szCs w:val="28"/>
              </w:rPr>
              <w:t>12000</w:t>
            </w:r>
            <w:r>
              <w:rPr>
                <w:bCs/>
                <w:sz w:val="24"/>
                <w:szCs w:val="28"/>
              </w:rPr>
              <w:t>t/a(</w:t>
            </w:r>
            <w:r>
              <w:rPr>
                <w:rFonts w:hint="eastAsia"/>
                <w:bCs/>
                <w:sz w:val="24"/>
                <w:szCs w:val="28"/>
              </w:rPr>
              <w:t>40</w:t>
            </w:r>
            <w:r>
              <w:rPr>
                <w:bCs/>
                <w:sz w:val="24"/>
                <w:szCs w:val="28"/>
              </w:rPr>
              <w:t>t/d)。</w:t>
            </w:r>
          </w:p>
          <w:p w14:paraId="6ECC8E90">
            <w:pPr>
              <w:spacing w:line="480" w:lineRule="exact"/>
              <w:ind w:firstLine="480" w:firstLineChars="200"/>
              <w:outlineLvl w:val="0"/>
              <w:rPr>
                <w:sz w:val="24"/>
                <w:szCs w:val="28"/>
              </w:rPr>
            </w:pPr>
            <w:r>
              <w:rPr>
                <w:rFonts w:hint="eastAsia"/>
                <w:sz w:val="24"/>
                <w:szCs w:val="28"/>
              </w:rPr>
              <w:t>③</w:t>
            </w:r>
            <w:r>
              <w:rPr>
                <w:sz w:val="24"/>
                <w:szCs w:val="28"/>
              </w:rPr>
              <w:t>车辆清洗用水</w:t>
            </w:r>
          </w:p>
          <w:p w14:paraId="641CB3B8">
            <w:pPr>
              <w:spacing w:line="480" w:lineRule="exact"/>
              <w:ind w:firstLine="470" w:firstLineChars="196"/>
              <w:rPr>
                <w:sz w:val="24"/>
                <w:szCs w:val="32"/>
              </w:rPr>
            </w:pPr>
            <w:r>
              <w:rPr>
                <w:rFonts w:hint="eastAsia"/>
                <w:sz w:val="24"/>
                <w:szCs w:val="32"/>
              </w:rPr>
              <w:t>根据《安徽省行业用水定额》(DB34/T679-2019)，</w:t>
            </w:r>
            <w:r>
              <w:rPr>
                <w:sz w:val="24"/>
                <w:szCs w:val="32"/>
              </w:rPr>
              <w:t>汽车清洗用水大型车定额为</w:t>
            </w:r>
            <w:r>
              <w:rPr>
                <w:rFonts w:hint="eastAsia"/>
                <w:sz w:val="24"/>
                <w:szCs w:val="32"/>
              </w:rPr>
              <w:t>90</w:t>
            </w:r>
            <w:r>
              <w:rPr>
                <w:sz w:val="24"/>
                <w:szCs w:val="32"/>
              </w:rPr>
              <w:t>L/(辆·次)，本次</w:t>
            </w:r>
            <w:r>
              <w:rPr>
                <w:rFonts w:hint="eastAsia"/>
                <w:sz w:val="24"/>
                <w:szCs w:val="32"/>
              </w:rPr>
              <w:t>项目建成后</w:t>
            </w:r>
            <w:r>
              <w:rPr>
                <w:sz w:val="24"/>
                <w:szCs w:val="32"/>
              </w:rPr>
              <w:t>年产</w:t>
            </w:r>
            <w:r>
              <w:rPr>
                <w:rFonts w:hint="eastAsia"/>
                <w:sz w:val="24"/>
                <w:szCs w:val="32"/>
              </w:rPr>
              <w:t>12000万块煤矸石烧结砖</w:t>
            </w:r>
            <w:r>
              <w:rPr>
                <w:sz w:val="24"/>
                <w:szCs w:val="32"/>
              </w:rPr>
              <w:t>，按单车一次运输量为</w:t>
            </w:r>
            <w:r>
              <w:rPr>
                <w:rFonts w:hint="eastAsia"/>
                <w:sz w:val="24"/>
                <w:szCs w:val="32"/>
              </w:rPr>
              <w:t>3</w:t>
            </w:r>
            <w:r>
              <w:rPr>
                <w:sz w:val="24"/>
                <w:szCs w:val="32"/>
              </w:rPr>
              <w:t>0t计算，年</w:t>
            </w:r>
            <w:r>
              <w:rPr>
                <w:rFonts w:hint="eastAsia"/>
                <w:sz w:val="24"/>
                <w:szCs w:val="32"/>
              </w:rPr>
              <w:t>进出9200</w:t>
            </w:r>
            <w:r>
              <w:rPr>
                <w:sz w:val="24"/>
                <w:szCs w:val="32"/>
              </w:rPr>
              <w:t>辆次，每次均需对运输车辆进行冲洗。则车辆清洗用水量约为</w:t>
            </w:r>
            <w:r>
              <w:rPr>
                <w:rFonts w:hint="eastAsia"/>
                <w:sz w:val="24"/>
                <w:szCs w:val="32"/>
              </w:rPr>
              <w:t>828</w:t>
            </w:r>
            <w:r>
              <w:rPr>
                <w:sz w:val="24"/>
                <w:szCs w:val="32"/>
              </w:rPr>
              <w:t>m</w:t>
            </w:r>
            <w:r>
              <w:rPr>
                <w:sz w:val="24"/>
                <w:szCs w:val="32"/>
                <w:vertAlign w:val="superscript"/>
              </w:rPr>
              <w:t>3</w:t>
            </w:r>
            <w:r>
              <w:rPr>
                <w:sz w:val="24"/>
                <w:szCs w:val="32"/>
              </w:rPr>
              <w:t>/a(</w:t>
            </w:r>
            <w:r>
              <w:rPr>
                <w:rFonts w:hint="eastAsia"/>
                <w:sz w:val="24"/>
                <w:szCs w:val="32"/>
              </w:rPr>
              <w:t>2.76</w:t>
            </w:r>
            <w:r>
              <w:rPr>
                <w:sz w:val="24"/>
                <w:szCs w:val="32"/>
              </w:rPr>
              <w:t>m</w:t>
            </w:r>
            <w:r>
              <w:rPr>
                <w:sz w:val="24"/>
                <w:szCs w:val="32"/>
                <w:vertAlign w:val="superscript"/>
              </w:rPr>
              <w:t>3</w:t>
            </w:r>
            <w:r>
              <w:rPr>
                <w:sz w:val="24"/>
                <w:szCs w:val="32"/>
              </w:rPr>
              <w:t>/</w:t>
            </w:r>
            <w:r>
              <w:rPr>
                <w:rFonts w:hint="eastAsia"/>
                <w:sz w:val="24"/>
                <w:szCs w:val="32"/>
              </w:rPr>
              <w:t>d</w:t>
            </w:r>
            <w:r>
              <w:rPr>
                <w:sz w:val="24"/>
                <w:szCs w:val="32"/>
              </w:rPr>
              <w:t>)</w:t>
            </w:r>
            <w:r>
              <w:rPr>
                <w:rFonts w:hint="eastAsia"/>
                <w:sz w:val="24"/>
                <w:szCs w:val="32"/>
              </w:rPr>
              <w:t>，清洗用水蒸发、车辆带出等损耗按用水量20%计，则此部分补充用水为0.552</w:t>
            </w:r>
            <w:r>
              <w:rPr>
                <w:sz w:val="24"/>
                <w:szCs w:val="32"/>
              </w:rPr>
              <w:t>m</w:t>
            </w:r>
            <w:r>
              <w:rPr>
                <w:sz w:val="24"/>
                <w:szCs w:val="32"/>
                <w:vertAlign w:val="superscript"/>
              </w:rPr>
              <w:t>3</w:t>
            </w:r>
            <w:r>
              <w:rPr>
                <w:sz w:val="24"/>
                <w:szCs w:val="32"/>
              </w:rPr>
              <w:t>/</w:t>
            </w:r>
            <w:r>
              <w:rPr>
                <w:rFonts w:hint="eastAsia"/>
                <w:sz w:val="24"/>
                <w:szCs w:val="32"/>
              </w:rPr>
              <w:t>d(165.6</w:t>
            </w:r>
            <w:r>
              <w:rPr>
                <w:sz w:val="24"/>
                <w:szCs w:val="32"/>
              </w:rPr>
              <w:t>m</w:t>
            </w:r>
            <w:r>
              <w:rPr>
                <w:sz w:val="24"/>
                <w:szCs w:val="32"/>
                <w:vertAlign w:val="superscript"/>
              </w:rPr>
              <w:t>3</w:t>
            </w:r>
            <w:r>
              <w:rPr>
                <w:sz w:val="24"/>
                <w:szCs w:val="32"/>
              </w:rPr>
              <w:t>/a</w:t>
            </w:r>
            <w:r>
              <w:rPr>
                <w:rFonts w:hint="eastAsia"/>
                <w:sz w:val="24"/>
                <w:szCs w:val="32"/>
              </w:rPr>
              <w:t>)</w:t>
            </w:r>
            <w:r>
              <w:rPr>
                <w:sz w:val="24"/>
                <w:szCs w:val="32"/>
              </w:rPr>
              <w:t>。</w:t>
            </w:r>
          </w:p>
          <w:p w14:paraId="56869F34">
            <w:pPr>
              <w:spacing w:line="480" w:lineRule="exact"/>
              <w:ind w:firstLine="480" w:firstLineChars="200"/>
              <w:rPr>
                <w:b/>
                <w:color w:val="000000"/>
                <w:sz w:val="24"/>
                <w:szCs w:val="32"/>
              </w:rPr>
            </w:pPr>
            <w:r>
              <w:rPr>
                <w:rFonts w:hint="eastAsia"/>
                <w:color w:val="000000"/>
                <w:sz w:val="24"/>
                <w:szCs w:val="32"/>
              </w:rPr>
              <w:t>④脱硫喷淋塔补水</w:t>
            </w:r>
          </w:p>
          <w:p w14:paraId="45D8157C">
            <w:pPr>
              <w:spacing w:line="480" w:lineRule="exact"/>
              <w:ind w:firstLine="480" w:firstLineChars="200"/>
              <w:rPr>
                <w:rFonts w:hAnsi="Calibri"/>
                <w:color w:val="000000"/>
                <w:sz w:val="24"/>
                <w:szCs w:val="32"/>
              </w:rPr>
            </w:pPr>
            <w:r>
              <w:rPr>
                <w:color w:val="000000"/>
                <w:sz w:val="24"/>
                <w:szCs w:val="32"/>
              </w:rPr>
              <w:t>项目采用石灰石—石膏法脱硫</w:t>
            </w:r>
            <w:r>
              <w:rPr>
                <w:rFonts w:hint="eastAsia"/>
                <w:color w:val="000000"/>
                <w:sz w:val="24"/>
                <w:szCs w:val="32"/>
              </w:rPr>
              <w:t>+湿电除尘系统</w:t>
            </w:r>
            <w:r>
              <w:rPr>
                <w:color w:val="000000"/>
                <w:sz w:val="24"/>
                <w:szCs w:val="32"/>
              </w:rPr>
              <w:t>进行脱硫除尘，脱硫液以雾状形式与废气充分接触反应后，</w:t>
            </w:r>
            <w:r>
              <w:rPr>
                <w:rFonts w:hint="eastAsia"/>
                <w:color w:val="000000"/>
                <w:sz w:val="24"/>
                <w:szCs w:val="32"/>
              </w:rPr>
              <w:t>进入</w:t>
            </w:r>
            <w:r>
              <w:rPr>
                <w:color w:val="000000"/>
                <w:sz w:val="24"/>
                <w:szCs w:val="32"/>
              </w:rPr>
              <w:t>水喷淋系统，产生的颗粒物经过喷淋后进入</w:t>
            </w:r>
            <w:r>
              <w:rPr>
                <w:rFonts w:hint="eastAsia"/>
                <w:color w:val="000000"/>
                <w:sz w:val="24"/>
                <w:szCs w:val="32"/>
              </w:rPr>
              <w:t>沉淀池</w:t>
            </w:r>
            <w:r>
              <w:rPr>
                <w:color w:val="000000"/>
                <w:sz w:val="24"/>
                <w:szCs w:val="32"/>
              </w:rPr>
              <w:t>，沉淀物干化后回用于生产。整个脱硫液循环系统形成闭路循环，无废水外排，不会产生二次污染。</w:t>
            </w:r>
            <w:r>
              <w:rPr>
                <w:rFonts w:hint="eastAsia"/>
                <w:color w:val="000000"/>
                <w:sz w:val="24"/>
                <w:szCs w:val="32"/>
              </w:rPr>
              <w:t>脱硫喷淋</w:t>
            </w:r>
            <w:r>
              <w:rPr>
                <w:color w:val="000000"/>
                <w:sz w:val="24"/>
                <w:szCs w:val="32"/>
              </w:rPr>
              <w:t>循环水经沉淀后回用于脱硫除尘工序，不外排。脱硫渣以及灰分会带走一部分</w:t>
            </w:r>
            <w:r>
              <w:rPr>
                <w:rFonts w:hint="eastAsia"/>
                <w:color w:val="000000"/>
                <w:sz w:val="24"/>
                <w:szCs w:val="32"/>
              </w:rPr>
              <w:t>的水分</w:t>
            </w:r>
            <w:r>
              <w:rPr>
                <w:rFonts w:hint="eastAsia"/>
                <w:color w:val="000000"/>
                <w:sz w:val="24"/>
                <w:szCs w:val="32"/>
                <w:lang w:eastAsia="zh-CN"/>
              </w:rPr>
              <w:t>。</w:t>
            </w:r>
            <w:r>
              <w:rPr>
                <w:rFonts w:hint="eastAsia"/>
                <w:color w:val="000000"/>
                <w:sz w:val="24"/>
                <w:szCs w:val="32"/>
                <w:lang w:val="en-US" w:eastAsia="zh-CN"/>
              </w:rPr>
              <w:t>本项目窑炉风机风量3</w:t>
            </w:r>
            <w:r>
              <w:rPr>
                <w:rFonts w:hint="eastAsia"/>
                <w:bCs/>
                <w:sz w:val="24"/>
                <w:lang w:val="en-US" w:eastAsia="zh-CN"/>
              </w:rPr>
              <w:t>00</w:t>
            </w:r>
            <w:r>
              <w:rPr>
                <w:rFonts w:hint="eastAsia"/>
                <w:bCs/>
                <w:sz w:val="24"/>
              </w:rPr>
              <w:t>000</w:t>
            </w:r>
            <w:r>
              <w:rPr>
                <w:bCs/>
                <w:sz w:val="24"/>
              </w:rPr>
              <w:t>m</w:t>
            </w:r>
            <w:r>
              <w:rPr>
                <w:bCs/>
                <w:sz w:val="24"/>
                <w:vertAlign w:val="superscript"/>
              </w:rPr>
              <w:t>3</w:t>
            </w:r>
            <w:r>
              <w:rPr>
                <w:bCs/>
                <w:sz w:val="24"/>
              </w:rPr>
              <w:t>/h</w:t>
            </w:r>
            <w:r>
              <w:rPr>
                <w:rFonts w:hint="eastAsia"/>
                <w:bCs/>
                <w:sz w:val="24"/>
              </w:rPr>
              <w:t>，</w:t>
            </w:r>
            <w:r>
              <w:rPr>
                <w:rFonts w:hint="eastAsia"/>
                <w:color w:val="000000"/>
                <w:sz w:val="24"/>
                <w:szCs w:val="32"/>
                <w:lang w:val="en-US" w:eastAsia="zh-CN"/>
              </w:rPr>
              <w:t>液气</w:t>
            </w:r>
            <w:r>
              <w:rPr>
                <w:rFonts w:hint="eastAsia"/>
                <w:color w:val="000000"/>
                <w:sz w:val="24"/>
                <w:szCs w:val="32"/>
                <w:lang w:eastAsia="zh-CN"/>
              </w:rPr>
              <w:t>比为</w:t>
            </w:r>
            <w:r>
              <w:rPr>
                <w:rFonts w:hint="eastAsia"/>
                <w:color w:val="000000"/>
                <w:sz w:val="24"/>
                <w:szCs w:val="32"/>
                <w:lang w:val="en-US" w:eastAsia="zh-CN"/>
              </w:rPr>
              <w:t>15</w:t>
            </w:r>
            <w:r>
              <w:rPr>
                <w:rFonts w:hint="eastAsia"/>
                <w:color w:val="000000"/>
                <w:sz w:val="24"/>
                <w:szCs w:val="32"/>
                <w:lang w:eastAsia="zh-CN"/>
              </w:rPr>
              <w:t>L/m</w:t>
            </w:r>
            <w:r>
              <w:rPr>
                <w:rFonts w:hint="eastAsia"/>
                <w:color w:val="000000"/>
                <w:sz w:val="24"/>
                <w:szCs w:val="32"/>
                <w:vertAlign w:val="superscript"/>
                <w:lang w:eastAsia="zh-CN"/>
              </w:rPr>
              <w:t>3</w:t>
            </w:r>
            <w:r>
              <w:rPr>
                <w:rFonts w:hint="eastAsia"/>
                <w:color w:val="000000"/>
                <w:sz w:val="24"/>
                <w:szCs w:val="32"/>
                <w:lang w:eastAsia="zh-CN"/>
              </w:rPr>
              <w:t>，则喷淋塔循环水量为</w:t>
            </w:r>
            <w:r>
              <w:rPr>
                <w:rFonts w:hint="eastAsia"/>
                <w:color w:val="000000"/>
                <w:sz w:val="24"/>
                <w:szCs w:val="32"/>
                <w:lang w:val="en-US" w:eastAsia="zh-CN"/>
              </w:rPr>
              <w:t>4500</w:t>
            </w:r>
            <w:r>
              <w:rPr>
                <w:rFonts w:hint="eastAsia"/>
                <w:color w:val="000000"/>
                <w:sz w:val="24"/>
                <w:szCs w:val="32"/>
                <w:lang w:eastAsia="zh-CN"/>
              </w:rPr>
              <w:t>m</w:t>
            </w:r>
            <w:r>
              <w:rPr>
                <w:rFonts w:hint="eastAsia"/>
                <w:color w:val="000000"/>
                <w:sz w:val="24"/>
                <w:szCs w:val="32"/>
                <w:vertAlign w:val="superscript"/>
                <w:lang w:eastAsia="zh-CN"/>
              </w:rPr>
              <w:t>3</w:t>
            </w:r>
            <w:r>
              <w:rPr>
                <w:rFonts w:hint="eastAsia"/>
                <w:color w:val="000000"/>
                <w:sz w:val="24"/>
                <w:szCs w:val="32"/>
                <w:lang w:eastAsia="zh-CN"/>
              </w:rPr>
              <w:t>/h，损耗量按循环水量的</w:t>
            </w:r>
            <w:r>
              <w:rPr>
                <w:rFonts w:hint="eastAsia"/>
                <w:color w:val="000000"/>
                <w:sz w:val="24"/>
                <w:szCs w:val="32"/>
                <w:lang w:val="en-US" w:eastAsia="zh-CN"/>
              </w:rPr>
              <w:t>1</w:t>
            </w:r>
            <w:r>
              <w:rPr>
                <w:rFonts w:hint="eastAsia"/>
                <w:color w:val="000000"/>
                <w:sz w:val="24"/>
                <w:szCs w:val="32"/>
                <w:lang w:eastAsia="zh-CN"/>
              </w:rPr>
              <w:t>%计，则损耗量为</w:t>
            </w:r>
            <w:r>
              <w:rPr>
                <w:rFonts w:hint="eastAsia"/>
                <w:color w:val="000000"/>
                <w:sz w:val="24"/>
                <w:szCs w:val="32"/>
                <w:lang w:val="en-US" w:eastAsia="zh-CN"/>
              </w:rPr>
              <w:t>1080</w:t>
            </w:r>
            <w:r>
              <w:rPr>
                <w:rFonts w:hint="eastAsia"/>
                <w:color w:val="000000"/>
                <w:sz w:val="24"/>
                <w:szCs w:val="32"/>
                <w:lang w:eastAsia="zh-CN"/>
              </w:rPr>
              <w:t>m</w:t>
            </w:r>
            <w:r>
              <w:rPr>
                <w:rFonts w:hint="eastAsia"/>
                <w:color w:val="000000"/>
                <w:sz w:val="24"/>
                <w:szCs w:val="32"/>
                <w:vertAlign w:val="superscript"/>
                <w:lang w:eastAsia="zh-CN"/>
              </w:rPr>
              <w:t>3</w:t>
            </w:r>
            <w:r>
              <w:rPr>
                <w:rFonts w:hint="eastAsia"/>
                <w:color w:val="000000"/>
                <w:sz w:val="24"/>
                <w:szCs w:val="32"/>
                <w:lang w:eastAsia="zh-CN"/>
              </w:rPr>
              <w:t>/d（</w:t>
            </w:r>
            <w:r>
              <w:rPr>
                <w:rFonts w:hint="eastAsia"/>
                <w:color w:val="000000"/>
                <w:sz w:val="24"/>
                <w:szCs w:val="32"/>
                <w:lang w:val="en-US" w:eastAsia="zh-CN"/>
              </w:rPr>
              <w:t>324000</w:t>
            </w:r>
            <w:r>
              <w:rPr>
                <w:rFonts w:hint="eastAsia"/>
                <w:color w:val="000000"/>
                <w:sz w:val="24"/>
                <w:szCs w:val="32"/>
                <w:lang w:eastAsia="zh-CN"/>
              </w:rPr>
              <w:t>m</w:t>
            </w:r>
            <w:r>
              <w:rPr>
                <w:rFonts w:hint="eastAsia"/>
                <w:color w:val="000000"/>
                <w:sz w:val="24"/>
                <w:szCs w:val="32"/>
                <w:vertAlign w:val="superscript"/>
                <w:lang w:eastAsia="zh-CN"/>
              </w:rPr>
              <w:t>3</w:t>
            </w:r>
            <w:r>
              <w:rPr>
                <w:rFonts w:hint="eastAsia"/>
                <w:color w:val="000000"/>
                <w:sz w:val="24"/>
                <w:szCs w:val="32"/>
                <w:lang w:eastAsia="zh-CN"/>
              </w:rPr>
              <w:t>/a），</w:t>
            </w:r>
            <w:r>
              <w:rPr>
                <w:color w:val="000000"/>
                <w:sz w:val="24"/>
                <w:szCs w:val="32"/>
              </w:rPr>
              <w:t>因此，脱硫设备补水量为</w:t>
            </w:r>
            <w:r>
              <w:rPr>
                <w:rFonts w:hint="eastAsia"/>
                <w:color w:val="000000"/>
                <w:sz w:val="24"/>
                <w:szCs w:val="32"/>
                <w:lang w:val="en-US" w:eastAsia="zh-CN"/>
              </w:rPr>
              <w:t>1080</w:t>
            </w:r>
            <w:r>
              <w:rPr>
                <w:color w:val="000000"/>
                <w:sz w:val="24"/>
                <w:szCs w:val="32"/>
              </w:rPr>
              <w:t>t/d</w:t>
            </w:r>
            <w:r>
              <w:rPr>
                <w:rFonts w:hint="eastAsia"/>
                <w:color w:val="000000"/>
                <w:sz w:val="24"/>
                <w:szCs w:val="32"/>
              </w:rPr>
              <w:t>(</w:t>
            </w:r>
            <w:r>
              <w:rPr>
                <w:rFonts w:hint="eastAsia"/>
                <w:bCs/>
                <w:color w:val="000000"/>
                <w:sz w:val="24"/>
                <w:szCs w:val="28"/>
                <w:lang w:val="en-US" w:eastAsia="zh-CN"/>
              </w:rPr>
              <w:t>324000</w:t>
            </w:r>
            <w:r>
              <w:rPr>
                <w:bCs/>
                <w:color w:val="000000"/>
                <w:sz w:val="24"/>
                <w:szCs w:val="28"/>
              </w:rPr>
              <w:t>t/a</w:t>
            </w:r>
            <w:r>
              <w:rPr>
                <w:rFonts w:hint="eastAsia"/>
                <w:color w:val="000000"/>
                <w:sz w:val="24"/>
                <w:szCs w:val="32"/>
              </w:rPr>
              <w:t>)</w:t>
            </w:r>
            <w:r>
              <w:rPr>
                <w:color w:val="000000"/>
                <w:sz w:val="24"/>
                <w:szCs w:val="32"/>
              </w:rPr>
              <w:t>。</w:t>
            </w:r>
          </w:p>
          <w:p w14:paraId="730211DA">
            <w:pPr>
              <w:spacing w:line="480" w:lineRule="exact"/>
              <w:ind w:firstLine="470" w:firstLineChars="196"/>
              <w:rPr>
                <w:color w:val="000000"/>
                <w:sz w:val="24"/>
                <w:szCs w:val="32"/>
              </w:rPr>
            </w:pPr>
            <w:r>
              <w:rPr>
                <w:color w:val="000000"/>
                <w:sz w:val="24"/>
                <w:szCs w:val="32"/>
              </w:rPr>
              <w:t>⑤湿式电除尘器冲洗水</w:t>
            </w:r>
          </w:p>
          <w:p w14:paraId="62FBCD70">
            <w:pPr>
              <w:spacing w:line="480" w:lineRule="exact"/>
              <w:ind w:firstLine="470" w:firstLineChars="196"/>
              <w:rPr>
                <w:color w:val="000000"/>
                <w:sz w:val="24"/>
                <w:szCs w:val="32"/>
              </w:rPr>
            </w:pPr>
            <w:r>
              <w:rPr>
                <w:color w:val="000000"/>
                <w:sz w:val="24"/>
                <w:szCs w:val="32"/>
              </w:rPr>
              <w:t>湿式电除尘器定期冲洗粉尘需要一定的水量，根据</w:t>
            </w:r>
            <w:r>
              <w:rPr>
                <w:rFonts w:hint="eastAsia"/>
                <w:color w:val="000000"/>
                <w:sz w:val="24"/>
                <w:szCs w:val="32"/>
              </w:rPr>
              <w:t>建设单位提供</w:t>
            </w:r>
            <w:r>
              <w:rPr>
                <w:color w:val="000000"/>
                <w:sz w:val="24"/>
                <w:szCs w:val="32"/>
              </w:rPr>
              <w:t>数据，湿式电除尘器用水量为</w:t>
            </w:r>
            <w:r>
              <w:rPr>
                <w:rFonts w:hint="eastAsia"/>
                <w:color w:val="000000"/>
                <w:sz w:val="24"/>
                <w:szCs w:val="32"/>
              </w:rPr>
              <w:t>10</w:t>
            </w:r>
            <w:r>
              <w:rPr>
                <w:color w:val="000000"/>
                <w:sz w:val="24"/>
                <w:szCs w:val="32"/>
              </w:rPr>
              <w:t>m</w:t>
            </w:r>
            <w:r>
              <w:rPr>
                <w:color w:val="000000"/>
                <w:sz w:val="24"/>
                <w:szCs w:val="32"/>
                <w:vertAlign w:val="superscript"/>
              </w:rPr>
              <w:t>3</w:t>
            </w:r>
            <w:r>
              <w:rPr>
                <w:color w:val="000000"/>
                <w:sz w:val="24"/>
                <w:szCs w:val="32"/>
              </w:rPr>
              <w:t>/h，</w:t>
            </w:r>
            <w:r>
              <w:rPr>
                <w:rFonts w:hint="eastAsia"/>
                <w:color w:val="000000"/>
                <w:sz w:val="24"/>
                <w:szCs w:val="32"/>
              </w:rPr>
              <w:t>年冲洗3</w:t>
            </w:r>
            <w:r>
              <w:rPr>
                <w:color w:val="000000"/>
                <w:sz w:val="24"/>
                <w:szCs w:val="32"/>
              </w:rPr>
              <w:t>00h，则年用水量为</w:t>
            </w:r>
            <w:r>
              <w:rPr>
                <w:rFonts w:hint="eastAsia"/>
                <w:color w:val="000000"/>
                <w:sz w:val="24"/>
                <w:szCs w:val="32"/>
              </w:rPr>
              <w:t>3000</w:t>
            </w:r>
            <w:r>
              <w:rPr>
                <w:color w:val="000000"/>
                <w:sz w:val="24"/>
                <w:szCs w:val="32"/>
              </w:rPr>
              <w:t>m</w:t>
            </w:r>
            <w:r>
              <w:rPr>
                <w:color w:val="000000"/>
                <w:sz w:val="24"/>
                <w:szCs w:val="32"/>
                <w:vertAlign w:val="superscript"/>
              </w:rPr>
              <w:t>3</w:t>
            </w:r>
            <w:r>
              <w:rPr>
                <w:color w:val="000000"/>
                <w:sz w:val="24"/>
                <w:szCs w:val="32"/>
              </w:rPr>
              <w:t>。其中</w:t>
            </w:r>
            <w:r>
              <w:rPr>
                <w:rFonts w:hint="eastAsia"/>
                <w:color w:val="000000"/>
                <w:sz w:val="24"/>
                <w:szCs w:val="32"/>
              </w:rPr>
              <w:t>20%损耗，80%</w:t>
            </w:r>
            <w:r>
              <w:rPr>
                <w:color w:val="000000"/>
                <w:sz w:val="24"/>
                <w:szCs w:val="32"/>
              </w:rPr>
              <w:t>废水下流到沉淀池，循环使用不外排。</w:t>
            </w:r>
          </w:p>
          <w:p w14:paraId="1F01594A">
            <w:pPr>
              <w:spacing w:line="480" w:lineRule="exact"/>
              <w:ind w:firstLine="480" w:firstLineChars="200"/>
              <w:outlineLvl w:val="0"/>
              <w:rPr>
                <w:rFonts w:hint="eastAsia"/>
                <w:bCs/>
              </w:rPr>
            </w:pPr>
            <w:r>
              <w:rPr>
                <w:rFonts w:hint="eastAsia"/>
                <w:bCs/>
                <w:sz w:val="24"/>
                <w:szCs w:val="32"/>
              </w:rPr>
              <w:t>项目水平衡图详见下图</w:t>
            </w:r>
            <w:r>
              <w:rPr>
                <w:rFonts w:hint="eastAsia"/>
                <w:bCs/>
              </w:rPr>
              <w:t>。</w:t>
            </w:r>
          </w:p>
          <w:p w14:paraId="5A2E8C5D">
            <w:pPr>
              <w:pStyle w:val="62"/>
              <w:numPr>
                <w:ilvl w:val="0"/>
                <w:numId w:val="0"/>
              </w:numPr>
              <w:rPr>
                <w:rFonts w:hint="eastAsia"/>
                <w:lang w:val="en-US" w:eastAsia="zh-CN"/>
              </w:rPr>
            </w:pPr>
          </w:p>
          <w:p w14:paraId="15BEA7F7">
            <w:pPr>
              <w:pStyle w:val="62"/>
              <w:numPr>
                <w:ilvl w:val="0"/>
                <w:numId w:val="0"/>
              </w:numPr>
              <w:rPr>
                <w:rFonts w:hint="eastAsia"/>
                <w:lang w:val="en-US" w:eastAsia="zh-CN"/>
              </w:rPr>
            </w:pPr>
          </w:p>
          <w:p w14:paraId="31554CA4">
            <w:pPr>
              <w:pStyle w:val="62"/>
              <w:numPr>
                <w:ilvl w:val="0"/>
                <w:numId w:val="0"/>
              </w:numPr>
              <w:rPr>
                <w:rFonts w:hint="eastAsia"/>
                <w:lang w:val="en-US" w:eastAsia="zh-CN"/>
              </w:rPr>
            </w:pPr>
          </w:p>
          <w:p w14:paraId="5E00A097">
            <w:pPr>
              <w:pStyle w:val="62"/>
              <w:numPr>
                <w:ilvl w:val="0"/>
                <w:numId w:val="0"/>
              </w:numPr>
              <w:rPr>
                <w:rFonts w:hint="eastAsia"/>
                <w:lang w:val="en-US" w:eastAsia="zh-CN"/>
              </w:rPr>
            </w:pPr>
          </w:p>
          <w:p w14:paraId="3CDD58BE">
            <w:pPr>
              <w:pStyle w:val="62"/>
              <w:numPr>
                <w:ilvl w:val="0"/>
                <w:numId w:val="0"/>
              </w:numPr>
              <w:rPr>
                <w:rFonts w:hint="eastAsia"/>
                <w:lang w:val="en-US" w:eastAsia="zh-CN"/>
              </w:rPr>
            </w:pPr>
          </w:p>
          <w:p w14:paraId="2138A885">
            <w:pPr>
              <w:pStyle w:val="62"/>
              <w:numPr>
                <w:ilvl w:val="0"/>
                <w:numId w:val="0"/>
              </w:numPr>
              <w:rPr>
                <w:rFonts w:hint="eastAsia"/>
                <w:lang w:val="en-US" w:eastAsia="zh-CN"/>
              </w:rPr>
            </w:pPr>
          </w:p>
          <w:p w14:paraId="6304E2D2">
            <w:pPr>
              <w:pStyle w:val="62"/>
              <w:numPr>
                <w:ilvl w:val="0"/>
                <w:numId w:val="0"/>
              </w:numPr>
              <w:rPr>
                <w:rFonts w:hint="eastAsia"/>
                <w:lang w:val="en-US" w:eastAsia="zh-CN"/>
              </w:rPr>
            </w:pPr>
          </w:p>
          <w:p w14:paraId="176A5138">
            <w:pPr>
              <w:pStyle w:val="62"/>
              <w:numPr>
                <w:ilvl w:val="0"/>
                <w:numId w:val="0"/>
              </w:numPr>
              <w:rPr>
                <w:rFonts w:hint="eastAsia"/>
                <w:lang w:val="en-US" w:eastAsia="zh-CN"/>
              </w:rPr>
            </w:pPr>
          </w:p>
          <w:p w14:paraId="33A0F891">
            <w:pPr>
              <w:pStyle w:val="62"/>
              <w:numPr>
                <w:ilvl w:val="0"/>
                <w:numId w:val="0"/>
              </w:numPr>
              <w:rPr>
                <w:rFonts w:hint="eastAsia"/>
                <w:lang w:val="en-US" w:eastAsia="zh-CN"/>
              </w:rPr>
            </w:pPr>
          </w:p>
          <w:p w14:paraId="04B87A2B">
            <w:pPr>
              <w:pStyle w:val="62"/>
              <w:numPr>
                <w:ilvl w:val="0"/>
                <w:numId w:val="0"/>
              </w:numPr>
              <w:rPr>
                <w:rFonts w:hint="eastAsia"/>
                <w:lang w:val="en-US" w:eastAsia="zh-CN"/>
              </w:rPr>
            </w:pPr>
          </w:p>
          <w:p w14:paraId="1E0D6B19">
            <w:pPr>
              <w:pStyle w:val="62"/>
              <w:numPr>
                <w:ilvl w:val="0"/>
                <w:numId w:val="0"/>
              </w:numPr>
              <w:rPr>
                <w:rFonts w:hint="eastAsia" w:eastAsia="黑体"/>
                <w:lang w:val="en-US" w:eastAsia="zh-CN"/>
              </w:rPr>
            </w:pPr>
          </w:p>
          <w:p w14:paraId="0B5BBE15">
            <w:pPr>
              <w:spacing w:line="360" w:lineRule="auto"/>
              <w:outlineLvl w:val="0"/>
              <w:rPr>
                <w:rFonts w:hint="eastAsia"/>
                <w:bCs/>
              </w:rPr>
            </w:pPr>
            <w:r>
              <w:rPr>
                <w:bCs/>
              </w:rPr>
              <mc:AlternateContent>
                <mc:Choice Requires="wpc">
                  <w:drawing>
                    <wp:inline distT="0" distB="0" distL="114300" distR="114300">
                      <wp:extent cx="5326380" cy="5948680"/>
                      <wp:effectExtent l="0" t="0" r="0" b="0"/>
                      <wp:docPr id="47" name="画布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矩形 63"/>
                              <wps:cNvSpPr>
                                <a:spLocks noChangeArrowheads="1"/>
                              </wps:cNvSpPr>
                              <wps:spPr bwMode="auto">
                                <a:xfrm>
                                  <a:off x="-1261745" y="-970487"/>
                                  <a:ext cx="565321450" cy="292803861"/>
                                </a:xfrm>
                                <a:prstGeom prst="rect">
                                  <a:avLst/>
                                </a:prstGeom>
                                <a:noFill/>
                                <a:ln>
                                  <a:noFill/>
                                </a:ln>
                                <a:effectLst/>
                              </wps:spPr>
                              <wps:txbx>
                                <w:txbxContent>
                                  <w:p w14:paraId="66C53F5E">
                                    <w:pPr>
                                      <w:jc w:val="center"/>
                                      <w:rPr>
                                        <w:rFonts w:eastAsia="黑体"/>
                                        <w:sz w:val="18"/>
                                        <w:szCs w:val="18"/>
                                      </w:rPr>
                                    </w:pPr>
                                    <w:r>
                                      <w:rPr>
                                        <w:rFonts w:hAnsi="黑体" w:eastAsia="黑体"/>
                                        <w:sz w:val="18"/>
                                        <w:szCs w:val="18"/>
                                      </w:rPr>
                                      <w:t>水</w:t>
                                    </w:r>
                                    <w:r>
                                      <w:rPr>
                                        <w:rFonts w:hint="eastAsia" w:eastAsia="黑体"/>
                                        <w:sz w:val="18"/>
                                        <w:szCs w:val="18"/>
                                      </w:rPr>
                                      <w:t>56.042</w:t>
                                    </w:r>
                                  </w:p>
                                </w:txbxContent>
                              </wps:txbx>
                              <wps:bodyPr rot="0" vert="horz" wrap="square" lIns="91440" tIns="45720" rIns="91440" bIns="45720" anchor="ctr" anchorCtr="0" upright="1">
                                <a:noAutofit/>
                              </wps:bodyPr>
                            </wps:wsp>
                            <wps:wsp>
                              <wps:cNvPr id="2" name="AutoShape 2434"/>
                              <wps:cNvCnPr/>
                              <wps:spPr>
                                <a:xfrm>
                                  <a:off x="593090" y="332811"/>
                                  <a:ext cx="18415" cy="4802895"/>
                                </a:xfrm>
                                <a:prstGeom prst="straightConnector1">
                                  <a:avLst/>
                                </a:prstGeom>
                                <a:ln w="9525" cap="flat" cmpd="sng">
                                  <a:solidFill>
                                    <a:srgbClr val="000000"/>
                                  </a:solidFill>
                                  <a:prstDash val="solid"/>
                                  <a:headEnd type="none" w="med" len="med"/>
                                  <a:tailEnd type="none" w="med" len="med"/>
                                </a:ln>
                              </wps:spPr>
                              <wps:bodyPr wrap="square" upright="1"/>
                            </wps:wsp>
                            <wps:wsp>
                              <wps:cNvPr id="3" name="AutoShape 2824"/>
                              <wps:cNvCnPr/>
                              <wps:spPr>
                                <a:xfrm>
                                  <a:off x="605790" y="2778083"/>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4" name="Rectangle 2825"/>
                              <wps:cNvSpPr/>
                              <wps:spPr>
                                <a:xfrm>
                                  <a:off x="1122680" y="2638988"/>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D1DD3F">
                                    <w:pPr>
                                      <w:jc w:val="center"/>
                                      <w:rPr>
                                        <w:rFonts w:ascii="黑体" w:hAnsi="黑体" w:eastAsia="黑体"/>
                                        <w:sz w:val="18"/>
                                        <w:szCs w:val="18"/>
                                      </w:rPr>
                                    </w:pPr>
                                    <w:r>
                                      <w:rPr>
                                        <w:rFonts w:hint="eastAsia" w:ascii="黑体" w:hAnsi="黑体" w:eastAsia="黑体"/>
                                        <w:sz w:val="18"/>
                                        <w:szCs w:val="18"/>
                                      </w:rPr>
                                      <w:t>生产用水</w:t>
                                    </w:r>
                                  </w:p>
                                </w:txbxContent>
                              </wps:txbx>
                              <wps:bodyPr wrap="square" anchor="ctr" anchorCtr="0" upright="1">
                                <a:spAutoFit/>
                              </wps:bodyPr>
                            </wps:wsp>
                            <wps:wsp>
                              <wps:cNvPr id="5" name="AutoShape 2827"/>
                              <wps:cNvCnPr/>
                              <wps:spPr>
                                <a:xfrm>
                                  <a:off x="593090" y="1088622"/>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6" name="Rectangle 2828"/>
                              <wps:cNvSpPr/>
                              <wps:spPr>
                                <a:xfrm>
                                  <a:off x="1117600" y="931744"/>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4785C9">
                                    <w:pPr>
                                      <w:jc w:val="center"/>
                                      <w:rPr>
                                        <w:rFonts w:ascii="黑体" w:hAnsi="黑体" w:eastAsia="黑体"/>
                                        <w:sz w:val="18"/>
                                        <w:szCs w:val="18"/>
                                      </w:rPr>
                                    </w:pPr>
                                    <w:r>
                                      <w:rPr>
                                        <w:rFonts w:hint="eastAsia" w:ascii="黑体" w:hAnsi="黑体" w:eastAsia="黑体"/>
                                        <w:sz w:val="18"/>
                                        <w:szCs w:val="18"/>
                                      </w:rPr>
                                      <w:t>喷淋用水</w:t>
                                    </w:r>
                                  </w:p>
                                </w:txbxContent>
                              </wps:txbx>
                              <wps:bodyPr wrap="square" anchor="ctr" anchorCtr="0" upright="1">
                                <a:spAutoFit/>
                              </wps:bodyPr>
                            </wps:wsp>
                            <wps:wsp>
                              <wps:cNvPr id="7" name="Rectangle 2829"/>
                              <wps:cNvSpPr/>
                              <wps:spPr>
                                <a:xfrm>
                                  <a:off x="2529840" y="1693272"/>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45097D">
                                    <w:pPr>
                                      <w:jc w:val="center"/>
                                      <w:rPr>
                                        <w:rFonts w:ascii="黑体" w:hAnsi="黑体" w:eastAsia="黑体"/>
                                        <w:sz w:val="18"/>
                                        <w:szCs w:val="18"/>
                                      </w:rPr>
                                    </w:pPr>
                                    <w:r>
                                      <w:rPr>
                                        <w:rFonts w:hint="eastAsia" w:ascii="黑体" w:hAnsi="黑体" w:eastAsia="黑体"/>
                                        <w:sz w:val="18"/>
                                        <w:szCs w:val="18"/>
                                      </w:rPr>
                                      <w:t>沉淀池</w:t>
                                    </w:r>
                                  </w:p>
                                </w:txbxContent>
                              </wps:txbx>
                              <wps:bodyPr wrap="square" anchor="ctr" anchorCtr="0" upright="1">
                                <a:spAutoFit/>
                              </wps:bodyPr>
                            </wps:wsp>
                            <wps:wsp>
                              <wps:cNvPr id="8" name="Rectangle 2833"/>
                              <wps:cNvSpPr/>
                              <wps:spPr>
                                <a:xfrm>
                                  <a:off x="605790" y="2571029"/>
                                  <a:ext cx="516890" cy="308041"/>
                                </a:xfrm>
                                <a:prstGeom prst="rect">
                                  <a:avLst/>
                                </a:prstGeom>
                                <a:noFill/>
                                <a:ln>
                                  <a:noFill/>
                                </a:ln>
                              </wps:spPr>
                              <wps:txbx>
                                <w:txbxContent>
                                  <w:p w14:paraId="33DA8911">
                                    <w:pPr>
                                      <w:jc w:val="center"/>
                                      <w:rPr>
                                        <w:rFonts w:eastAsia="黑体"/>
                                        <w:sz w:val="18"/>
                                        <w:szCs w:val="18"/>
                                      </w:rPr>
                                    </w:pPr>
                                    <w:r>
                                      <w:rPr>
                                        <w:rFonts w:hint="eastAsia" w:eastAsia="黑体"/>
                                        <w:sz w:val="18"/>
                                        <w:szCs w:val="18"/>
                                      </w:rPr>
                                      <w:t>36.85</w:t>
                                    </w:r>
                                  </w:p>
                                </w:txbxContent>
                              </wps:txbx>
                              <wps:bodyPr wrap="square" anchor="ctr" anchorCtr="0" upright="1"/>
                            </wps:wsp>
                            <wps:wsp>
                              <wps:cNvPr id="9" name="Rectangle 2834"/>
                              <wps:cNvSpPr/>
                              <wps:spPr>
                                <a:xfrm>
                                  <a:off x="593090" y="888555"/>
                                  <a:ext cx="516890" cy="245797"/>
                                </a:xfrm>
                                <a:prstGeom prst="rect">
                                  <a:avLst/>
                                </a:prstGeom>
                                <a:noFill/>
                                <a:ln>
                                  <a:noFill/>
                                </a:ln>
                              </wps:spPr>
                              <wps:txbx>
                                <w:txbxContent>
                                  <w:p w14:paraId="242C06EF">
                                    <w:pPr>
                                      <w:jc w:val="center"/>
                                      <w:rPr>
                                        <w:rFonts w:eastAsia="黑体"/>
                                        <w:sz w:val="18"/>
                                        <w:szCs w:val="18"/>
                                      </w:rPr>
                                    </w:pPr>
                                    <w:r>
                                      <w:rPr>
                                        <w:rFonts w:hint="eastAsia" w:eastAsia="黑体"/>
                                        <w:sz w:val="18"/>
                                        <w:szCs w:val="18"/>
                                      </w:rPr>
                                      <w:t>0.64</w:t>
                                    </w:r>
                                  </w:p>
                                </w:txbxContent>
                              </wps:txbx>
                              <wps:bodyPr wrap="square" anchor="ctr" anchorCtr="0" upright="1"/>
                            </wps:wsp>
                            <wps:wsp>
                              <wps:cNvPr id="10" name="Freeform 7797"/>
                              <wps:cNvSpPr/>
                              <wps:spPr>
                                <a:xfrm rot="-155643">
                                  <a:off x="1451610" y="718973"/>
                                  <a:ext cx="316230" cy="203879"/>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1" name="Rectangle 2836"/>
                              <wps:cNvSpPr/>
                              <wps:spPr>
                                <a:xfrm>
                                  <a:off x="1513840" y="496676"/>
                                  <a:ext cx="516890" cy="308041"/>
                                </a:xfrm>
                                <a:prstGeom prst="rect">
                                  <a:avLst/>
                                </a:prstGeom>
                                <a:noFill/>
                                <a:ln>
                                  <a:noFill/>
                                </a:ln>
                              </wps:spPr>
                              <wps:txbx>
                                <w:txbxContent>
                                  <w:p w14:paraId="29A77BF4">
                                    <w:pPr>
                                      <w:jc w:val="center"/>
                                      <w:rPr>
                                        <w:rFonts w:eastAsia="黑体"/>
                                        <w:sz w:val="18"/>
                                        <w:szCs w:val="18"/>
                                      </w:rPr>
                                    </w:pPr>
                                    <w:r>
                                      <w:rPr>
                                        <w:rFonts w:hint="eastAsia" w:eastAsia="黑体"/>
                                        <w:sz w:val="18"/>
                                        <w:szCs w:val="18"/>
                                      </w:rPr>
                                      <w:t>0.64</w:t>
                                    </w:r>
                                  </w:p>
                                </w:txbxContent>
                              </wps:txbx>
                              <wps:bodyPr wrap="square" anchor="ctr" anchorCtr="0" upright="1"/>
                            </wps:wsp>
                            <wps:wsp>
                              <wps:cNvPr id="12" name="Rectangle 2825"/>
                              <wps:cNvSpPr/>
                              <wps:spPr>
                                <a:xfrm>
                                  <a:off x="1115060" y="1698353"/>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C50F75">
                                    <w:pPr>
                                      <w:jc w:val="center"/>
                                      <w:rPr>
                                        <w:rFonts w:ascii="黑体" w:hAnsi="黑体" w:eastAsia="黑体"/>
                                        <w:sz w:val="18"/>
                                        <w:szCs w:val="18"/>
                                      </w:rPr>
                                    </w:pPr>
                                    <w:r>
                                      <w:rPr>
                                        <w:rFonts w:hint="eastAsia" w:ascii="黑体" w:hAnsi="黑体" w:eastAsia="黑体"/>
                                        <w:sz w:val="18"/>
                                        <w:szCs w:val="18"/>
                                      </w:rPr>
                                      <w:t>车辆清洗废水</w:t>
                                    </w:r>
                                  </w:p>
                                </w:txbxContent>
                              </wps:txbx>
                              <wps:bodyPr wrap="square" anchor="ctr" anchorCtr="0" upright="1">
                                <a:spAutoFit/>
                              </wps:bodyPr>
                            </wps:wsp>
                            <wps:wsp>
                              <wps:cNvPr id="13" name="AutoShape 2827"/>
                              <wps:cNvCnPr/>
                              <wps:spPr>
                                <a:xfrm>
                                  <a:off x="593090" y="1845704"/>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4" name="Rectangle 2834"/>
                              <wps:cNvSpPr/>
                              <wps:spPr>
                                <a:xfrm>
                                  <a:off x="593090" y="1654528"/>
                                  <a:ext cx="516890" cy="245797"/>
                                </a:xfrm>
                                <a:prstGeom prst="rect">
                                  <a:avLst/>
                                </a:prstGeom>
                                <a:noFill/>
                                <a:ln>
                                  <a:noFill/>
                                </a:ln>
                              </wps:spPr>
                              <wps:txbx>
                                <w:txbxContent>
                                  <w:p w14:paraId="7999BB5B">
                                    <w:pPr>
                                      <w:jc w:val="center"/>
                                      <w:rPr>
                                        <w:rFonts w:hint="eastAsia" w:eastAsia="黑体"/>
                                        <w:sz w:val="18"/>
                                        <w:szCs w:val="18"/>
                                      </w:rPr>
                                    </w:pPr>
                                    <w:r>
                                      <w:rPr>
                                        <w:rFonts w:hint="eastAsia" w:eastAsia="黑体"/>
                                        <w:sz w:val="18"/>
                                        <w:szCs w:val="18"/>
                                      </w:rPr>
                                      <w:t>0.552</w:t>
                                    </w:r>
                                  </w:p>
                                </w:txbxContent>
                              </wps:txbx>
                              <wps:bodyPr wrap="square" anchor="ctr" anchorCtr="0" upright="1"/>
                            </wps:wsp>
                            <wps:wsp>
                              <wps:cNvPr id="15" name="Freeform 7797"/>
                              <wps:cNvSpPr/>
                              <wps:spPr>
                                <a:xfrm rot="-155643">
                                  <a:off x="1461770" y="1491298"/>
                                  <a:ext cx="316230" cy="203879"/>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6" name="Rectangle 2836"/>
                              <wps:cNvSpPr/>
                              <wps:spPr>
                                <a:xfrm>
                                  <a:off x="1524000" y="1269001"/>
                                  <a:ext cx="516890" cy="308041"/>
                                </a:xfrm>
                                <a:prstGeom prst="rect">
                                  <a:avLst/>
                                </a:prstGeom>
                                <a:noFill/>
                                <a:ln>
                                  <a:noFill/>
                                </a:ln>
                              </wps:spPr>
                              <wps:txbx>
                                <w:txbxContent>
                                  <w:p w14:paraId="3061BFC4">
                                    <w:pPr>
                                      <w:jc w:val="center"/>
                                      <w:rPr>
                                        <w:rFonts w:hint="eastAsia" w:eastAsia="黑体"/>
                                        <w:sz w:val="18"/>
                                        <w:szCs w:val="18"/>
                                      </w:rPr>
                                    </w:pPr>
                                    <w:r>
                                      <w:rPr>
                                        <w:rFonts w:hint="eastAsia" w:eastAsia="黑体"/>
                                        <w:sz w:val="18"/>
                                        <w:szCs w:val="18"/>
                                      </w:rPr>
                                      <w:t>0.552</w:t>
                                    </w:r>
                                  </w:p>
                                </w:txbxContent>
                              </wps:txbx>
                              <wps:bodyPr wrap="square" anchor="ctr" anchorCtr="0" upright="1"/>
                            </wps:wsp>
                            <wps:wsp>
                              <wps:cNvPr id="17" name="AutoShape 2827"/>
                              <wps:cNvCnPr/>
                              <wps:spPr>
                                <a:xfrm>
                                  <a:off x="2005965" y="1845069"/>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8" name="Rectangle 2834"/>
                              <wps:cNvSpPr/>
                              <wps:spPr>
                                <a:xfrm>
                                  <a:off x="2019300" y="1631028"/>
                                  <a:ext cx="516890" cy="245797"/>
                                </a:xfrm>
                                <a:prstGeom prst="rect">
                                  <a:avLst/>
                                </a:prstGeom>
                                <a:noFill/>
                                <a:ln>
                                  <a:noFill/>
                                </a:ln>
                              </wps:spPr>
                              <wps:txbx>
                                <w:txbxContent>
                                  <w:p w14:paraId="14D908DA">
                                    <w:pPr>
                                      <w:jc w:val="center"/>
                                      <w:rPr>
                                        <w:rFonts w:eastAsia="黑体"/>
                                        <w:sz w:val="18"/>
                                        <w:szCs w:val="18"/>
                                      </w:rPr>
                                    </w:pPr>
                                    <w:r>
                                      <w:rPr>
                                        <w:rFonts w:hint="eastAsia" w:eastAsia="黑体"/>
                                        <w:sz w:val="18"/>
                                        <w:szCs w:val="18"/>
                                      </w:rPr>
                                      <w:t>2.76</w:t>
                                    </w:r>
                                  </w:p>
                                </w:txbxContent>
                              </wps:txbx>
                              <wps:bodyPr wrap="square" anchor="ctr" anchorCtr="0" upright="1"/>
                            </wps:wsp>
                            <wps:wsp>
                              <wps:cNvPr id="19" name="Rectangle 2834"/>
                              <wps:cNvSpPr/>
                              <wps:spPr>
                                <a:xfrm>
                                  <a:off x="2030730" y="2031799"/>
                                  <a:ext cx="516890" cy="245797"/>
                                </a:xfrm>
                                <a:prstGeom prst="rect">
                                  <a:avLst/>
                                </a:prstGeom>
                                <a:noFill/>
                                <a:ln>
                                  <a:noFill/>
                                </a:ln>
                              </wps:spPr>
                              <wps:txbx>
                                <w:txbxContent>
                                  <w:p w14:paraId="622E8F9F">
                                    <w:pPr>
                                      <w:jc w:val="center"/>
                                      <w:rPr>
                                        <w:rFonts w:eastAsia="黑体"/>
                                        <w:sz w:val="18"/>
                                        <w:szCs w:val="18"/>
                                      </w:rPr>
                                    </w:pPr>
                                    <w:r>
                                      <w:rPr>
                                        <w:rFonts w:hint="eastAsia" w:eastAsia="黑体"/>
                                        <w:sz w:val="18"/>
                                        <w:szCs w:val="18"/>
                                      </w:rPr>
                                      <w:t>2.76</w:t>
                                    </w:r>
                                  </w:p>
                                </w:txbxContent>
                              </wps:txbx>
                              <wps:bodyPr wrap="square" anchor="ctr" anchorCtr="0" upright="1"/>
                            </wps:wsp>
                            <wps:wsp>
                              <wps:cNvPr id="20" name="Rectangle 2833"/>
                              <wps:cNvSpPr/>
                              <wps:spPr>
                                <a:xfrm>
                                  <a:off x="1988185" y="2576745"/>
                                  <a:ext cx="516890" cy="308041"/>
                                </a:xfrm>
                                <a:prstGeom prst="rect">
                                  <a:avLst/>
                                </a:prstGeom>
                                <a:noFill/>
                                <a:ln>
                                  <a:noFill/>
                                </a:ln>
                              </wps:spPr>
                              <wps:txbx>
                                <w:txbxContent>
                                  <w:p w14:paraId="6CBB04DD">
                                    <w:pPr>
                                      <w:jc w:val="center"/>
                                      <w:rPr>
                                        <w:rFonts w:eastAsia="黑体"/>
                                        <w:sz w:val="18"/>
                                        <w:szCs w:val="18"/>
                                      </w:rPr>
                                    </w:pPr>
                                    <w:r>
                                      <w:rPr>
                                        <w:rFonts w:hint="eastAsia" w:eastAsia="黑体"/>
                                        <w:sz w:val="18"/>
                                        <w:szCs w:val="18"/>
                                      </w:rPr>
                                      <w:t>40</w:t>
                                    </w:r>
                                  </w:p>
                                </w:txbxContent>
                              </wps:txbx>
                              <wps:bodyPr wrap="square" anchor="ctr" anchorCtr="0" upright="1"/>
                            </wps:wsp>
                            <wps:wsp>
                              <wps:cNvPr id="21" name="AutoShape 2824"/>
                              <wps:cNvCnPr/>
                              <wps:spPr>
                                <a:xfrm>
                                  <a:off x="2012950" y="2778718"/>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22" name="Rectangle 2825"/>
                              <wps:cNvSpPr/>
                              <wps:spPr>
                                <a:xfrm>
                                  <a:off x="2505075" y="2638988"/>
                                  <a:ext cx="890270" cy="239446"/>
                                </a:xfrm>
                                <a:prstGeom prst="rect">
                                  <a:avLst/>
                                </a:prstGeom>
                                <a:noFill/>
                                <a:ln>
                                  <a:noFill/>
                                </a:ln>
                              </wps:spPr>
                              <wps:txbx>
                                <w:txbxContent>
                                  <w:p w14:paraId="716E7AD8">
                                    <w:pPr>
                                      <w:jc w:val="center"/>
                                      <w:rPr>
                                        <w:rFonts w:ascii="黑体" w:hAnsi="黑体" w:eastAsia="黑体"/>
                                        <w:sz w:val="18"/>
                                        <w:szCs w:val="18"/>
                                      </w:rPr>
                                    </w:pPr>
                                    <w:r>
                                      <w:rPr>
                                        <w:rFonts w:hint="eastAsia" w:ascii="黑体" w:hAnsi="黑体" w:eastAsia="黑体"/>
                                        <w:sz w:val="18"/>
                                        <w:szCs w:val="18"/>
                                      </w:rPr>
                                      <w:t>带入产品</w:t>
                                    </w:r>
                                  </w:p>
                                </w:txbxContent>
                              </wps:txbx>
                              <wps:bodyPr wrap="square" anchor="ctr" anchorCtr="0" upright="1">
                                <a:spAutoFit/>
                              </wps:bodyPr>
                            </wps:wsp>
                            <wps:wsp>
                              <wps:cNvPr id="23" name="AutoShape 2824"/>
                              <wps:cNvCnPr/>
                              <wps:spPr>
                                <a:xfrm>
                                  <a:off x="608965" y="5138247"/>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24" name="Rectangle 2825"/>
                              <wps:cNvSpPr/>
                              <wps:spPr>
                                <a:xfrm>
                                  <a:off x="1115695" y="4968031"/>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1A8EA7">
                                    <w:pPr>
                                      <w:jc w:val="center"/>
                                      <w:rPr>
                                        <w:rFonts w:ascii="黑体" w:hAnsi="黑体" w:eastAsia="黑体"/>
                                        <w:sz w:val="18"/>
                                        <w:szCs w:val="18"/>
                                      </w:rPr>
                                    </w:pPr>
                                    <w:r>
                                      <w:rPr>
                                        <w:rFonts w:hint="eastAsia" w:ascii="黑体" w:hAnsi="黑体" w:eastAsia="黑体"/>
                                        <w:sz w:val="18"/>
                                        <w:szCs w:val="18"/>
                                      </w:rPr>
                                      <w:t>脱硫用水</w:t>
                                    </w:r>
                                  </w:p>
                                </w:txbxContent>
                              </wps:txbx>
                              <wps:bodyPr wrap="square" anchor="ctr" anchorCtr="0" upright="1">
                                <a:spAutoFit/>
                              </wps:bodyPr>
                            </wps:wsp>
                            <wps:wsp>
                              <wps:cNvPr id="25" name="Rectangle 2833"/>
                              <wps:cNvSpPr/>
                              <wps:spPr>
                                <a:xfrm>
                                  <a:off x="688340" y="4894355"/>
                                  <a:ext cx="427355" cy="308041"/>
                                </a:xfrm>
                                <a:prstGeom prst="rect">
                                  <a:avLst/>
                                </a:prstGeom>
                                <a:noFill/>
                                <a:ln>
                                  <a:noFill/>
                                </a:ln>
                              </wps:spPr>
                              <wps:txbx>
                                <w:txbxContent>
                                  <w:p w14:paraId="5C0FDEA7">
                                    <w:pPr>
                                      <w:jc w:val="center"/>
                                      <w:rPr>
                                        <w:rFonts w:hint="default" w:eastAsia="黑体"/>
                                        <w:sz w:val="18"/>
                                        <w:szCs w:val="18"/>
                                        <w:lang w:val="en-US" w:eastAsia="zh-CN"/>
                                      </w:rPr>
                                    </w:pPr>
                                    <w:r>
                                      <w:rPr>
                                        <w:rFonts w:hint="eastAsia" w:eastAsia="黑体"/>
                                        <w:sz w:val="18"/>
                                        <w:szCs w:val="18"/>
                                        <w:lang w:val="en-US" w:eastAsia="zh-CN"/>
                                      </w:rPr>
                                      <w:t>1080</w:t>
                                    </w:r>
                                  </w:p>
                                </w:txbxContent>
                              </wps:txbx>
                              <wps:bodyPr wrap="square" anchor="ctr" anchorCtr="0" upright="1"/>
                            </wps:wsp>
                            <wps:wsp>
                              <wps:cNvPr id="26" name="Freeform 7797"/>
                              <wps:cNvSpPr/>
                              <wps:spPr>
                                <a:xfrm rot="-155643">
                                  <a:off x="1451610" y="4743193"/>
                                  <a:ext cx="316230" cy="203879"/>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27" name="Rectangle 2836"/>
                              <wps:cNvSpPr/>
                              <wps:spPr>
                                <a:xfrm>
                                  <a:off x="1513840" y="4503111"/>
                                  <a:ext cx="516890" cy="308041"/>
                                </a:xfrm>
                                <a:prstGeom prst="rect">
                                  <a:avLst/>
                                </a:prstGeom>
                                <a:noFill/>
                                <a:ln>
                                  <a:noFill/>
                                </a:ln>
                              </wps:spPr>
                              <wps:txbx>
                                <w:txbxContent>
                                  <w:p w14:paraId="22634B97">
                                    <w:pPr>
                                      <w:jc w:val="center"/>
                                      <w:rPr>
                                        <w:rFonts w:hint="default" w:eastAsia="黑体"/>
                                        <w:sz w:val="18"/>
                                        <w:szCs w:val="18"/>
                                        <w:lang w:val="en-US" w:eastAsia="zh-CN"/>
                                      </w:rPr>
                                    </w:pPr>
                                    <w:r>
                                      <w:rPr>
                                        <w:rFonts w:hint="eastAsia" w:eastAsia="黑体"/>
                                        <w:sz w:val="18"/>
                                        <w:szCs w:val="18"/>
                                        <w:lang w:val="en-US" w:eastAsia="zh-CN"/>
                                      </w:rPr>
                                      <w:t>1080</w:t>
                                    </w:r>
                                  </w:p>
                                </w:txbxContent>
                              </wps:txbx>
                              <wps:bodyPr wrap="square" anchor="ctr" anchorCtr="0" upright="1"/>
                            </wps:wsp>
                            <wps:wsp>
                              <wps:cNvPr id="28" name="AutoShape 2824"/>
                              <wps:cNvCnPr/>
                              <wps:spPr>
                                <a:xfrm>
                                  <a:off x="608965" y="4137908"/>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29" name="Rectangle 2825"/>
                              <wps:cNvSpPr/>
                              <wps:spPr>
                                <a:xfrm>
                                  <a:off x="1125855" y="3981030"/>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CF7C47">
                                    <w:pPr>
                                      <w:jc w:val="center"/>
                                      <w:rPr>
                                        <w:rFonts w:ascii="黑体" w:hAnsi="黑体" w:eastAsia="黑体"/>
                                        <w:sz w:val="18"/>
                                        <w:szCs w:val="18"/>
                                      </w:rPr>
                                    </w:pPr>
                                    <w:r>
                                      <w:rPr>
                                        <w:rFonts w:hint="eastAsia" w:ascii="黑体" w:hAnsi="黑体" w:eastAsia="黑体"/>
                                        <w:sz w:val="18"/>
                                        <w:szCs w:val="18"/>
                                      </w:rPr>
                                      <w:t>湿电除尘用水</w:t>
                                    </w:r>
                                  </w:p>
                                </w:txbxContent>
                              </wps:txbx>
                              <wps:bodyPr wrap="square" anchor="ctr" anchorCtr="0" upright="1">
                                <a:spAutoFit/>
                              </wps:bodyPr>
                            </wps:wsp>
                            <wps:wsp>
                              <wps:cNvPr id="30" name="Rectangle 2833"/>
                              <wps:cNvSpPr/>
                              <wps:spPr>
                                <a:xfrm>
                                  <a:off x="608965" y="3916246"/>
                                  <a:ext cx="516890" cy="308041"/>
                                </a:xfrm>
                                <a:prstGeom prst="rect">
                                  <a:avLst/>
                                </a:prstGeom>
                                <a:noFill/>
                                <a:ln>
                                  <a:noFill/>
                                </a:ln>
                              </wps:spPr>
                              <wps:txbx>
                                <w:txbxContent>
                                  <w:p w14:paraId="2251F77B">
                                    <w:pPr>
                                      <w:jc w:val="center"/>
                                      <w:rPr>
                                        <w:rFonts w:hint="eastAsia" w:eastAsia="黑体"/>
                                        <w:sz w:val="18"/>
                                        <w:szCs w:val="18"/>
                                        <w:lang w:val="en-US" w:eastAsia="zh-CN"/>
                                      </w:rPr>
                                    </w:pPr>
                                    <w:r>
                                      <w:rPr>
                                        <w:rFonts w:hint="eastAsia" w:eastAsia="黑体"/>
                                        <w:sz w:val="18"/>
                                        <w:szCs w:val="18"/>
                                        <w:lang w:val="en-US" w:eastAsia="zh-CN"/>
                                      </w:rPr>
                                      <w:t>2</w:t>
                                    </w:r>
                                  </w:p>
                                </w:txbxContent>
                              </wps:txbx>
                              <wps:bodyPr wrap="square" anchor="ctr" anchorCtr="0" upright="1"/>
                            </wps:wsp>
                            <wps:wsp>
                              <wps:cNvPr id="31" name="AutoShape 2824"/>
                              <wps:cNvCnPr/>
                              <wps:spPr>
                                <a:xfrm>
                                  <a:off x="2005330" y="5138882"/>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32" name="Rectangle 2825"/>
                              <wps:cNvSpPr/>
                              <wps:spPr>
                                <a:xfrm>
                                  <a:off x="2505075" y="4968031"/>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99855">
                                    <w:pPr>
                                      <w:jc w:val="center"/>
                                      <w:rPr>
                                        <w:rFonts w:ascii="黑体" w:hAnsi="黑体" w:eastAsia="黑体"/>
                                        <w:sz w:val="18"/>
                                        <w:szCs w:val="18"/>
                                      </w:rPr>
                                    </w:pPr>
                                    <w:r>
                                      <w:rPr>
                                        <w:rFonts w:hint="eastAsia" w:ascii="黑体" w:hAnsi="黑体" w:eastAsia="黑体"/>
                                        <w:sz w:val="18"/>
                                        <w:szCs w:val="18"/>
                                      </w:rPr>
                                      <w:t>沉淀池</w:t>
                                    </w:r>
                                  </w:p>
                                </w:txbxContent>
                              </wps:txbx>
                              <wps:bodyPr wrap="square" anchor="ctr" anchorCtr="0" upright="1">
                                <a:spAutoFit/>
                              </wps:bodyPr>
                            </wps:wsp>
                            <wps:wsp>
                              <wps:cNvPr id="33" name="Rectangle 2833"/>
                              <wps:cNvSpPr/>
                              <wps:spPr>
                                <a:xfrm>
                                  <a:off x="1979295" y="5259705"/>
                                  <a:ext cx="646430" cy="307975"/>
                                </a:xfrm>
                                <a:prstGeom prst="rect">
                                  <a:avLst/>
                                </a:prstGeom>
                                <a:noFill/>
                                <a:ln>
                                  <a:noFill/>
                                </a:ln>
                              </wps:spPr>
                              <wps:txbx>
                                <w:txbxContent>
                                  <w:p w14:paraId="67A6B193">
                                    <w:pPr>
                                      <w:jc w:val="center"/>
                                      <w:rPr>
                                        <w:rFonts w:hint="default" w:eastAsia="黑体"/>
                                        <w:sz w:val="18"/>
                                        <w:szCs w:val="18"/>
                                        <w:lang w:val="en-US" w:eastAsia="zh-CN"/>
                                      </w:rPr>
                                    </w:pPr>
                                    <w:r>
                                      <w:rPr>
                                        <w:rFonts w:hint="eastAsia" w:eastAsia="黑体"/>
                                        <w:sz w:val="18"/>
                                        <w:szCs w:val="18"/>
                                        <w:lang w:val="en-US" w:eastAsia="zh-CN"/>
                                      </w:rPr>
                                      <w:t>108000</w:t>
                                    </w:r>
                                  </w:p>
                                </w:txbxContent>
                              </wps:txbx>
                              <wps:bodyPr wrap="square" anchor="ctr" anchorCtr="0" upright="1"/>
                            </wps:wsp>
                            <wps:wsp>
                              <wps:cNvPr id="34" name="Rectangle 2833"/>
                              <wps:cNvSpPr/>
                              <wps:spPr>
                                <a:xfrm>
                                  <a:off x="1988185" y="3916246"/>
                                  <a:ext cx="516890" cy="308041"/>
                                </a:xfrm>
                                <a:prstGeom prst="rect">
                                  <a:avLst/>
                                </a:prstGeom>
                                <a:noFill/>
                                <a:ln>
                                  <a:noFill/>
                                </a:ln>
                              </wps:spPr>
                              <wps:txbx>
                                <w:txbxContent>
                                  <w:p w14:paraId="4EACD48D">
                                    <w:pPr>
                                      <w:jc w:val="center"/>
                                      <w:rPr>
                                        <w:rFonts w:hint="default" w:eastAsia="黑体"/>
                                        <w:sz w:val="18"/>
                                        <w:szCs w:val="18"/>
                                        <w:lang w:val="en-US" w:eastAsia="zh-CN"/>
                                      </w:rPr>
                                    </w:pPr>
                                    <w:r>
                                      <w:rPr>
                                        <w:rFonts w:hint="eastAsia" w:eastAsia="黑体"/>
                                        <w:sz w:val="18"/>
                                        <w:szCs w:val="18"/>
                                        <w:lang w:val="en-US" w:eastAsia="zh-CN"/>
                                      </w:rPr>
                                      <w:t>10</w:t>
                                    </w:r>
                                  </w:p>
                                </w:txbxContent>
                              </wps:txbx>
                              <wps:bodyPr wrap="square" anchor="ctr" anchorCtr="0" upright="1"/>
                            </wps:wsp>
                            <wps:wsp>
                              <wps:cNvPr id="35" name="Rectangle 2833"/>
                              <wps:cNvSpPr/>
                              <wps:spPr>
                                <a:xfrm>
                                  <a:off x="1988185" y="4894580"/>
                                  <a:ext cx="568960" cy="307975"/>
                                </a:xfrm>
                                <a:prstGeom prst="rect">
                                  <a:avLst/>
                                </a:prstGeom>
                                <a:noFill/>
                                <a:ln>
                                  <a:noFill/>
                                </a:ln>
                              </wps:spPr>
                              <wps:txbx>
                                <w:txbxContent>
                                  <w:p w14:paraId="56FC64AA">
                                    <w:pPr>
                                      <w:jc w:val="center"/>
                                      <w:rPr>
                                        <w:rFonts w:hint="default" w:eastAsia="黑体"/>
                                        <w:sz w:val="18"/>
                                        <w:szCs w:val="18"/>
                                        <w:lang w:val="en-US" w:eastAsia="zh-CN"/>
                                      </w:rPr>
                                    </w:pPr>
                                    <w:r>
                                      <w:rPr>
                                        <w:rFonts w:hint="eastAsia" w:eastAsia="黑体"/>
                                        <w:sz w:val="18"/>
                                        <w:szCs w:val="18"/>
                                        <w:lang w:val="en-US" w:eastAsia="zh-CN"/>
                                      </w:rPr>
                                      <w:t>108000</w:t>
                                    </w:r>
                                  </w:p>
                                </w:txbxContent>
                              </wps:txbx>
                              <wps:bodyPr wrap="square" anchor="ctr" anchorCtr="0" upright="1"/>
                            </wps:wsp>
                            <wps:wsp>
                              <wps:cNvPr id="36" name="Freeform 7797"/>
                              <wps:cNvSpPr/>
                              <wps:spPr>
                                <a:xfrm rot="-155643">
                                  <a:off x="1513840" y="3756192"/>
                                  <a:ext cx="316230" cy="203879"/>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37" name="Rectangle 2836"/>
                              <wps:cNvSpPr/>
                              <wps:spPr>
                                <a:xfrm>
                                  <a:off x="1569720" y="3516111"/>
                                  <a:ext cx="516890" cy="308041"/>
                                </a:xfrm>
                                <a:prstGeom prst="rect">
                                  <a:avLst/>
                                </a:prstGeom>
                                <a:noFill/>
                                <a:ln>
                                  <a:noFill/>
                                </a:ln>
                              </wps:spPr>
                              <wps:txbx>
                                <w:txbxContent>
                                  <w:p w14:paraId="33A061AA">
                                    <w:pPr>
                                      <w:jc w:val="center"/>
                                      <w:rPr>
                                        <w:rFonts w:hint="eastAsia" w:eastAsia="黑体"/>
                                        <w:sz w:val="18"/>
                                        <w:szCs w:val="18"/>
                                        <w:lang w:val="en-US" w:eastAsia="zh-CN"/>
                                      </w:rPr>
                                    </w:pPr>
                                    <w:r>
                                      <w:rPr>
                                        <w:rFonts w:hint="eastAsia" w:eastAsia="黑体"/>
                                        <w:sz w:val="18"/>
                                        <w:szCs w:val="18"/>
                                        <w:lang w:val="en-US" w:eastAsia="zh-CN"/>
                                      </w:rPr>
                                      <w:t>2</w:t>
                                    </w:r>
                                  </w:p>
                                </w:txbxContent>
                              </wps:txbx>
                              <wps:bodyPr wrap="square" anchor="ctr" anchorCtr="0" upright="1"/>
                            </wps:wsp>
                            <wps:wsp>
                              <wps:cNvPr id="38" name="Rectangle 2825"/>
                              <wps:cNvSpPr/>
                              <wps:spPr>
                                <a:xfrm>
                                  <a:off x="2529840" y="3981030"/>
                                  <a:ext cx="890270" cy="2496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C3CE6A">
                                    <w:pPr>
                                      <w:jc w:val="center"/>
                                      <w:rPr>
                                        <w:rFonts w:ascii="黑体" w:hAnsi="黑体" w:eastAsia="黑体"/>
                                        <w:sz w:val="18"/>
                                        <w:szCs w:val="18"/>
                                      </w:rPr>
                                    </w:pPr>
                                    <w:r>
                                      <w:rPr>
                                        <w:rFonts w:hint="eastAsia" w:ascii="黑体" w:hAnsi="黑体" w:eastAsia="黑体"/>
                                        <w:sz w:val="18"/>
                                        <w:szCs w:val="18"/>
                                      </w:rPr>
                                      <w:t>沉淀池</w:t>
                                    </w:r>
                                  </w:p>
                                </w:txbxContent>
                              </wps:txbx>
                              <wps:bodyPr wrap="square" anchor="ctr" anchorCtr="0" upright="1">
                                <a:spAutoFit/>
                              </wps:bodyPr>
                            </wps:wsp>
                            <wps:wsp>
                              <wps:cNvPr id="39" name="Rectangle 2833"/>
                              <wps:cNvSpPr/>
                              <wps:spPr>
                                <a:xfrm>
                                  <a:off x="1971040" y="4252595"/>
                                  <a:ext cx="516890" cy="308610"/>
                                </a:xfrm>
                                <a:prstGeom prst="rect">
                                  <a:avLst/>
                                </a:prstGeom>
                                <a:noFill/>
                                <a:ln>
                                  <a:noFill/>
                                </a:ln>
                              </wps:spPr>
                              <wps:txbx>
                                <w:txbxContent>
                                  <w:p w14:paraId="0E93ABA7">
                                    <w:pPr>
                                      <w:jc w:val="center"/>
                                      <w:rPr>
                                        <w:rFonts w:hint="default" w:eastAsia="黑体"/>
                                        <w:sz w:val="18"/>
                                        <w:szCs w:val="18"/>
                                        <w:lang w:val="en-US" w:eastAsia="zh-CN"/>
                                      </w:rPr>
                                    </w:pPr>
                                    <w:r>
                                      <w:rPr>
                                        <w:rFonts w:hint="eastAsia" w:eastAsia="黑体"/>
                                        <w:sz w:val="18"/>
                                        <w:szCs w:val="18"/>
                                        <w:lang w:val="en-US" w:eastAsia="zh-CN"/>
                                      </w:rPr>
                                      <w:t>10</w:t>
                                    </w:r>
                                  </w:p>
                                </w:txbxContent>
                              </wps:txbx>
                              <wps:bodyPr wrap="square" anchor="ctr" anchorCtr="0" upright="1"/>
                            </wps:wsp>
                            <wps:wsp>
                              <wps:cNvPr id="40" name="AutoShape 2824"/>
                              <wps:cNvCnPr/>
                              <wps:spPr>
                                <a:xfrm>
                                  <a:off x="2020570" y="4137273"/>
                                  <a:ext cx="5168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41" name="自选图形 103"/>
                              <wps:cNvCnPr/>
                              <wps:spPr>
                                <a:xfrm rot="5400000">
                                  <a:off x="2265045" y="1287420"/>
                                  <a:ext cx="5080" cy="1415082"/>
                                </a:xfrm>
                                <a:prstGeom prst="bentConnector3">
                                  <a:avLst>
                                    <a:gd name="adj1" fmla="val 4587500"/>
                                  </a:avLst>
                                </a:prstGeom>
                                <a:ln w="9525" cap="flat" cmpd="sng">
                                  <a:solidFill>
                                    <a:srgbClr val="000000"/>
                                  </a:solidFill>
                                  <a:prstDash val="solid"/>
                                  <a:miter/>
                                  <a:headEnd type="none" w="med" len="med"/>
                                  <a:tailEnd type="triangle" w="sm" len="med"/>
                                </a:ln>
                              </wps:spPr>
                              <wps:bodyPr wrap="square" upright="1"/>
                            </wps:wsp>
                            <wps:wsp>
                              <wps:cNvPr id="42" name="自选图形 104"/>
                              <wps:cNvCnPr/>
                              <wps:spPr>
                                <a:xfrm rot="5400000">
                                  <a:off x="2251075" y="3556759"/>
                                  <a:ext cx="635" cy="1404285"/>
                                </a:xfrm>
                                <a:prstGeom prst="bentConnector3">
                                  <a:avLst>
                                    <a:gd name="adj1" fmla="val 35900000"/>
                                  </a:avLst>
                                </a:prstGeom>
                                <a:ln w="9525" cap="flat" cmpd="sng">
                                  <a:solidFill>
                                    <a:srgbClr val="000000"/>
                                  </a:solidFill>
                                  <a:prstDash val="solid"/>
                                  <a:miter/>
                                  <a:headEnd type="none" w="med" len="med"/>
                                  <a:tailEnd type="triangle" w="sm" len="med"/>
                                </a:ln>
                              </wps:spPr>
                              <wps:bodyPr wrap="square" upright="1"/>
                            </wps:wsp>
                            <wps:wsp>
                              <wps:cNvPr id="43" name="自选图形 105"/>
                              <wps:cNvCnPr/>
                              <wps:spPr>
                                <a:xfrm rot="5400000">
                                  <a:off x="2259965" y="4552017"/>
                                  <a:ext cx="635" cy="1389677"/>
                                </a:xfrm>
                                <a:prstGeom prst="bentConnector3">
                                  <a:avLst>
                                    <a:gd name="adj1" fmla="val 35900000"/>
                                  </a:avLst>
                                </a:prstGeom>
                                <a:ln w="9525" cap="flat" cmpd="sng">
                                  <a:solidFill>
                                    <a:srgbClr val="000000"/>
                                  </a:solidFill>
                                  <a:prstDash val="solid"/>
                                  <a:miter/>
                                  <a:headEnd type="none" w="med" len="med"/>
                                  <a:tailEnd type="triangle" w="sm" len="med"/>
                                </a:ln>
                              </wps:spPr>
                              <wps:bodyPr wrap="square" upright="1"/>
                            </wps:wsp>
                            <wps:wsp>
                              <wps:cNvPr id="44" name="Rectangle 2825"/>
                              <wps:cNvSpPr/>
                              <wps:spPr>
                                <a:xfrm>
                                  <a:off x="1097915" y="3261421"/>
                                  <a:ext cx="890270" cy="239446"/>
                                </a:xfrm>
                                <a:prstGeom prst="rect">
                                  <a:avLst/>
                                </a:prstGeom>
                                <a:noFill/>
                                <a:ln>
                                  <a:noFill/>
                                </a:ln>
                              </wps:spPr>
                              <wps:txbx>
                                <w:txbxContent>
                                  <w:p w14:paraId="5ECD77B4">
                                    <w:pPr>
                                      <w:jc w:val="center"/>
                                      <w:rPr>
                                        <w:rFonts w:ascii="黑体" w:hAnsi="黑体" w:eastAsia="黑体"/>
                                        <w:sz w:val="18"/>
                                        <w:szCs w:val="18"/>
                                      </w:rPr>
                                    </w:pPr>
                                    <w:r>
                                      <w:rPr>
                                        <w:rFonts w:hint="eastAsia" w:ascii="黑体" w:hAnsi="黑体" w:eastAsia="黑体"/>
                                        <w:sz w:val="18"/>
                                        <w:szCs w:val="18"/>
                                      </w:rPr>
                                      <w:t>初期雨水</w:t>
                                    </w:r>
                                  </w:p>
                                </w:txbxContent>
                              </wps:txbx>
                              <wps:bodyPr wrap="square" anchor="ctr" anchorCtr="0" upright="1">
                                <a:spAutoFit/>
                              </wps:bodyPr>
                            </wps:wsp>
                            <wps:wsp>
                              <wps:cNvPr id="45" name="自选图形 107"/>
                              <wps:cNvCnPr/>
                              <wps:spPr>
                                <a:xfrm flipV="1">
                                  <a:off x="1551940" y="2938137"/>
                                  <a:ext cx="635" cy="323284"/>
                                </a:xfrm>
                                <a:prstGeom prst="straightConnector1">
                                  <a:avLst/>
                                </a:prstGeom>
                                <a:ln w="9525" cap="flat" cmpd="sng">
                                  <a:solidFill>
                                    <a:srgbClr val="000000"/>
                                  </a:solidFill>
                                  <a:prstDash val="solid"/>
                                  <a:headEnd type="none" w="med" len="med"/>
                                  <a:tailEnd type="triangle" w="sm" len="med"/>
                                </a:ln>
                              </wps:spPr>
                              <wps:bodyPr wrap="square" upright="1"/>
                            </wps:wsp>
                            <wps:wsp>
                              <wps:cNvPr id="46" name="Rectangle 2833"/>
                              <wps:cNvSpPr/>
                              <wps:spPr>
                                <a:xfrm>
                                  <a:off x="1443990" y="2962272"/>
                                  <a:ext cx="516890" cy="308041"/>
                                </a:xfrm>
                                <a:prstGeom prst="rect">
                                  <a:avLst/>
                                </a:prstGeom>
                                <a:noFill/>
                                <a:ln>
                                  <a:noFill/>
                                </a:ln>
                              </wps:spPr>
                              <wps:txbx>
                                <w:txbxContent>
                                  <w:p w14:paraId="7938D8FC">
                                    <w:pPr>
                                      <w:jc w:val="center"/>
                                      <w:rPr>
                                        <w:rFonts w:eastAsia="黑体"/>
                                        <w:sz w:val="18"/>
                                        <w:szCs w:val="18"/>
                                      </w:rPr>
                                    </w:pPr>
                                    <w:r>
                                      <w:rPr>
                                        <w:rFonts w:hint="eastAsia" w:eastAsia="黑体"/>
                                        <w:sz w:val="18"/>
                                        <w:szCs w:val="18"/>
                                      </w:rPr>
                                      <w:t>3.15</w:t>
                                    </w:r>
                                  </w:p>
                                </w:txbxContent>
                              </wps:txbx>
                              <wps:bodyPr wrap="square" anchor="ctr" anchorCtr="0" upright="1"/>
                            </wps:wsp>
                          </wpc:wpc>
                        </a:graphicData>
                      </a:graphic>
                    </wp:inline>
                  </w:drawing>
                </mc:Choice>
                <mc:Fallback>
                  <w:pict>
                    <v:group id="画布 61" o:spid="_x0000_s1026" o:spt="203" style="height:468.4pt;width:419.4pt;" coordsize="5326380,5948680" editas="canvas" o:gfxdata="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">
                      <o:lock v:ext="edit" aspectratio="f"/>
                      <v:shape id="画布 61" o:spid="_x0000_s1026" style="position:absolute;left:0;top:0;height:5948680;width:5326380;" filled="f" stroked="f" coordsize="21600,21600" o:gfxdata="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">
                        <v:fill on="f" focussize="0,0"/>
                        <v:stroke on="f"/>
                        <v:imagedata o:title=""/>
                        <o:lock v:ext="edit" aspectratio="t"/>
                      </v:shape>
                      <v:rect id="矩形 63" o:spid="_x0000_s1026" o:spt="1" style="position:absolute;left:-1261745;top:-970487;height:292803861;width:56532145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kW7C60QAA&#10;AAUBAAAPAAAAAAAAAAEAIAAAACIAAABkcnMvZG93bnJldi54bWxQSwECFAAUAAAACACHTuJAt0Dz&#10;pCUCAAArBAAADgAAAAAAAAABACAAAAAgAQAAZHJzL2Uyb0RvYy54bWxQSwUGAAAAAAYABgBZAQAA&#10;twUAAAAA&#10;">
                        <v:fill on="f" focussize="0,0"/>
                        <v:stroke on="f"/>
                        <v:imagedata o:title=""/>
                        <o:lock v:ext="edit" aspectratio="f"/>
                        <v:textbox>
                          <w:txbxContent>
                            <w:p w14:paraId="66C53F5E">
                              <w:pPr>
                                <w:jc w:val="center"/>
                                <w:rPr>
                                  <w:rFonts w:eastAsia="黑体"/>
                                  <w:sz w:val="18"/>
                                  <w:szCs w:val="18"/>
                                </w:rPr>
                              </w:pPr>
                              <w:r>
                                <w:rPr>
                                  <w:rFonts w:hAnsi="黑体" w:eastAsia="黑体"/>
                                  <w:sz w:val="18"/>
                                  <w:szCs w:val="18"/>
                                </w:rPr>
                                <w:t>水</w:t>
                              </w:r>
                              <w:r>
                                <w:rPr>
                                  <w:rFonts w:hint="eastAsia" w:eastAsia="黑体"/>
                                  <w:sz w:val="18"/>
                                  <w:szCs w:val="18"/>
                                </w:rPr>
                                <w:t>56.042</w:t>
                              </w:r>
                            </w:p>
                          </w:txbxContent>
                        </v:textbox>
                      </v:rect>
                      <v:shape id="AutoShape 2434" o:spid="_x0000_s1026" o:spt="32" type="#_x0000_t32" style="position:absolute;left:593090;top:332811;height:4802895;width:18415;" filled="f" stroked="t" coordsize="21600,21600" o:gfxdata="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wxEeNUAAAAFAQAADwAAAAAAAAABACAAAAAiAAAAZHJzL2Rvd25y&#10;ZXYueG1sUEsBAhQAFAAAAAgAh07iQH19PTwBAgAACwQAAA4AAAAAAAAAAQAgAAAAJAEAAGRycy9l&#10;Mm9Eb2MueG1sUEsFBgAAAAAGAAYAWQEAAJcFAAAAAA==&#10;">
                        <v:fill on="f" focussize="0,0"/>
                        <v:stroke color="#000000" joinstyle="round"/>
                        <v:imagedata o:title=""/>
                        <o:lock v:ext="edit" aspectratio="f"/>
                      </v:shape>
                      <v:shape id="AutoShape 2824" o:spid="_x0000_s1026" o:spt="32" type="#_x0000_t32" style="position:absolute;left:605790;top:2778083;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mUZF9YAAAAFAQAADwAAAAAAAAABACAAAAAiAAAA&#10;ZHJzL2Rvd25yZXYueG1sUEsBAhQAFAAAAAgAh07iQJtI/wMJAgAADAQAAA4AAAAAAAAAAQAgAAAA&#10;JQEAAGRycy9lMm9Eb2MueG1sUEsFBgAAAAAGAAYAWQEAAKAFAAAAAA==&#10;">
                        <v:fill on="f" focussize="0,0"/>
                        <v:stroke color="#000000" joinstyle="round" endarrow="block" endarrowwidth="narrow"/>
                        <v:imagedata o:title=""/>
                        <o:lock v:ext="edit" aspectratio="f"/>
                      </v:shape>
                      <v:rect id="Rectangle 2825" o:spid="_x0000_s1026" o:spt="1" style="position:absolute;left:1122680;top:2638988;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JIx7zWAAAABQEAAA8AAAAAAAAAAQAgAAAAIgAAAGRycy9kb3ducmV2LnhtbFBLAQIUABQAAAAI&#10;AIdO4kA5jOL0KAIAAH0EAAAOAAAAAAAAAAEAIAAAACUBAABkcnMvZTJvRG9jLnhtbFBLBQYAAAAA&#10;BgAGAFkBAAC/BQAAAAA=&#10;">
                        <v:fill on="t" focussize="0,0"/>
                        <v:stroke color="#000000" joinstyle="miter"/>
                        <v:imagedata o:title=""/>
                        <o:lock v:ext="edit" aspectratio="f"/>
                        <v:textbox style="mso-fit-shape-to-text:t;">
                          <w:txbxContent>
                            <w:p w14:paraId="08D1DD3F">
                              <w:pPr>
                                <w:jc w:val="center"/>
                                <w:rPr>
                                  <w:rFonts w:ascii="黑体" w:hAnsi="黑体" w:eastAsia="黑体"/>
                                  <w:sz w:val="18"/>
                                  <w:szCs w:val="18"/>
                                </w:rPr>
                              </w:pPr>
                              <w:r>
                                <w:rPr>
                                  <w:rFonts w:hint="eastAsia" w:ascii="黑体" w:hAnsi="黑体" w:eastAsia="黑体"/>
                                  <w:sz w:val="18"/>
                                  <w:szCs w:val="18"/>
                                </w:rPr>
                                <w:t>生产用水</w:t>
                              </w:r>
                            </w:p>
                          </w:txbxContent>
                        </v:textbox>
                      </v:rect>
                      <v:shape id="AutoShape 2827" o:spid="_x0000_s1026" o:spt="32" type="#_x0000_t32" style="position:absolute;left:593090;top:1088622;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mUZF9YAAAAFAQAADwAAAAAAAAABACAAAAAiAAAAZHJz&#10;L2Rvd25yZXYueG1sUEsBAhQAFAAAAAgAh07iQOXTcBwGAgAADAQAAA4AAAAAAAAAAQAgAAAAJQEA&#10;AGRycy9lMm9Eb2MueG1sUEsFBgAAAAAGAAYAWQEAAJ0FAAAAAA==&#10;">
                        <v:fill on="f" focussize="0,0"/>
                        <v:stroke color="#000000" joinstyle="round" endarrow="block" endarrowwidth="narrow"/>
                        <v:imagedata o:title=""/>
                        <o:lock v:ext="edit" aspectratio="f"/>
                      </v:shape>
                      <v:rect id="Rectangle 2828" o:spid="_x0000_s1026" o:spt="1" style="position:absolute;left:1117600;top:931744;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SSMe81gAAAAUBAAAPAAAAAAAAAAEAIAAAACIAAABkcnMvZG93bnJldi54bWxQSwECFAAUAAAA&#10;CACHTuJAwp9WLCkCAAB8BAAADgAAAAAAAAABACAAAAAlAQAAZHJzL2Uyb0RvYy54bWxQSwUGAAAA&#10;AAYABgBZAQAAwAUAAAAA&#10;">
                        <v:fill on="t" focussize="0,0"/>
                        <v:stroke color="#000000" joinstyle="miter"/>
                        <v:imagedata o:title=""/>
                        <o:lock v:ext="edit" aspectratio="f"/>
                        <v:textbox style="mso-fit-shape-to-text:t;">
                          <w:txbxContent>
                            <w:p w14:paraId="444785C9">
                              <w:pPr>
                                <w:jc w:val="center"/>
                                <w:rPr>
                                  <w:rFonts w:ascii="黑体" w:hAnsi="黑体" w:eastAsia="黑体"/>
                                  <w:sz w:val="18"/>
                                  <w:szCs w:val="18"/>
                                </w:rPr>
                              </w:pPr>
                              <w:r>
                                <w:rPr>
                                  <w:rFonts w:hint="eastAsia" w:ascii="黑体" w:hAnsi="黑体" w:eastAsia="黑体"/>
                                  <w:sz w:val="18"/>
                                  <w:szCs w:val="18"/>
                                </w:rPr>
                                <w:t>喷淋用水</w:t>
                              </w:r>
                            </w:p>
                          </w:txbxContent>
                        </v:textbox>
                      </v:rect>
                      <v:rect id="Rectangle 2829" o:spid="_x0000_s1026" o:spt="1" style="position:absolute;left:2529840;top:1693272;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JIx7zWAAAABQEAAA8AAAAAAAAAAQAgAAAAIgAAAGRycy9kb3ducmV2LnhtbFBLAQIUABQAAAAI&#10;AIdO4kB/DGYJKAIAAH0EAAAOAAAAAAAAAAEAIAAAACUBAABkcnMvZTJvRG9jLnhtbFBLBQYAAAAA&#10;BgAGAFkBAAC/BQAAAAA=&#10;">
                        <v:fill on="t" focussize="0,0"/>
                        <v:stroke color="#000000" joinstyle="miter"/>
                        <v:imagedata o:title=""/>
                        <o:lock v:ext="edit" aspectratio="f"/>
                        <v:textbox style="mso-fit-shape-to-text:t;">
                          <w:txbxContent>
                            <w:p w14:paraId="4D45097D">
                              <w:pPr>
                                <w:jc w:val="center"/>
                                <w:rPr>
                                  <w:rFonts w:ascii="黑体" w:hAnsi="黑体" w:eastAsia="黑体"/>
                                  <w:sz w:val="18"/>
                                  <w:szCs w:val="18"/>
                                </w:rPr>
                              </w:pPr>
                              <w:r>
                                <w:rPr>
                                  <w:rFonts w:hint="eastAsia" w:ascii="黑体" w:hAnsi="黑体" w:eastAsia="黑体"/>
                                  <w:sz w:val="18"/>
                                  <w:szCs w:val="18"/>
                                </w:rPr>
                                <w:t>沉淀池</w:t>
                              </w:r>
                            </w:p>
                          </w:txbxContent>
                        </v:textbox>
                      </v:rect>
                      <v:rect id="Rectangle 2833" o:spid="_x0000_s1026" o:spt="1" style="position:absolute;left:605790;top:2571029;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W7C60QAAAAUBAAAPAAAAAAAAAAEAIAAAACIAAABkcnMvZG93bnJldi54bWxQSwECFAAUAAAA&#10;CACHTuJAQzUCpLwBAAB6AwAADgAAAAAAAAABACAAAAAgAQAAZHJzL2Uyb0RvYy54bWxQSwUGAAAA&#10;AAYABgBZAQAATgUAAAAA&#10;">
                        <v:fill on="f" focussize="0,0"/>
                        <v:stroke on="f"/>
                        <v:imagedata o:title=""/>
                        <o:lock v:ext="edit" aspectratio="f"/>
                        <v:textbox>
                          <w:txbxContent>
                            <w:p w14:paraId="33DA8911">
                              <w:pPr>
                                <w:jc w:val="center"/>
                                <w:rPr>
                                  <w:rFonts w:eastAsia="黑体"/>
                                  <w:sz w:val="18"/>
                                  <w:szCs w:val="18"/>
                                </w:rPr>
                              </w:pPr>
                              <w:r>
                                <w:rPr>
                                  <w:rFonts w:hint="eastAsia" w:eastAsia="黑体"/>
                                  <w:sz w:val="18"/>
                                  <w:szCs w:val="18"/>
                                </w:rPr>
                                <w:t>36.85</w:t>
                              </w:r>
                            </w:p>
                          </w:txbxContent>
                        </v:textbox>
                      </v:rect>
                      <v:rect id="Rectangle 2834" o:spid="_x0000_s1026" o:spt="1" style="position:absolute;left:593090;top:888555;height:245797;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W7C60QAAAAUBAAAPAAAAAAAAAAEAIAAAACIAAABkcnMvZG93bnJldi54bWxQSwECFAAUAAAA&#10;CACHTuJAkF2f77wBAAB5AwAADgAAAAAAAAABACAAAAAgAQAAZHJzL2Uyb0RvYy54bWxQSwUGAAAA&#10;AAYABgBZAQAATgUAAAAA&#10;">
                        <v:fill on="f" focussize="0,0"/>
                        <v:stroke on="f"/>
                        <v:imagedata o:title=""/>
                        <o:lock v:ext="edit" aspectratio="f"/>
                        <v:textbox>
                          <w:txbxContent>
                            <w:p w14:paraId="242C06EF">
                              <w:pPr>
                                <w:jc w:val="center"/>
                                <w:rPr>
                                  <w:rFonts w:eastAsia="黑体"/>
                                  <w:sz w:val="18"/>
                                  <w:szCs w:val="18"/>
                                </w:rPr>
                              </w:pPr>
                              <w:r>
                                <w:rPr>
                                  <w:rFonts w:hint="eastAsia" w:eastAsia="黑体"/>
                                  <w:sz w:val="18"/>
                                  <w:szCs w:val="18"/>
                                </w:rPr>
                                <w:t>0.64</w:t>
                              </w:r>
                            </w:p>
                          </w:txbxContent>
                        </v:textbox>
                      </v:rect>
                      <v:shape id="Freeform 7797" o:spid="_x0000_s1026" o:spt="100" style="position:absolute;left:1451610;top:718973;height:203879;width:316230;rotation:-170004f;" filled="f" stroked="t" coordsize="500,319" o:gfxdata="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BQPANS1gAAAAUBAAAPAAAA&#10;AAAAAAEAIAAAACIAAABkcnMvZG93bnJldi54bWxQSwECFAAUAAAACACHTuJAPr0b3PsCAAC1BgAA&#10;DgAAAAAAAAABACAAAAAlAQAAZHJzL2Uyb0RvYy54bWxQSwUGAAAAAAYABgBZAQAAkg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2836" o:spid="_x0000_s1026" o:spt="1" style="position:absolute;left:1513840;top:496676;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RbsLrRAAAABQEAAA8AAAAAAAAAAQAgAAAAIgAAAGRycy9kb3ducmV2LnhtbFBLAQIUABQA&#10;AAAIAIdO4kB14kBWvgEAAHsDAAAOAAAAAAAAAAEAIAAAACABAABkcnMvZTJvRG9jLnhtbFBLBQYA&#10;AAAABgAGAFkBAABQBQAAAAA=&#10;">
                        <v:fill on="f" focussize="0,0"/>
                        <v:stroke on="f"/>
                        <v:imagedata o:title=""/>
                        <o:lock v:ext="edit" aspectratio="f"/>
                        <v:textbox>
                          <w:txbxContent>
                            <w:p w14:paraId="29A77BF4">
                              <w:pPr>
                                <w:jc w:val="center"/>
                                <w:rPr>
                                  <w:rFonts w:eastAsia="黑体"/>
                                  <w:sz w:val="18"/>
                                  <w:szCs w:val="18"/>
                                </w:rPr>
                              </w:pPr>
                              <w:r>
                                <w:rPr>
                                  <w:rFonts w:hint="eastAsia" w:eastAsia="黑体"/>
                                  <w:sz w:val="18"/>
                                  <w:szCs w:val="18"/>
                                </w:rPr>
                                <w:t>0.64</w:t>
                              </w:r>
                            </w:p>
                          </w:txbxContent>
                        </v:textbox>
                      </v:rect>
                      <v:rect id="Rectangle 2825" o:spid="_x0000_s1026" o:spt="1" style="position:absolute;left:1115060;top:1698353;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kjHvNYAAAAFAQAADwAAAAAAAAABACAAAAAiAAAAZHJzL2Rvd25yZXYueG1sUEsBAhQAFAAAAAgA&#10;h07iQM1+P7snAgAAfgQAAA4AAAAAAAAAAQAgAAAAJQEAAGRycy9lMm9Eb2MueG1sUEsFBgAAAAAG&#10;AAYAWQEAAL4FAAAAAA==&#10;">
                        <v:fill on="t" focussize="0,0"/>
                        <v:stroke color="#000000" joinstyle="miter"/>
                        <v:imagedata o:title=""/>
                        <o:lock v:ext="edit" aspectratio="f"/>
                        <v:textbox style="mso-fit-shape-to-text:t;">
                          <w:txbxContent>
                            <w:p w14:paraId="35C50F75">
                              <w:pPr>
                                <w:jc w:val="center"/>
                                <w:rPr>
                                  <w:rFonts w:ascii="黑体" w:hAnsi="黑体" w:eastAsia="黑体"/>
                                  <w:sz w:val="18"/>
                                  <w:szCs w:val="18"/>
                                </w:rPr>
                              </w:pPr>
                              <w:r>
                                <w:rPr>
                                  <w:rFonts w:hint="eastAsia" w:ascii="黑体" w:hAnsi="黑体" w:eastAsia="黑体"/>
                                  <w:sz w:val="18"/>
                                  <w:szCs w:val="18"/>
                                </w:rPr>
                                <w:t>车辆清洗废水</w:t>
                              </w:r>
                            </w:p>
                          </w:txbxContent>
                        </v:textbox>
                      </v:rect>
                      <v:shape id="AutoShape 2827" o:spid="_x0000_s1026" o:spt="32" type="#_x0000_t32" style="position:absolute;left:593090;top:1845704;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&#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6ZRkX1gAAAAUBAAAPAAAAAAAAAAEAIAAAACIAAABk&#10;cnMvZG93bnJldi54bWxQSwECFAAUAAAACACHTuJANk2XhAgCAAANBAAADgAAAAAAAAABACAAAAAl&#10;AQAAZHJzL2Uyb0RvYy54bWxQSwUGAAAAAAYABgBZAQAAnwUAAAAA&#10;">
                        <v:fill on="f" focussize="0,0"/>
                        <v:stroke color="#000000" joinstyle="round" endarrow="block" endarrowwidth="narrow"/>
                        <v:imagedata o:title=""/>
                        <o:lock v:ext="edit" aspectratio="f"/>
                      </v:shape>
                      <v:rect id="Rectangle 2834" o:spid="_x0000_s1026" o:spt="1" style="position:absolute;left:593090;top:1654528;height:245797;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FuwutEAAAAFAQAADwAAAAAAAAABACAAAAAiAAAAZHJzL2Rvd25yZXYueG1sUEsBAhQAFAAA&#10;AAgAh07iQAxw5O29AQAAewMAAA4AAAAAAAAAAQAgAAAAIAEAAGRycy9lMm9Eb2MueG1sUEsFBgAA&#10;AAAGAAYAWQEAAE8FAAAAAA==&#10;">
                        <v:fill on="f" focussize="0,0"/>
                        <v:stroke on="f"/>
                        <v:imagedata o:title=""/>
                        <o:lock v:ext="edit" aspectratio="f"/>
                        <v:textbox>
                          <w:txbxContent>
                            <w:p w14:paraId="7999BB5B">
                              <w:pPr>
                                <w:jc w:val="center"/>
                                <w:rPr>
                                  <w:rFonts w:hint="eastAsia" w:eastAsia="黑体"/>
                                  <w:sz w:val="18"/>
                                  <w:szCs w:val="18"/>
                                </w:rPr>
                              </w:pPr>
                              <w:r>
                                <w:rPr>
                                  <w:rFonts w:hint="eastAsia" w:eastAsia="黑体"/>
                                  <w:sz w:val="18"/>
                                  <w:szCs w:val="18"/>
                                </w:rPr>
                                <w:t>0.552</w:t>
                              </w:r>
                            </w:p>
                          </w:txbxContent>
                        </v:textbox>
                      </v:rect>
                      <v:shape id="Freeform 7797" o:spid="_x0000_s1026" o:spt="100" style="position:absolute;left:1461770;top:1491298;height:203879;width:316230;rotation:-170004f;" filled="f" stroked="t" coordsize="500,319" o:gfxdata="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QPANS1gAAAAUBAAAP&#10;AAAAAAAAAAEAIAAAACIAAABkcnMvZG93bnJldi54bWxQSwECFAAUAAAACACHTuJAhr15W/4CAAC2&#10;BgAADgAAAAAAAAABACAAAAAlAQAAZHJzL2Uyb0RvYy54bWxQSwUGAAAAAAYABgBZAQAAlQ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2836" o:spid="_x0000_s1026" o:spt="1" style="position:absolute;left:1524000;top:1269001;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FuwutEAAAAFAQAADwAAAAAAAAABACAAAAAiAAAAZHJzL2Rvd25yZXYueG1sUEsBAhQAFAAA&#10;AAgAh07iQPV+ZHK9AQAAfAMAAA4AAAAAAAAAAQAgAAAAIAEAAGRycy9lMm9Eb2MueG1sUEsFBgAA&#10;AAAGAAYAWQEAAE8FAAAAAA==&#10;">
                        <v:fill on="f" focussize="0,0"/>
                        <v:stroke on="f"/>
                        <v:imagedata o:title=""/>
                        <o:lock v:ext="edit" aspectratio="f"/>
                        <v:textbox>
                          <w:txbxContent>
                            <w:p w14:paraId="3061BFC4">
                              <w:pPr>
                                <w:jc w:val="center"/>
                                <w:rPr>
                                  <w:rFonts w:hint="eastAsia" w:eastAsia="黑体"/>
                                  <w:sz w:val="18"/>
                                  <w:szCs w:val="18"/>
                                </w:rPr>
                              </w:pPr>
                              <w:r>
                                <w:rPr>
                                  <w:rFonts w:hint="eastAsia" w:eastAsia="黑体"/>
                                  <w:sz w:val="18"/>
                                  <w:szCs w:val="18"/>
                                </w:rPr>
                                <w:t>0.552</w:t>
                              </w:r>
                            </w:p>
                          </w:txbxContent>
                        </v:textbox>
                      </v:rect>
                      <v:shape id="AutoShape 2827" o:spid="_x0000_s1026" o:spt="32" type="#_x0000_t32" style="position:absolute;left:2005965;top:1845069;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plGRfWAAAABQEAAA8AAAAAAAAAAQAgAAAAIgAA&#10;AGRycy9kb3ducmV2LnhtbFBLAQIUABQAAAAIAIdO4kCNNdUgCgIAAA4EAAAOAAAAAAAAAAEAIAAA&#10;ACUBAABkcnMvZTJvRG9jLnhtbFBLBQYAAAAABgAGAFkBAAChBQAAAAA=&#10;">
                        <v:fill on="f" focussize="0,0"/>
                        <v:stroke color="#000000" joinstyle="round" endarrow="block" endarrowwidth="narrow"/>
                        <v:imagedata o:title=""/>
                        <o:lock v:ext="edit" aspectratio="f"/>
                      </v:shape>
                      <v:rect id="Rectangle 2834" o:spid="_x0000_s1026" o:spt="1" style="position:absolute;left:2019300;top:1631028;height:245797;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RbsLrRAAAABQEAAA8AAAAAAAAAAQAgAAAAIgAAAGRycy9kb3ducmV2LnhtbFBLAQIUABQA&#10;AAAIAIdO4kDzp7CTvgEAAHwDAAAOAAAAAAAAAAEAIAAAACABAABkcnMvZTJvRG9jLnhtbFBLBQYA&#10;AAAABgAGAFkBAABQBQAAAAA=&#10;">
                        <v:fill on="f" focussize="0,0"/>
                        <v:stroke on="f"/>
                        <v:imagedata o:title=""/>
                        <o:lock v:ext="edit" aspectratio="f"/>
                        <v:textbox>
                          <w:txbxContent>
                            <w:p w14:paraId="14D908DA">
                              <w:pPr>
                                <w:jc w:val="center"/>
                                <w:rPr>
                                  <w:rFonts w:eastAsia="黑体"/>
                                  <w:sz w:val="18"/>
                                  <w:szCs w:val="18"/>
                                </w:rPr>
                              </w:pPr>
                              <w:r>
                                <w:rPr>
                                  <w:rFonts w:hint="eastAsia" w:eastAsia="黑体"/>
                                  <w:sz w:val="18"/>
                                  <w:szCs w:val="18"/>
                                </w:rPr>
                                <w:t>2.76</w:t>
                              </w:r>
                            </w:p>
                          </w:txbxContent>
                        </v:textbox>
                      </v:rect>
                      <v:rect id="Rectangle 2834" o:spid="_x0000_s1026" o:spt="1" style="position:absolute;left:2030730;top:2031799;height:245797;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RbsLrRAAAABQEAAA8AAAAAAAAAAQAgAAAAIgAAAGRycy9kb3ducmV2LnhtbFBLAQIUABQA&#10;AAAIAIdO4kA6wSRavgEAAHwDAAAOAAAAAAAAAAEAIAAAACABAABkcnMvZTJvRG9jLnhtbFBLBQYA&#10;AAAABgAGAFkBAABQBQAAAAA=&#10;">
                        <v:fill on="f" focussize="0,0"/>
                        <v:stroke on="f"/>
                        <v:imagedata o:title=""/>
                        <o:lock v:ext="edit" aspectratio="f"/>
                        <v:textbox>
                          <w:txbxContent>
                            <w:p w14:paraId="622E8F9F">
                              <w:pPr>
                                <w:jc w:val="center"/>
                                <w:rPr>
                                  <w:rFonts w:eastAsia="黑体"/>
                                  <w:sz w:val="18"/>
                                  <w:szCs w:val="18"/>
                                </w:rPr>
                              </w:pPr>
                              <w:r>
                                <w:rPr>
                                  <w:rFonts w:hint="eastAsia" w:eastAsia="黑体"/>
                                  <w:sz w:val="18"/>
                                  <w:szCs w:val="18"/>
                                </w:rPr>
                                <w:t>2.76</w:t>
                              </w:r>
                            </w:p>
                          </w:txbxContent>
                        </v:textbox>
                      </v:rect>
                      <v:rect id="Rectangle 2833" o:spid="_x0000_s1026" o:spt="1" style="position:absolute;left:1988185;top:2576745;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kW7C60QAAAAUBAAAPAAAAAAAAAAEAIAAAACIAAABkcnMvZG93bnJldi54bWxQSwECFAAU&#10;AAAACACHTuJAUNqDuL8BAAB8AwAADgAAAAAAAAABACAAAAAgAQAAZHJzL2Uyb0RvYy54bWxQSwUG&#10;AAAAAAYABgBZAQAAUQUAAAAA&#10;">
                        <v:fill on="f" focussize="0,0"/>
                        <v:stroke on="f"/>
                        <v:imagedata o:title=""/>
                        <o:lock v:ext="edit" aspectratio="f"/>
                        <v:textbox>
                          <w:txbxContent>
                            <w:p w14:paraId="6CBB04DD">
                              <w:pPr>
                                <w:jc w:val="center"/>
                                <w:rPr>
                                  <w:rFonts w:eastAsia="黑体"/>
                                  <w:sz w:val="18"/>
                                  <w:szCs w:val="18"/>
                                </w:rPr>
                              </w:pPr>
                              <w:r>
                                <w:rPr>
                                  <w:rFonts w:hint="eastAsia" w:eastAsia="黑体"/>
                                  <w:sz w:val="18"/>
                                  <w:szCs w:val="18"/>
                                </w:rPr>
                                <w:t>40</w:t>
                              </w:r>
                            </w:p>
                          </w:txbxContent>
                        </v:textbox>
                      </v:rect>
                      <v:shape id="AutoShape 2824" o:spid="_x0000_s1026" o:spt="32" type="#_x0000_t32" style="position:absolute;left:2012950;top:2778718;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&#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6ZRkX1gAAAAUBAAAPAAAAAAAAAAEAIAAAACIAAABk&#10;cnMvZG93bnJldi54bWxQSwECFAAUAAAACACHTuJAjvpZrggCAAAOBAAADgAAAAAAAAABACAAAAAl&#10;AQAAZHJzL2Uyb0RvYy54bWxQSwUGAAAAAAYABgBZAQAAnwUAAAAA&#10;">
                        <v:fill on="f" focussize="0,0"/>
                        <v:stroke color="#000000" joinstyle="round" endarrow="block" endarrowwidth="narrow"/>
                        <v:imagedata o:title=""/>
                        <o:lock v:ext="edit" aspectratio="f"/>
                      </v:shape>
                      <v:rect id="Rectangle 2825" o:spid="_x0000_s1026" o:spt="1" style="position:absolute;left:2505075;top:2638988;height:239446;width:890270;v-text-anchor:middle;" filled="f" stroked="f" coordsize="21600,21600" o:gfxdata="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SfCTe1AAAAAUBAAAPAAAAAAAAAAEAIAAAACIAAABkcnMvZG93&#10;bnJldi54bWxQSwECFAAUAAAACACHTuJAOSU+XMsBAACWAwAADgAAAAAAAAABACAAAAAjAQAAZHJz&#10;L2Uyb0RvYy54bWxQSwUGAAAAAAYABgBZAQAAYAUAAAAA&#10;">
                        <v:fill on="f" focussize="0,0"/>
                        <v:stroke on="f"/>
                        <v:imagedata o:title=""/>
                        <o:lock v:ext="edit" aspectratio="f"/>
                        <v:textbox style="mso-fit-shape-to-text:t;">
                          <w:txbxContent>
                            <w:p w14:paraId="716E7AD8">
                              <w:pPr>
                                <w:jc w:val="center"/>
                                <w:rPr>
                                  <w:rFonts w:ascii="黑体" w:hAnsi="黑体" w:eastAsia="黑体"/>
                                  <w:sz w:val="18"/>
                                  <w:szCs w:val="18"/>
                                </w:rPr>
                              </w:pPr>
                              <w:r>
                                <w:rPr>
                                  <w:rFonts w:hint="eastAsia" w:ascii="黑体" w:hAnsi="黑体" w:eastAsia="黑体"/>
                                  <w:sz w:val="18"/>
                                  <w:szCs w:val="18"/>
                                </w:rPr>
                                <w:t>带入产品</w:t>
                              </w:r>
                            </w:p>
                          </w:txbxContent>
                        </v:textbox>
                      </v:rect>
                      <v:shape id="AutoShape 2824" o:spid="_x0000_s1026" o:spt="32" type="#_x0000_t32" style="position:absolute;left:608965;top:5138247;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plGRfWAAAABQEAAA8AAAAAAAAAAQAgAAAAIgAA&#10;AGRycy9kb3ducmV2LnhtbFBLAQIUABQAAAAIAIdO4kAx+0qGCgIAAA0EAAAOAAAAAAAAAAEAIAAA&#10;ACUBAABkcnMvZTJvRG9jLnhtbFBLBQYAAAAABgAGAFkBAAChBQAAAAA=&#10;">
                        <v:fill on="f" focussize="0,0"/>
                        <v:stroke color="#000000" joinstyle="round" endarrow="block" endarrowwidth="narrow"/>
                        <v:imagedata o:title=""/>
                        <o:lock v:ext="edit" aspectratio="f"/>
                      </v:shape>
                      <v:rect id="Rectangle 2825" o:spid="_x0000_s1026" o:spt="1" style="position:absolute;left:1115695;top:4968031;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JIx7zWAAAABQEAAA8AAAAAAAAAAQAgAAAAIgAAAGRycy9kb3ducmV2LnhtbFBLAQIUABQAAAAI&#10;AIdO4kCUwffRKAIAAH4EAAAOAAAAAAAAAAEAIAAAACUBAABkcnMvZTJvRG9jLnhtbFBLBQYAAAAA&#10;BgAGAFkBAAC/BQAAAAA=&#10;">
                        <v:fill on="t" focussize="0,0"/>
                        <v:stroke color="#000000" joinstyle="miter"/>
                        <v:imagedata o:title=""/>
                        <o:lock v:ext="edit" aspectratio="f"/>
                        <v:textbox style="mso-fit-shape-to-text:t;">
                          <w:txbxContent>
                            <w:p w14:paraId="241A8EA7">
                              <w:pPr>
                                <w:jc w:val="center"/>
                                <w:rPr>
                                  <w:rFonts w:ascii="黑体" w:hAnsi="黑体" w:eastAsia="黑体"/>
                                  <w:sz w:val="18"/>
                                  <w:szCs w:val="18"/>
                                </w:rPr>
                              </w:pPr>
                              <w:r>
                                <w:rPr>
                                  <w:rFonts w:hint="eastAsia" w:ascii="黑体" w:hAnsi="黑体" w:eastAsia="黑体"/>
                                  <w:sz w:val="18"/>
                                  <w:szCs w:val="18"/>
                                </w:rPr>
                                <w:t>脱硫用水</w:t>
                              </w:r>
                            </w:p>
                          </w:txbxContent>
                        </v:textbox>
                      </v:rect>
                      <v:rect id="Rectangle 2833" o:spid="_x0000_s1026" o:spt="1" style="position:absolute;left:688340;top:4894355;height:308041;width:427355;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W7C60QAAAAUBAAAPAAAAAAAAAAEAIAAAACIAAABkcnMvZG93bnJldi54bWxQSwECFAAUAAAA&#10;CACHTuJAKgsRI7wBAAB7AwAADgAAAAAAAAABACAAAAAgAQAAZHJzL2Uyb0RvYy54bWxQSwUGAAAA&#10;AAYABgBZAQAATgUAAAAA&#10;">
                        <v:fill on="f" focussize="0,0"/>
                        <v:stroke on="f"/>
                        <v:imagedata o:title=""/>
                        <o:lock v:ext="edit" aspectratio="f"/>
                        <v:textbox>
                          <w:txbxContent>
                            <w:p w14:paraId="5C0FDEA7">
                              <w:pPr>
                                <w:jc w:val="center"/>
                                <w:rPr>
                                  <w:rFonts w:hint="default" w:eastAsia="黑体"/>
                                  <w:sz w:val="18"/>
                                  <w:szCs w:val="18"/>
                                  <w:lang w:val="en-US" w:eastAsia="zh-CN"/>
                                </w:rPr>
                              </w:pPr>
                              <w:r>
                                <w:rPr>
                                  <w:rFonts w:hint="eastAsia" w:eastAsia="黑体"/>
                                  <w:sz w:val="18"/>
                                  <w:szCs w:val="18"/>
                                  <w:lang w:val="en-US" w:eastAsia="zh-CN"/>
                                </w:rPr>
                                <w:t>1080</w:t>
                              </w:r>
                            </w:p>
                          </w:txbxContent>
                        </v:textbox>
                      </v:rect>
                      <v:shape id="Freeform 7797" o:spid="_x0000_s1026" o:spt="100" style="position:absolute;left:1451610;top:4743193;height:203879;width:316230;rotation:-170004f;" filled="f" stroked="t" coordsize="500,319" o:gfxdata="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BQPANS1gAAAAUB&#10;AAAPAAAAAAAAAAEAIAAAACIAAABkcnMvZG93bnJldi54bWxQSwECFAAUAAAACACHTuJA5DPRngED&#10;AAC2BgAADgAAAAAAAAABACAAAAAlAQAAZHJzL2Uyb0RvYy54bWxQSwUGAAAAAAYABgBZAQAAmAYA&#10;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2836" o:spid="_x0000_s1026" o:spt="1" style="position:absolute;left:1513840;top:4503111;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kW7C60QAAAAUBAAAPAAAAAAAAAAEAIAAAACIAAABkcnMvZG93bnJldi54bWxQSwECFAAU&#10;AAAACACHTuJAqbwkm78BAAB8AwAADgAAAAAAAAABACAAAAAgAQAAZHJzL2Uyb0RvYy54bWxQSwUG&#10;AAAAAAYABgBZAQAAUQUAAAAA&#10;">
                        <v:fill on="f" focussize="0,0"/>
                        <v:stroke on="f"/>
                        <v:imagedata o:title=""/>
                        <o:lock v:ext="edit" aspectratio="f"/>
                        <v:textbox>
                          <w:txbxContent>
                            <w:p w14:paraId="22634B97">
                              <w:pPr>
                                <w:jc w:val="center"/>
                                <w:rPr>
                                  <w:rFonts w:hint="default" w:eastAsia="黑体"/>
                                  <w:sz w:val="18"/>
                                  <w:szCs w:val="18"/>
                                  <w:lang w:val="en-US" w:eastAsia="zh-CN"/>
                                </w:rPr>
                              </w:pPr>
                              <w:r>
                                <w:rPr>
                                  <w:rFonts w:hint="eastAsia" w:eastAsia="黑体"/>
                                  <w:sz w:val="18"/>
                                  <w:szCs w:val="18"/>
                                  <w:lang w:val="en-US" w:eastAsia="zh-CN"/>
                                </w:rPr>
                                <w:t>1080</w:t>
                              </w:r>
                            </w:p>
                          </w:txbxContent>
                        </v:textbox>
                      </v:rect>
                      <v:shape id="AutoShape 2824" o:spid="_x0000_s1026" o:spt="32" type="#_x0000_t32" style="position:absolute;left:608965;top:4137908;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6ZRkX1gAAAAUBAAAPAAAAAAAAAAEAIAAAACIA&#10;AABkcnMvZG93bnJldi54bWxQSwECFAAUAAAACACHTuJAkB2QfAsCAAANBAAADgAAAAAAAAABACAA&#10;AAAlAQAAZHJzL2Uyb0RvYy54bWxQSwUGAAAAAAYABgBZAQAAogUAAAAA&#10;">
                        <v:fill on="f" focussize="0,0"/>
                        <v:stroke color="#000000" joinstyle="round" endarrow="block" endarrowwidth="narrow"/>
                        <v:imagedata o:title=""/>
                        <o:lock v:ext="edit" aspectratio="f"/>
                      </v:shape>
                      <v:rect id="Rectangle 2825" o:spid="_x0000_s1026" o:spt="1" style="position:absolute;left:1125855;top:3981030;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kjHvNYAAAAFAQAADwAAAAAAAAABACAAAAAiAAAAZHJzL2Rvd25yZXYueG1sUEsBAhQAFAAAAAgA&#10;h07iQKj2cf4nAgAAfgQAAA4AAAAAAAAAAQAgAAAAJQEAAGRycy9lMm9Eb2MueG1sUEsFBgAAAAAG&#10;AAYAWQEAAL4FAAAAAA==&#10;">
                        <v:fill on="t" focussize="0,0"/>
                        <v:stroke color="#000000" joinstyle="miter"/>
                        <v:imagedata o:title=""/>
                        <o:lock v:ext="edit" aspectratio="f"/>
                        <v:textbox style="mso-fit-shape-to-text:t;">
                          <w:txbxContent>
                            <w:p w14:paraId="12CF7C47">
                              <w:pPr>
                                <w:jc w:val="center"/>
                                <w:rPr>
                                  <w:rFonts w:ascii="黑体" w:hAnsi="黑体" w:eastAsia="黑体"/>
                                  <w:sz w:val="18"/>
                                  <w:szCs w:val="18"/>
                                </w:rPr>
                              </w:pPr>
                              <w:r>
                                <w:rPr>
                                  <w:rFonts w:hint="eastAsia" w:ascii="黑体" w:hAnsi="黑体" w:eastAsia="黑体"/>
                                  <w:sz w:val="18"/>
                                  <w:szCs w:val="18"/>
                                </w:rPr>
                                <w:t>湿电除尘用水</w:t>
                              </w:r>
                            </w:p>
                          </w:txbxContent>
                        </v:textbox>
                      </v:rect>
                      <v:rect id="Rectangle 2833" o:spid="_x0000_s1026" o:spt="1" style="position:absolute;left:608965;top:3916246;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W7C60QAAAAUBAAAPAAAAAAAAAAEAIAAAACIAAABkcnMvZG93bnJldi54bWxQSwECFAAUAAAA&#10;CACHTuJAjst5nLwBAAB7AwAADgAAAAAAAAABACAAAAAgAQAAZHJzL2Uyb0RvYy54bWxQSwUGAAAA&#10;AAYABgBZAQAATgUAAAAA&#10;">
                        <v:fill on="f" focussize="0,0"/>
                        <v:stroke on="f"/>
                        <v:imagedata o:title=""/>
                        <o:lock v:ext="edit" aspectratio="f"/>
                        <v:textbox>
                          <w:txbxContent>
                            <w:p w14:paraId="2251F77B">
                              <w:pPr>
                                <w:jc w:val="center"/>
                                <w:rPr>
                                  <w:rFonts w:hint="eastAsia" w:eastAsia="黑体"/>
                                  <w:sz w:val="18"/>
                                  <w:szCs w:val="18"/>
                                  <w:lang w:val="en-US" w:eastAsia="zh-CN"/>
                                </w:rPr>
                              </w:pPr>
                              <w:r>
                                <w:rPr>
                                  <w:rFonts w:hint="eastAsia" w:eastAsia="黑体"/>
                                  <w:sz w:val="18"/>
                                  <w:szCs w:val="18"/>
                                  <w:lang w:val="en-US" w:eastAsia="zh-CN"/>
                                </w:rPr>
                                <w:t>2</w:t>
                              </w:r>
                            </w:p>
                          </w:txbxContent>
                        </v:textbox>
                      </v:rect>
                      <v:shape id="AutoShape 2824" o:spid="_x0000_s1026" o:spt="32" type="#_x0000_t32" style="position:absolute;left:2005330;top:5138882;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plGRfWAAAABQEAAA8AAAAAAAAAAQAgAAAAIgAA&#10;AGRycy9kb3ducmV2LnhtbFBLAQIUABQAAAAIAIdO4kDA9QvoCgIAAA4EAAAOAAAAAAAAAAEAIAAA&#10;ACUBAABkcnMvZTJvRG9jLnhtbFBLBQYAAAAABgAGAFkBAAChBQAAAAA=&#10;">
                        <v:fill on="f" focussize="0,0"/>
                        <v:stroke color="#000000" joinstyle="round" endarrow="block" endarrowwidth="narrow"/>
                        <v:imagedata o:title=""/>
                        <o:lock v:ext="edit" aspectratio="f"/>
                      </v:shape>
                      <v:rect id="Rectangle 2825" o:spid="_x0000_s1026" o:spt="1" style="position:absolute;left:2505075;top:4968031;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JIx7zWAAAABQEAAA8AAAAAAAAAAQAgAAAAIgAAAGRycy9kb3ducmV2LnhtbFBLAQIUABQAAAAI&#10;AIdO4kAqhy0MKAIAAH4EAAAOAAAAAAAAAAEAIAAAACUBAABkcnMvZTJvRG9jLnhtbFBLBQYAAAAA&#10;BgAGAFkBAAC/BQAAAAA=&#10;">
                        <v:fill on="t" focussize="0,0"/>
                        <v:stroke color="#000000" joinstyle="miter"/>
                        <v:imagedata o:title=""/>
                        <o:lock v:ext="edit" aspectratio="f"/>
                        <v:textbox style="mso-fit-shape-to-text:t;">
                          <w:txbxContent>
                            <w:p w14:paraId="77699855">
                              <w:pPr>
                                <w:jc w:val="center"/>
                                <w:rPr>
                                  <w:rFonts w:ascii="黑体" w:hAnsi="黑体" w:eastAsia="黑体"/>
                                  <w:sz w:val="18"/>
                                  <w:szCs w:val="18"/>
                                </w:rPr>
                              </w:pPr>
                              <w:r>
                                <w:rPr>
                                  <w:rFonts w:hint="eastAsia" w:ascii="黑体" w:hAnsi="黑体" w:eastAsia="黑体"/>
                                  <w:sz w:val="18"/>
                                  <w:szCs w:val="18"/>
                                </w:rPr>
                                <w:t>沉淀池</w:t>
                              </w:r>
                            </w:p>
                          </w:txbxContent>
                        </v:textbox>
                      </v:rect>
                      <v:rect id="Rectangle 2833" o:spid="_x0000_s1026" o:spt="1" style="position:absolute;left:1979295;top:5259705;height:307975;width:64643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FuwutEAAAAFAQAADwAAAAAAAAABACAAAAAiAAAAZHJzL2Rvd25yZXYueG1sUEsBAhQA&#10;FAAAAAgAh07iQGJSyGfAAQAAfAMAAA4AAAAAAAAAAQAgAAAAIAEAAGRycy9lMm9Eb2MueG1sUEsF&#10;BgAAAAAGAAYAWQEAAFIFAAAAAA==&#10;">
                        <v:fill on="f" focussize="0,0"/>
                        <v:stroke on="f"/>
                        <v:imagedata o:title=""/>
                        <o:lock v:ext="edit" aspectratio="f"/>
                        <v:textbox>
                          <w:txbxContent>
                            <w:p w14:paraId="67A6B193">
                              <w:pPr>
                                <w:jc w:val="center"/>
                                <w:rPr>
                                  <w:rFonts w:hint="default" w:eastAsia="黑体"/>
                                  <w:sz w:val="18"/>
                                  <w:szCs w:val="18"/>
                                  <w:lang w:val="en-US" w:eastAsia="zh-CN"/>
                                </w:rPr>
                              </w:pPr>
                              <w:r>
                                <w:rPr>
                                  <w:rFonts w:hint="eastAsia" w:eastAsia="黑体"/>
                                  <w:sz w:val="18"/>
                                  <w:szCs w:val="18"/>
                                  <w:lang w:val="en-US" w:eastAsia="zh-CN"/>
                                </w:rPr>
                                <w:t>108000</w:t>
                              </w:r>
                            </w:p>
                          </w:txbxContent>
                        </v:textbox>
                      </v:rect>
                      <v:rect id="Rectangle 2833" o:spid="_x0000_s1026" o:spt="1" style="position:absolute;left:1988185;top:3916246;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kW7C60QAAAAUBAAAPAAAAAAAAAAEAIAAAACIAAABkcnMvZG93bnJldi54bWxQSwECFAAU&#10;AAAACACHTuJAsZ08cL8BAAB8AwAADgAAAAAAAAABACAAAAAgAQAAZHJzL2Uyb0RvYy54bWxQSwUG&#10;AAAAAAYABgBZAQAAUQUAAAAA&#10;">
                        <v:fill on="f" focussize="0,0"/>
                        <v:stroke on="f"/>
                        <v:imagedata o:title=""/>
                        <o:lock v:ext="edit" aspectratio="f"/>
                        <v:textbox>
                          <w:txbxContent>
                            <w:p w14:paraId="4EACD48D">
                              <w:pPr>
                                <w:jc w:val="center"/>
                                <w:rPr>
                                  <w:rFonts w:hint="default" w:eastAsia="黑体"/>
                                  <w:sz w:val="18"/>
                                  <w:szCs w:val="18"/>
                                  <w:lang w:val="en-US" w:eastAsia="zh-CN"/>
                                </w:rPr>
                              </w:pPr>
                              <w:r>
                                <w:rPr>
                                  <w:rFonts w:hint="eastAsia" w:eastAsia="黑体"/>
                                  <w:sz w:val="18"/>
                                  <w:szCs w:val="18"/>
                                  <w:lang w:val="en-US" w:eastAsia="zh-CN"/>
                                </w:rPr>
                                <w:t>10</w:t>
                              </w:r>
                            </w:p>
                          </w:txbxContent>
                        </v:textbox>
                      </v:rect>
                      <v:rect id="Rectangle 2833" o:spid="_x0000_s1026" o:spt="1" style="position:absolute;left:1988185;top:4894580;height:307975;width:56896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FuwutEAAAAFAQAADwAAAAAAAAABACAAAAAiAAAAZHJzL2Rvd25yZXYueG1sUEsBAhQA&#10;FAAAAAgAh07iQHHf2PnAAQAAfAMAAA4AAAAAAAAAAQAgAAAAIAEAAGRycy9lMm9Eb2MueG1sUEsF&#10;BgAAAAAGAAYAWQEAAFIFAAAAAA==&#10;">
                        <v:fill on="f" focussize="0,0"/>
                        <v:stroke on="f"/>
                        <v:imagedata o:title=""/>
                        <o:lock v:ext="edit" aspectratio="f"/>
                        <v:textbox>
                          <w:txbxContent>
                            <w:p w14:paraId="56FC64AA">
                              <w:pPr>
                                <w:jc w:val="center"/>
                                <w:rPr>
                                  <w:rFonts w:hint="default" w:eastAsia="黑体"/>
                                  <w:sz w:val="18"/>
                                  <w:szCs w:val="18"/>
                                  <w:lang w:val="en-US" w:eastAsia="zh-CN"/>
                                </w:rPr>
                              </w:pPr>
                              <w:r>
                                <w:rPr>
                                  <w:rFonts w:hint="eastAsia" w:eastAsia="黑体"/>
                                  <w:sz w:val="18"/>
                                  <w:szCs w:val="18"/>
                                  <w:lang w:val="en-US" w:eastAsia="zh-CN"/>
                                </w:rPr>
                                <w:t>108000</w:t>
                              </w:r>
                            </w:p>
                          </w:txbxContent>
                        </v:textbox>
                      </v:rect>
                      <v:shape id="Freeform 7797" o:spid="_x0000_s1026" o:spt="100" style="position:absolute;left:1513840;top:3756192;height:203879;width:316230;rotation:-170004f;" filled="f" stroked="t" coordsize="500,319" o:gfxdata="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QPANS1gAA&#10;AAUBAAAPAAAAAAAAAAEAIAAAACIAAABkcnMvZG93bnJldi54bWxQSwECFAAUAAAACACHTuJA3AGn&#10;RgQDAAC2BgAADgAAAAAAAAABACAAAAAlAQAAZHJzL2Uyb0RvYy54bWxQSwUGAAAAAAYABgBZAQAA&#10;mw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2836" o:spid="_x0000_s1026" o:spt="1" style="position:absolute;left:1569720;top:3516111;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FuwutEAAAAFAQAADwAAAAAAAAABACAAAAAiAAAAZHJzL2Rvd25yZXYueG1sUEsBAhQAFAAA&#10;AAgAh07iQKFjL4W9AQAAfAMAAA4AAAAAAAAAAQAgAAAAIAEAAGRycy9lMm9Eb2MueG1sUEsFBgAA&#10;AAAGAAYAWQEAAE8FAAAAAA==&#10;">
                        <v:fill on="f" focussize="0,0"/>
                        <v:stroke on="f"/>
                        <v:imagedata o:title=""/>
                        <o:lock v:ext="edit" aspectratio="f"/>
                        <v:textbox>
                          <w:txbxContent>
                            <w:p w14:paraId="33A061AA">
                              <w:pPr>
                                <w:jc w:val="center"/>
                                <w:rPr>
                                  <w:rFonts w:hint="eastAsia" w:eastAsia="黑体"/>
                                  <w:sz w:val="18"/>
                                  <w:szCs w:val="18"/>
                                  <w:lang w:val="en-US" w:eastAsia="zh-CN"/>
                                </w:rPr>
                              </w:pPr>
                              <w:r>
                                <w:rPr>
                                  <w:rFonts w:hint="eastAsia" w:eastAsia="黑体"/>
                                  <w:sz w:val="18"/>
                                  <w:szCs w:val="18"/>
                                  <w:lang w:val="en-US" w:eastAsia="zh-CN"/>
                                </w:rPr>
                                <w:t>2</w:t>
                              </w:r>
                            </w:p>
                          </w:txbxContent>
                        </v:textbox>
                      </v:rect>
                      <v:rect id="Rectangle 2825" o:spid="_x0000_s1026" o:spt="1" style="position:absolute;left:2529840;top:3981030;height:249608;width:890270;v-text-anchor:middle;" fillcolor="#FFFFFF" filled="t" stroked="t" coordsize="21600,21600" o:gfxdata="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S&#10;SMe81gAAAAUBAAAPAAAAAAAAAAEAIAAAACIAAABkcnMvZG93bnJldi54bWxQSwECFAAUAAAACACH&#10;TuJAz0SVSCYCAAB+BAAADgAAAAAAAAABACAAAAAlAQAAZHJzL2Uyb0RvYy54bWxQSwUGAAAAAAYA&#10;BgBZAQAAvQUAAAAA&#10;">
                        <v:fill on="t" focussize="0,0"/>
                        <v:stroke color="#000000" joinstyle="miter"/>
                        <v:imagedata o:title=""/>
                        <o:lock v:ext="edit" aspectratio="f"/>
                        <v:textbox style="mso-fit-shape-to-text:t;">
                          <w:txbxContent>
                            <w:p w14:paraId="64C3CE6A">
                              <w:pPr>
                                <w:jc w:val="center"/>
                                <w:rPr>
                                  <w:rFonts w:ascii="黑体" w:hAnsi="黑体" w:eastAsia="黑体"/>
                                  <w:sz w:val="18"/>
                                  <w:szCs w:val="18"/>
                                </w:rPr>
                              </w:pPr>
                              <w:r>
                                <w:rPr>
                                  <w:rFonts w:hint="eastAsia" w:ascii="黑体" w:hAnsi="黑体" w:eastAsia="黑体"/>
                                  <w:sz w:val="18"/>
                                  <w:szCs w:val="18"/>
                                </w:rPr>
                                <w:t>沉淀池</w:t>
                              </w:r>
                            </w:p>
                          </w:txbxContent>
                        </v:textbox>
                      </v:rect>
                      <v:rect id="Rectangle 2833" o:spid="_x0000_s1026" o:spt="1" style="position:absolute;left:1971040;top:4252595;height:308610;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RbsLrRAAAABQEAAA8AAAAAAAAAAQAgAAAAIgAAAGRycy9kb3ducmV2LnhtbFBLAQIU&#10;ABQAAAAIAIdO4kBTXQD/wQEAAHwDAAAOAAAAAAAAAAEAIAAAACABAABkcnMvZTJvRG9jLnhtbFBL&#10;BQYAAAAABgAGAFkBAABTBQAAAAA=&#10;">
                        <v:fill on="f" focussize="0,0"/>
                        <v:stroke on="f"/>
                        <v:imagedata o:title=""/>
                        <o:lock v:ext="edit" aspectratio="f"/>
                        <v:textbox>
                          <w:txbxContent>
                            <w:p w14:paraId="0E93ABA7">
                              <w:pPr>
                                <w:jc w:val="center"/>
                                <w:rPr>
                                  <w:rFonts w:hint="default" w:eastAsia="黑体"/>
                                  <w:sz w:val="18"/>
                                  <w:szCs w:val="18"/>
                                  <w:lang w:val="en-US" w:eastAsia="zh-CN"/>
                                </w:rPr>
                              </w:pPr>
                              <w:r>
                                <w:rPr>
                                  <w:rFonts w:hint="eastAsia" w:eastAsia="黑体"/>
                                  <w:sz w:val="18"/>
                                  <w:szCs w:val="18"/>
                                  <w:lang w:val="en-US" w:eastAsia="zh-CN"/>
                                </w:rPr>
                                <w:t>10</w:t>
                              </w:r>
                            </w:p>
                          </w:txbxContent>
                        </v:textbox>
                      </v:rect>
                      <v:shape id="AutoShape 2824" o:spid="_x0000_s1026" o:spt="32" type="#_x0000_t32" style="position:absolute;left:2020570;top:4137273;height:635;width:516890;" filled="f" stroked="t" coordsize="21600,21600" o:gfxdata="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plGRfWAAAABQEAAA8AAAAAAAAAAQAgAAAAIgAA&#10;AGRycy9kb3ducmV2LnhtbFBLAQIUABQAAAAIAIdO4kBAv/2QCgIAAA4EAAAOAAAAAAAAAAEAIAAA&#10;ACUBAABkcnMvZTJvRG9jLnhtbFBLBQYAAAAABgAGAFkBAAChBQAAAAA=&#10;">
                        <v:fill on="f" focussize="0,0"/>
                        <v:stroke color="#000000" joinstyle="round" endarrow="block" endarrowwidth="narrow"/>
                        <v:imagedata o:title=""/>
                        <o:lock v:ext="edit" aspectratio="f"/>
                      </v:shape>
                      <v:shape id="自选图形 103" o:spid="_x0000_s1026" o:spt="34" type="#_x0000_t34" style="position:absolute;left:2265045;top:1287420;height:1415082;width:5080;rotation:5898240f;" filled="f" stroked="t" coordsize="21600,21600" o:gfxdata="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7snX9QAAAAFAQAADwAAAAAAAAABACAAAAAi&#10;AAAAZHJzL2Rvd25yZXYueG1sUEsBAhQAFAAAAAgAh07iQCN1S8NHAgAAVQQAAA4AAAAAAAAAAQAg&#10;AAAAIwEAAGRycy9lMm9Eb2MueG1sUEsFBgAAAAAGAAYAWQEAANwFAAAAAA==&#10;" adj="990900">
                        <v:fill on="f" focussize="0,0"/>
                        <v:stroke color="#000000" joinstyle="miter" endarrow="block" endarrowwidth="narrow"/>
                        <v:imagedata o:title=""/>
                        <o:lock v:ext="edit" aspectratio="f"/>
                      </v:shape>
                      <v:shape id="自选图形 104" o:spid="_x0000_s1026" o:spt="34" type="#_x0000_t34" style="position:absolute;left:2251075;top:3556759;height:1404285;width:635;rotation:5898240f;" filled="f" stroked="t" coordsize="21600,21600" o:gfxdata="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eI+xNQAAAAFAQAADwAAAAAAAAABACAAAAAiAAAA&#10;ZHJzL2Rvd25yZXYueG1sUEsBAhQAFAAAAAgAh07iQNi41OlEAgAAVQQAAA4AAAAAAAAAAQAgAAAA&#10;IwEAAGRycy9lMm9Eb2MueG1sUEsFBgAAAAAGAAYAWQEAANkFAAAAAA==&#10;" adj="7754400">
                        <v:fill on="f" focussize="0,0"/>
                        <v:stroke color="#000000" joinstyle="miter" endarrow="block" endarrowwidth="narrow"/>
                        <v:imagedata o:title=""/>
                        <o:lock v:ext="edit" aspectratio="f"/>
                      </v:shape>
                      <v:shape id="自选图形 105" o:spid="_x0000_s1026" o:spt="34" type="#_x0000_t34" style="position:absolute;left:2259965;top:4552017;height:1389677;width:635;rotation:5898240f;" filled="f" stroked="t" coordsize="21600,21600" o:gfxdata="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l4j7E1AAAAAUBAAAPAAAAAAAAAAEAIAAAACIAAABk&#10;cnMvZG93bnJldi54bWxQSwECFAAUAAAACACHTuJA4xPU8kMCAABVBAAADgAAAAAAAAABACAAAAAj&#10;AQAAZHJzL2Uyb0RvYy54bWxQSwUGAAAAAAYABgBZAQAA2AUAAAAA&#10;" adj="7754400">
                        <v:fill on="f" focussize="0,0"/>
                        <v:stroke color="#000000" joinstyle="miter" endarrow="block" endarrowwidth="narrow"/>
                        <v:imagedata o:title=""/>
                        <o:lock v:ext="edit" aspectratio="f"/>
                      </v:shape>
                      <v:rect id="Rectangle 2825" o:spid="_x0000_s1026" o:spt="1" style="position:absolute;left:1097915;top:3261421;height:239446;width:890270;v-text-anchor:middle;" filled="f" stroked="f" coordsize="21600,21600" o:gfxdata="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J8JN7UAAAABQEAAA8AAAAAAAAAAQAgAAAAIgAAAGRycy9k&#10;b3ducmV2LnhtbFBLAQIUABQAAAAIAIdO4kC0OVb4zQEAAJYDAAAOAAAAAAAAAAEAIAAAACMBAABk&#10;cnMvZTJvRG9jLnhtbFBLBQYAAAAABgAGAFkBAABiBQAAAAA=&#10;">
                        <v:fill on="f" focussize="0,0"/>
                        <v:stroke on="f"/>
                        <v:imagedata o:title=""/>
                        <o:lock v:ext="edit" aspectratio="f"/>
                        <v:textbox style="mso-fit-shape-to-text:t;">
                          <w:txbxContent>
                            <w:p w14:paraId="5ECD77B4">
                              <w:pPr>
                                <w:jc w:val="center"/>
                                <w:rPr>
                                  <w:rFonts w:ascii="黑体" w:hAnsi="黑体" w:eastAsia="黑体"/>
                                  <w:sz w:val="18"/>
                                  <w:szCs w:val="18"/>
                                </w:rPr>
                              </w:pPr>
                              <w:r>
                                <w:rPr>
                                  <w:rFonts w:hint="eastAsia" w:ascii="黑体" w:hAnsi="黑体" w:eastAsia="黑体"/>
                                  <w:sz w:val="18"/>
                                  <w:szCs w:val="18"/>
                                </w:rPr>
                                <w:t>初期雨水</w:t>
                              </w:r>
                            </w:p>
                          </w:txbxContent>
                        </v:textbox>
                      </v:rect>
                      <v:shape id="自选图形 107" o:spid="_x0000_s1026" o:spt="32" type="#_x0000_t32" style="position:absolute;left:1551940;top:2938137;flip:y;height:323284;width:635;" filled="f" stroked="t" coordsize="21600,21600" o:gfxdata="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Z&#10;Uk0G1gAAAAUBAAAPAAAAAAAAAAEAIAAAACIAAABkcnMvZG93bnJldi54bWxQSwECFAAUAAAACACH&#10;TuJARPqFviYCAAAaBAAADgAAAAAAAAABACAAAAAlAQAAZHJzL2Uyb0RvYy54bWxQSwUGAAAAAAYA&#10;BgBZAQAAvQUAAAAA&#10;">
                        <v:fill on="f" focussize="0,0"/>
                        <v:stroke color="#000000" joinstyle="round" endarrow="block" endarrowwidth="narrow"/>
                        <v:imagedata o:title=""/>
                        <o:lock v:ext="edit" aspectratio="f"/>
                      </v:shape>
                      <v:rect id="Rectangle 2833" o:spid="_x0000_s1026" o:spt="1" style="position:absolute;left:1443990;top:2962272;height:308041;width:516890;v-text-anchor:middle;" filled="f" stroked="f" coordsize="21600,21600" o:gfxdata="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RbsLrRAAAABQEAAA8AAAAAAAAAAQAgAAAAIgAAAGRycy9kb3ducmV2LnhtbFBLAQIUABQA&#10;AAAIAIdO4kB9kAA4vgEAAHwDAAAOAAAAAAAAAAEAIAAAACABAABkcnMvZTJvRG9jLnhtbFBLBQYA&#10;AAAABgAGAFkBAABQBQAAAAA=&#10;">
                        <v:fill on="f" focussize="0,0"/>
                        <v:stroke on="f"/>
                        <v:imagedata o:title=""/>
                        <o:lock v:ext="edit" aspectratio="f"/>
                        <v:textbox>
                          <w:txbxContent>
                            <w:p w14:paraId="7938D8FC">
                              <w:pPr>
                                <w:jc w:val="center"/>
                                <w:rPr>
                                  <w:rFonts w:eastAsia="黑体"/>
                                  <w:sz w:val="18"/>
                                  <w:szCs w:val="18"/>
                                </w:rPr>
                              </w:pPr>
                              <w:r>
                                <w:rPr>
                                  <w:rFonts w:hint="eastAsia" w:eastAsia="黑体"/>
                                  <w:sz w:val="18"/>
                                  <w:szCs w:val="18"/>
                                </w:rPr>
                                <w:t>3.15</w:t>
                              </w:r>
                            </w:p>
                          </w:txbxContent>
                        </v:textbox>
                      </v:rect>
                      <w10:wrap type="none"/>
                      <w10:anchorlock/>
                    </v:group>
                  </w:pict>
                </mc:Fallback>
              </mc:AlternateContent>
            </w:r>
          </w:p>
          <w:p w14:paraId="63185FDF">
            <w:pPr>
              <w:spacing w:line="360" w:lineRule="auto"/>
              <w:jc w:val="center"/>
              <w:rPr>
                <w:rFonts w:eastAsia="黑体"/>
                <w:color w:val="000000"/>
              </w:rPr>
            </w:pPr>
            <w:r>
              <w:rPr>
                <w:rFonts w:hAnsi="黑体" w:eastAsia="黑体"/>
                <w:color w:val="000000"/>
              </w:rPr>
              <w:t>图</w:t>
            </w:r>
            <w:r>
              <w:rPr>
                <w:color w:val="000000"/>
              </w:rPr>
              <w:t>2-1</w:t>
            </w:r>
            <w:r>
              <w:rPr>
                <w:rFonts w:hAnsi="黑体" w:eastAsia="黑体"/>
                <w:color w:val="000000"/>
              </w:rPr>
              <w:t>本项目营运期水平衡图</w:t>
            </w:r>
            <w:r>
              <w:rPr>
                <w:rFonts w:hint="eastAsia" w:hAnsi="黑体" w:eastAsia="黑体"/>
                <w:color w:val="000000"/>
              </w:rPr>
              <w:t>单位：</w:t>
            </w:r>
            <w:r>
              <w:rPr>
                <w:rFonts w:eastAsia="黑体"/>
                <w:color w:val="000000"/>
              </w:rPr>
              <w:t>m</w:t>
            </w:r>
            <w:r>
              <w:rPr>
                <w:rFonts w:eastAsia="黑体"/>
                <w:color w:val="000000"/>
                <w:vertAlign w:val="superscript"/>
              </w:rPr>
              <w:t>3</w:t>
            </w:r>
            <w:r>
              <w:rPr>
                <w:rFonts w:eastAsia="黑体"/>
                <w:color w:val="000000"/>
              </w:rPr>
              <w:t>/d</w:t>
            </w:r>
          </w:p>
          <w:p w14:paraId="7045C2ED">
            <w:pPr>
              <w:spacing w:line="480" w:lineRule="exact"/>
              <w:ind w:firstLine="420" w:firstLineChars="200"/>
              <w:outlineLvl w:val="0"/>
              <w:rPr>
                <w:rFonts w:hint="eastAsia"/>
                <w:bCs/>
              </w:rPr>
            </w:pPr>
          </w:p>
          <w:p w14:paraId="56453E6C">
            <w:pPr>
              <w:spacing w:line="480" w:lineRule="exact"/>
              <w:ind w:firstLine="420" w:firstLineChars="200"/>
              <w:outlineLvl w:val="0"/>
              <w:rPr>
                <w:rFonts w:hint="eastAsia"/>
                <w:bCs/>
                <w:lang w:val="en-US" w:eastAsia="zh-CN"/>
              </w:rPr>
            </w:pPr>
          </w:p>
          <w:p w14:paraId="418C67E5">
            <w:pPr>
              <w:spacing w:line="480" w:lineRule="exact"/>
              <w:ind w:firstLine="420" w:firstLineChars="200"/>
              <w:outlineLvl w:val="0"/>
              <w:rPr>
                <w:rFonts w:hint="eastAsia"/>
                <w:bCs/>
                <w:lang w:val="en-US" w:eastAsia="zh-CN"/>
              </w:rPr>
            </w:pPr>
          </w:p>
          <w:p w14:paraId="74699476">
            <w:pPr>
              <w:spacing w:line="480" w:lineRule="exact"/>
              <w:ind w:firstLine="420" w:firstLineChars="200"/>
              <w:outlineLvl w:val="0"/>
              <w:rPr>
                <w:rFonts w:hint="eastAsia"/>
                <w:bCs/>
                <w:lang w:val="en-US" w:eastAsia="zh-CN"/>
              </w:rPr>
            </w:pPr>
          </w:p>
          <w:p w14:paraId="57D58C39">
            <w:pPr>
              <w:spacing w:line="480" w:lineRule="exact"/>
              <w:ind w:firstLine="420" w:firstLineChars="200"/>
              <w:outlineLvl w:val="0"/>
              <w:rPr>
                <w:rFonts w:hint="eastAsia"/>
                <w:bCs/>
                <w:lang w:val="en-US" w:eastAsia="zh-CN"/>
              </w:rPr>
            </w:pPr>
          </w:p>
          <w:p w14:paraId="21E83402">
            <w:pPr>
              <w:spacing w:line="480" w:lineRule="exact"/>
              <w:ind w:firstLine="420" w:firstLineChars="200"/>
              <w:outlineLvl w:val="0"/>
              <w:rPr>
                <w:rFonts w:hint="eastAsia"/>
                <w:bCs/>
                <w:lang w:val="en-US" w:eastAsia="zh-CN"/>
              </w:rPr>
            </w:pPr>
          </w:p>
          <w:p w14:paraId="0B4677CF">
            <w:pPr>
              <w:spacing w:line="480" w:lineRule="exact"/>
              <w:ind w:firstLine="420" w:firstLineChars="200"/>
              <w:outlineLvl w:val="0"/>
              <w:rPr>
                <w:rFonts w:hint="eastAsia"/>
                <w:bCs/>
                <w:lang w:val="en-US" w:eastAsia="zh-CN"/>
              </w:rPr>
            </w:pPr>
          </w:p>
          <w:p w14:paraId="782D8D9E">
            <w:pPr>
              <w:spacing w:line="480" w:lineRule="exact"/>
              <w:outlineLvl w:val="0"/>
              <w:rPr>
                <w:rFonts w:hint="eastAsia" w:eastAsia="宋体"/>
                <w:bCs/>
                <w:lang w:val="en-US" w:eastAsia="zh-CN"/>
              </w:rPr>
            </w:pPr>
          </w:p>
          <w:p w14:paraId="329C2655">
            <w:pPr>
              <w:spacing w:line="360" w:lineRule="auto"/>
              <w:outlineLvl w:val="0"/>
              <w:rPr>
                <w:rFonts w:hint="eastAsia"/>
                <w:bCs/>
              </w:rPr>
            </w:pPr>
            <w:r>
              <w:rPr>
                <w:bCs/>
              </w:rPr>
              <mc:AlternateContent>
                <mc:Choice Requires="wpc">
                  <w:drawing>
                    <wp:inline distT="0" distB="0" distL="114300" distR="114300">
                      <wp:extent cx="5326380" cy="7005955"/>
                      <wp:effectExtent l="0" t="0" r="0" b="0"/>
                      <wp:docPr id="110" name="画布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8" name="矩形 48"/>
                              <wps:cNvSpPr/>
                              <wps:spPr>
                                <a:xfrm>
                                  <a:off x="1122680" y="5968906"/>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30FFEB">
                                    <w:pPr>
                                      <w:jc w:val="center"/>
                                      <w:rPr>
                                        <w:rFonts w:ascii="黑体" w:hAnsi="黑体" w:eastAsia="黑体"/>
                                        <w:sz w:val="18"/>
                                        <w:szCs w:val="18"/>
                                      </w:rPr>
                                    </w:pPr>
                                    <w:r>
                                      <w:rPr>
                                        <w:rFonts w:ascii="黑体" w:hAnsi="黑体" w:eastAsia="黑体"/>
                                        <w:sz w:val="18"/>
                                        <w:szCs w:val="18"/>
                                      </w:rPr>
                                      <w:t>生活用水</w:t>
                                    </w:r>
                                  </w:p>
                                </w:txbxContent>
                              </wps:txbx>
                              <wps:bodyPr anchor="ctr" anchorCtr="0" upright="1">
                                <a:spAutoFit/>
                              </wps:bodyPr>
                            </wps:wsp>
                            <wps:wsp>
                              <wps:cNvPr id="49" name="矩形 49"/>
                              <wps:cNvSpPr/>
                              <wps:spPr>
                                <a:xfrm>
                                  <a:off x="3725545" y="5989863"/>
                                  <a:ext cx="762000" cy="239417"/>
                                </a:xfrm>
                                <a:prstGeom prst="rect">
                                  <a:avLst/>
                                </a:prstGeom>
                                <a:noFill/>
                                <a:ln>
                                  <a:noFill/>
                                </a:ln>
                              </wps:spPr>
                              <wps:txbx>
                                <w:txbxContent>
                                  <w:p w14:paraId="104B68CD">
                                    <w:pPr>
                                      <w:jc w:val="center"/>
                                      <w:rPr>
                                        <w:rFonts w:hint="default" w:ascii="黑体" w:hAnsi="黑体" w:eastAsia="黑体"/>
                                        <w:sz w:val="18"/>
                                        <w:szCs w:val="18"/>
                                        <w:lang w:val="en-US" w:eastAsia="zh-CN"/>
                                      </w:rPr>
                                    </w:pPr>
                                    <w:r>
                                      <w:rPr>
                                        <w:rFonts w:hint="eastAsia" w:ascii="黑体" w:hAnsi="黑体" w:eastAsia="黑体"/>
                                        <w:sz w:val="18"/>
                                        <w:szCs w:val="18"/>
                                        <w:lang w:val="en-US" w:eastAsia="zh-CN"/>
                                      </w:rPr>
                                      <w:t>定期清掏</w:t>
                                    </w:r>
                                  </w:p>
                                </w:txbxContent>
                              </wps:txbx>
                              <wps:bodyPr anchor="ctr" anchorCtr="0" upright="1">
                                <a:spAutoFit/>
                              </wps:bodyPr>
                            </wps:wsp>
                            <wps:wsp>
                              <wps:cNvPr id="50" name="矩形 50"/>
                              <wps:cNvSpPr/>
                              <wps:spPr>
                                <a:xfrm>
                                  <a:off x="2553970" y="5975892"/>
                                  <a:ext cx="75565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A14C99">
                                    <w:pPr>
                                      <w:jc w:val="center"/>
                                      <w:rPr>
                                        <w:rFonts w:ascii="黑体" w:hAnsi="黑体" w:eastAsia="黑体"/>
                                        <w:sz w:val="18"/>
                                        <w:szCs w:val="18"/>
                                      </w:rPr>
                                    </w:pPr>
                                    <w:r>
                                      <w:rPr>
                                        <w:rFonts w:ascii="黑体" w:hAnsi="黑体" w:eastAsia="黑体"/>
                                        <w:sz w:val="18"/>
                                        <w:szCs w:val="18"/>
                                      </w:rPr>
                                      <w:t>化粪池</w:t>
                                    </w:r>
                                  </w:p>
                                </w:txbxContent>
                              </wps:txbx>
                              <wps:bodyPr anchor="ctr" anchorCtr="0" upright="1">
                                <a:spAutoFit/>
                              </wps:bodyPr>
                            </wps:wsp>
                            <wps:wsp>
                              <wps:cNvPr id="51" name="矩形 51"/>
                              <wps:cNvSpPr>
                                <a:spLocks noChangeArrowheads="1"/>
                              </wps:cNvSpPr>
                              <wps:spPr bwMode="auto">
                                <a:xfrm>
                                  <a:off x="-1261745" y="-970368"/>
                                  <a:ext cx="565321450" cy="292767886"/>
                                </a:xfrm>
                                <a:prstGeom prst="rect">
                                  <a:avLst/>
                                </a:prstGeom>
                                <a:noFill/>
                                <a:ln>
                                  <a:noFill/>
                                </a:ln>
                                <a:effectLst/>
                              </wps:spPr>
                              <wps:txbx>
                                <w:txbxContent>
                                  <w:p w14:paraId="7D9038D9">
                                    <w:pPr>
                                      <w:jc w:val="center"/>
                                      <w:rPr>
                                        <w:rFonts w:eastAsia="黑体"/>
                                        <w:sz w:val="18"/>
                                        <w:szCs w:val="18"/>
                                      </w:rPr>
                                    </w:pPr>
                                    <w:r>
                                      <w:rPr>
                                        <w:rFonts w:hAnsi="黑体" w:eastAsia="黑体"/>
                                        <w:sz w:val="18"/>
                                        <w:szCs w:val="18"/>
                                      </w:rPr>
                                      <w:t>新鲜水</w:t>
                                    </w:r>
                                    <w:r>
                                      <w:rPr>
                                        <w:rFonts w:hint="eastAsia" w:eastAsia="黑体"/>
                                        <w:sz w:val="18"/>
                                        <w:szCs w:val="18"/>
                                      </w:rPr>
                                      <w:t>178.1</w:t>
                                    </w:r>
                                  </w:p>
                                </w:txbxContent>
                              </wps:txbx>
                              <wps:bodyPr rot="0" vert="horz" wrap="square" lIns="91440" tIns="45720" rIns="91440" bIns="45720" anchor="ctr" anchorCtr="0" upright="1">
                                <a:noAutofit/>
                              </wps:bodyPr>
                            </wps:wsp>
                            <wps:wsp>
                              <wps:cNvPr id="52" name="直接箭头连接符 52"/>
                              <wps:cNvCnPr/>
                              <wps:spPr>
                                <a:xfrm>
                                  <a:off x="593090" y="332770"/>
                                  <a:ext cx="13970" cy="6364547"/>
                                </a:xfrm>
                                <a:prstGeom prst="straightConnector1">
                                  <a:avLst/>
                                </a:prstGeom>
                                <a:ln w="9525" cap="flat" cmpd="sng">
                                  <a:solidFill>
                                    <a:srgbClr val="000000"/>
                                  </a:solidFill>
                                  <a:prstDash val="solid"/>
                                  <a:headEnd type="none" w="med" len="med"/>
                                  <a:tailEnd type="none" w="med" len="med"/>
                                </a:ln>
                              </wps:spPr>
                              <wps:bodyPr/>
                            </wps:wsp>
                            <wps:wsp>
                              <wps:cNvPr id="53" name="直接箭头连接符 53"/>
                              <wps:cNvCnPr/>
                              <wps:spPr>
                                <a:xfrm>
                                  <a:off x="608965" y="6082581"/>
                                  <a:ext cx="516890" cy="635"/>
                                </a:xfrm>
                                <a:prstGeom prst="straightConnector1">
                                  <a:avLst/>
                                </a:prstGeom>
                                <a:ln w="9525" cap="flat" cmpd="sng">
                                  <a:solidFill>
                                    <a:srgbClr val="000000"/>
                                  </a:solidFill>
                                  <a:prstDash val="solid"/>
                                  <a:headEnd type="none" w="med" len="med"/>
                                  <a:tailEnd type="triangle" w="sm" len="med"/>
                                </a:ln>
                              </wps:spPr>
                              <wps:bodyPr/>
                            </wps:wsp>
                            <wps:wsp>
                              <wps:cNvPr id="54" name="直接箭头连接符 54"/>
                              <wps:cNvCnPr/>
                              <wps:spPr>
                                <a:xfrm>
                                  <a:off x="2014855" y="6133386"/>
                                  <a:ext cx="516890" cy="635"/>
                                </a:xfrm>
                                <a:prstGeom prst="straightConnector1">
                                  <a:avLst/>
                                </a:prstGeom>
                                <a:ln w="9525" cap="flat" cmpd="sng">
                                  <a:solidFill>
                                    <a:srgbClr val="000000"/>
                                  </a:solidFill>
                                  <a:prstDash val="solid"/>
                                  <a:headEnd type="none" w="med" len="med"/>
                                  <a:tailEnd type="triangle" w="sm" len="med"/>
                                </a:ln>
                              </wps:spPr>
                              <wps:bodyPr/>
                            </wps:wsp>
                            <wps:wsp>
                              <wps:cNvPr id="55" name="矩形 55"/>
                              <wps:cNvSpPr/>
                              <wps:spPr>
                                <a:xfrm>
                                  <a:off x="1988185" y="5901590"/>
                                  <a:ext cx="516890" cy="308003"/>
                                </a:xfrm>
                                <a:prstGeom prst="rect">
                                  <a:avLst/>
                                </a:prstGeom>
                                <a:noFill/>
                                <a:ln>
                                  <a:noFill/>
                                </a:ln>
                              </wps:spPr>
                              <wps:txbx>
                                <w:txbxContent>
                                  <w:p w14:paraId="35282B14">
                                    <w:pPr>
                                      <w:jc w:val="center"/>
                                      <w:rPr>
                                        <w:rFonts w:eastAsia="黑体"/>
                                        <w:sz w:val="18"/>
                                        <w:szCs w:val="18"/>
                                      </w:rPr>
                                    </w:pPr>
                                    <w:r>
                                      <w:rPr>
                                        <w:rFonts w:hint="eastAsia" w:eastAsia="黑体"/>
                                        <w:sz w:val="18"/>
                                        <w:szCs w:val="18"/>
                                      </w:rPr>
                                      <w:t>1.6</w:t>
                                    </w:r>
                                  </w:p>
                                </w:txbxContent>
                              </wps:txbx>
                              <wps:bodyPr anchor="ctr" anchorCtr="0" upright="1"/>
                            </wps:wsp>
                            <wps:wsp>
                              <wps:cNvPr id="56" name="任意多边形 56"/>
                              <wps:cNvSpPr/>
                              <wps:spPr>
                                <a:xfrm rot="-155643">
                                  <a:off x="1479550" y="5748541"/>
                                  <a:ext cx="316230" cy="203853"/>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upright="1"/>
                            </wps:wsp>
                            <wps:wsp>
                              <wps:cNvPr id="57" name="矩形 57"/>
                              <wps:cNvSpPr/>
                              <wps:spPr>
                                <a:xfrm>
                                  <a:off x="605790" y="5879363"/>
                                  <a:ext cx="516890" cy="308003"/>
                                </a:xfrm>
                                <a:prstGeom prst="rect">
                                  <a:avLst/>
                                </a:prstGeom>
                                <a:noFill/>
                                <a:ln>
                                  <a:noFill/>
                                </a:ln>
                              </wps:spPr>
                              <wps:txbx>
                                <w:txbxContent>
                                  <w:p w14:paraId="2E55E43A">
                                    <w:pPr>
                                      <w:jc w:val="center"/>
                                      <w:rPr>
                                        <w:rFonts w:eastAsia="黑体"/>
                                        <w:sz w:val="18"/>
                                        <w:szCs w:val="18"/>
                                      </w:rPr>
                                    </w:pPr>
                                    <w:r>
                                      <w:rPr>
                                        <w:rFonts w:hint="eastAsia" w:eastAsia="黑体"/>
                                        <w:sz w:val="18"/>
                                        <w:szCs w:val="18"/>
                                      </w:rPr>
                                      <w:t>2</w:t>
                                    </w:r>
                                  </w:p>
                                </w:txbxContent>
                              </wps:txbx>
                              <wps:bodyPr anchor="ctr" anchorCtr="0" upright="1"/>
                            </wps:wsp>
                            <wps:wsp>
                              <wps:cNvPr id="58" name="直接箭头连接符 58"/>
                              <wps:cNvCnPr/>
                              <wps:spPr>
                                <a:xfrm>
                                  <a:off x="605790" y="2777742"/>
                                  <a:ext cx="516890" cy="635"/>
                                </a:xfrm>
                                <a:prstGeom prst="straightConnector1">
                                  <a:avLst/>
                                </a:prstGeom>
                                <a:ln w="9525" cap="flat" cmpd="sng">
                                  <a:solidFill>
                                    <a:srgbClr val="000000"/>
                                  </a:solidFill>
                                  <a:prstDash val="solid"/>
                                  <a:headEnd type="none" w="med" len="med"/>
                                  <a:tailEnd type="triangle" w="sm" len="med"/>
                                </a:ln>
                              </wps:spPr>
                              <wps:bodyPr/>
                            </wps:wsp>
                            <wps:wsp>
                              <wps:cNvPr id="59" name="矩形 59"/>
                              <wps:cNvSpPr/>
                              <wps:spPr>
                                <a:xfrm>
                                  <a:off x="1122680" y="2638664"/>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EBE9B0">
                                    <w:pPr>
                                      <w:jc w:val="center"/>
                                      <w:rPr>
                                        <w:rFonts w:ascii="黑体" w:hAnsi="黑体" w:eastAsia="黑体"/>
                                        <w:sz w:val="18"/>
                                        <w:szCs w:val="18"/>
                                      </w:rPr>
                                    </w:pPr>
                                    <w:r>
                                      <w:rPr>
                                        <w:rFonts w:hint="eastAsia" w:ascii="黑体" w:hAnsi="黑体" w:eastAsia="黑体"/>
                                        <w:sz w:val="18"/>
                                        <w:szCs w:val="18"/>
                                      </w:rPr>
                                      <w:t>原料搅拌用水</w:t>
                                    </w:r>
                                  </w:p>
                                </w:txbxContent>
                              </wps:txbx>
                              <wps:bodyPr anchor="ctr" anchorCtr="0" upright="1">
                                <a:spAutoFit/>
                              </wps:bodyPr>
                            </wps:wsp>
                            <wps:wsp>
                              <wps:cNvPr id="60" name="直接箭头连接符 60"/>
                              <wps:cNvCnPr/>
                              <wps:spPr>
                                <a:xfrm>
                                  <a:off x="593090" y="1088489"/>
                                  <a:ext cx="516890" cy="635"/>
                                </a:xfrm>
                                <a:prstGeom prst="straightConnector1">
                                  <a:avLst/>
                                </a:prstGeom>
                                <a:ln w="9525" cap="flat" cmpd="sng">
                                  <a:solidFill>
                                    <a:srgbClr val="000000"/>
                                  </a:solidFill>
                                  <a:prstDash val="solid"/>
                                  <a:headEnd type="none" w="med" len="med"/>
                                  <a:tailEnd type="triangle" w="sm" len="med"/>
                                </a:ln>
                              </wps:spPr>
                              <wps:bodyPr/>
                            </wps:wsp>
                            <wps:wsp>
                              <wps:cNvPr id="61" name="矩形 61"/>
                              <wps:cNvSpPr/>
                              <wps:spPr>
                                <a:xfrm>
                                  <a:off x="1117600" y="931629"/>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FD26E1">
                                    <w:pPr>
                                      <w:jc w:val="center"/>
                                      <w:rPr>
                                        <w:rFonts w:ascii="黑体" w:hAnsi="黑体" w:eastAsia="黑体"/>
                                        <w:sz w:val="18"/>
                                        <w:szCs w:val="18"/>
                                      </w:rPr>
                                    </w:pPr>
                                    <w:r>
                                      <w:rPr>
                                        <w:rFonts w:hint="eastAsia" w:ascii="黑体" w:hAnsi="黑体" w:eastAsia="黑体"/>
                                        <w:sz w:val="18"/>
                                        <w:szCs w:val="18"/>
                                      </w:rPr>
                                      <w:t>喷淋用水</w:t>
                                    </w:r>
                                  </w:p>
                                </w:txbxContent>
                              </wps:txbx>
                              <wps:bodyPr anchor="ctr" anchorCtr="0" upright="1">
                                <a:spAutoFit/>
                              </wps:bodyPr>
                            </wps:wsp>
                            <wps:wsp>
                              <wps:cNvPr id="62" name="矩形 62"/>
                              <wps:cNvSpPr/>
                              <wps:spPr>
                                <a:xfrm>
                                  <a:off x="2529840" y="1693063"/>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EA0F4">
                                    <w:pPr>
                                      <w:jc w:val="center"/>
                                      <w:rPr>
                                        <w:rFonts w:ascii="黑体" w:hAnsi="黑体" w:eastAsia="黑体"/>
                                        <w:sz w:val="18"/>
                                        <w:szCs w:val="18"/>
                                      </w:rPr>
                                    </w:pPr>
                                    <w:r>
                                      <w:rPr>
                                        <w:rFonts w:hint="eastAsia" w:ascii="黑体" w:hAnsi="黑体" w:eastAsia="黑体"/>
                                        <w:sz w:val="18"/>
                                        <w:szCs w:val="18"/>
                                      </w:rPr>
                                      <w:t>沉淀池</w:t>
                                    </w:r>
                                  </w:p>
                                </w:txbxContent>
                              </wps:txbx>
                              <wps:bodyPr anchor="ctr" anchorCtr="0" upright="1">
                                <a:spAutoFit/>
                              </wps:bodyPr>
                            </wps:wsp>
                            <wps:wsp>
                              <wps:cNvPr id="63" name="矩形 63"/>
                              <wps:cNvSpPr/>
                              <wps:spPr>
                                <a:xfrm>
                                  <a:off x="605790" y="2570713"/>
                                  <a:ext cx="516890" cy="308003"/>
                                </a:xfrm>
                                <a:prstGeom prst="rect">
                                  <a:avLst/>
                                </a:prstGeom>
                                <a:noFill/>
                                <a:ln>
                                  <a:noFill/>
                                </a:ln>
                              </wps:spPr>
                              <wps:txbx>
                                <w:txbxContent>
                                  <w:p w14:paraId="6525C4D0">
                                    <w:pPr>
                                      <w:jc w:val="center"/>
                                      <w:rPr>
                                        <w:rFonts w:eastAsia="黑体"/>
                                        <w:sz w:val="18"/>
                                        <w:szCs w:val="18"/>
                                      </w:rPr>
                                    </w:pPr>
                                    <w:r>
                                      <w:rPr>
                                        <w:rFonts w:hint="eastAsia" w:eastAsia="黑体"/>
                                        <w:sz w:val="18"/>
                                        <w:szCs w:val="18"/>
                                      </w:rPr>
                                      <w:t>156.85</w:t>
                                    </w:r>
                                  </w:p>
                                </w:txbxContent>
                              </wps:txbx>
                              <wps:bodyPr anchor="ctr" anchorCtr="0" upright="1"/>
                            </wps:wsp>
                            <wps:wsp>
                              <wps:cNvPr id="64" name="矩形 64"/>
                              <wps:cNvSpPr/>
                              <wps:spPr>
                                <a:xfrm>
                                  <a:off x="593090" y="888446"/>
                                  <a:ext cx="516890" cy="245767"/>
                                </a:xfrm>
                                <a:prstGeom prst="rect">
                                  <a:avLst/>
                                </a:prstGeom>
                                <a:noFill/>
                                <a:ln>
                                  <a:noFill/>
                                </a:ln>
                              </wps:spPr>
                              <wps:txbx>
                                <w:txbxContent>
                                  <w:p w14:paraId="7948F88F">
                                    <w:pPr>
                                      <w:jc w:val="center"/>
                                      <w:rPr>
                                        <w:rFonts w:eastAsia="黑体"/>
                                        <w:sz w:val="18"/>
                                        <w:szCs w:val="18"/>
                                      </w:rPr>
                                    </w:pPr>
                                    <w:r>
                                      <w:rPr>
                                        <w:rFonts w:hint="eastAsia" w:eastAsia="黑体"/>
                                        <w:sz w:val="18"/>
                                        <w:szCs w:val="18"/>
                                      </w:rPr>
                                      <w:t>0.64</w:t>
                                    </w:r>
                                  </w:p>
                                </w:txbxContent>
                              </wps:txbx>
                              <wps:bodyPr anchor="ctr" anchorCtr="0" upright="1"/>
                            </wps:wsp>
                            <wps:wsp>
                              <wps:cNvPr id="65" name="任意多边形 65"/>
                              <wps:cNvSpPr/>
                              <wps:spPr>
                                <a:xfrm rot="-155643">
                                  <a:off x="1451610" y="718885"/>
                                  <a:ext cx="316230" cy="203853"/>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upright="1"/>
                            </wps:wsp>
                            <wps:wsp>
                              <wps:cNvPr id="66" name="矩形 66"/>
                              <wps:cNvSpPr/>
                              <wps:spPr>
                                <a:xfrm>
                                  <a:off x="1513840" y="496615"/>
                                  <a:ext cx="516890" cy="308003"/>
                                </a:xfrm>
                                <a:prstGeom prst="rect">
                                  <a:avLst/>
                                </a:prstGeom>
                                <a:noFill/>
                                <a:ln>
                                  <a:noFill/>
                                </a:ln>
                              </wps:spPr>
                              <wps:txbx>
                                <w:txbxContent>
                                  <w:p w14:paraId="229CD4EF">
                                    <w:pPr>
                                      <w:jc w:val="center"/>
                                      <w:rPr>
                                        <w:rFonts w:eastAsia="黑体"/>
                                        <w:sz w:val="18"/>
                                        <w:szCs w:val="18"/>
                                      </w:rPr>
                                    </w:pPr>
                                    <w:r>
                                      <w:rPr>
                                        <w:rFonts w:hint="eastAsia" w:eastAsia="黑体"/>
                                        <w:sz w:val="18"/>
                                        <w:szCs w:val="18"/>
                                      </w:rPr>
                                      <w:t>0.64</w:t>
                                    </w:r>
                                  </w:p>
                                </w:txbxContent>
                              </wps:txbx>
                              <wps:bodyPr anchor="ctr" anchorCtr="0" upright="1"/>
                            </wps:wsp>
                            <wps:wsp>
                              <wps:cNvPr id="67" name="矩形 67"/>
                              <wps:cNvSpPr/>
                              <wps:spPr>
                                <a:xfrm>
                                  <a:off x="1577975" y="5531986"/>
                                  <a:ext cx="516890" cy="308003"/>
                                </a:xfrm>
                                <a:prstGeom prst="rect">
                                  <a:avLst/>
                                </a:prstGeom>
                                <a:noFill/>
                                <a:ln>
                                  <a:noFill/>
                                </a:ln>
                              </wps:spPr>
                              <wps:txbx>
                                <w:txbxContent>
                                  <w:p w14:paraId="47B36887">
                                    <w:pPr>
                                      <w:jc w:val="center"/>
                                      <w:rPr>
                                        <w:rFonts w:eastAsia="黑体"/>
                                        <w:sz w:val="18"/>
                                        <w:szCs w:val="18"/>
                                      </w:rPr>
                                    </w:pPr>
                                    <w:r>
                                      <w:rPr>
                                        <w:rFonts w:hint="eastAsia" w:eastAsia="黑体"/>
                                        <w:sz w:val="18"/>
                                        <w:szCs w:val="18"/>
                                      </w:rPr>
                                      <w:t>0.4</w:t>
                                    </w:r>
                                  </w:p>
                                </w:txbxContent>
                              </wps:txbx>
                              <wps:bodyPr anchor="ctr" anchorCtr="0" upright="1"/>
                            </wps:wsp>
                            <wps:wsp>
                              <wps:cNvPr id="68" name="矩形 68"/>
                              <wps:cNvSpPr/>
                              <wps:spPr>
                                <a:xfrm>
                                  <a:off x="3208655" y="5925087"/>
                                  <a:ext cx="516890" cy="308003"/>
                                </a:xfrm>
                                <a:prstGeom prst="rect">
                                  <a:avLst/>
                                </a:prstGeom>
                                <a:noFill/>
                                <a:ln>
                                  <a:noFill/>
                                </a:ln>
                              </wps:spPr>
                              <wps:txbx>
                                <w:txbxContent>
                                  <w:p w14:paraId="6F14B5F7">
                                    <w:pPr>
                                      <w:jc w:val="center"/>
                                      <w:rPr>
                                        <w:rFonts w:eastAsia="黑体"/>
                                        <w:sz w:val="18"/>
                                        <w:szCs w:val="18"/>
                                      </w:rPr>
                                    </w:pPr>
                                    <w:r>
                                      <w:rPr>
                                        <w:rFonts w:hint="eastAsia" w:eastAsia="黑体"/>
                                        <w:sz w:val="18"/>
                                        <w:szCs w:val="18"/>
                                      </w:rPr>
                                      <w:t>1.6</w:t>
                                    </w:r>
                                  </w:p>
                                </w:txbxContent>
                              </wps:txbx>
                              <wps:bodyPr anchor="ctr" anchorCtr="0" upright="1"/>
                            </wps:wsp>
                            <wps:wsp>
                              <wps:cNvPr id="69" name="矩形 69"/>
                              <wps:cNvSpPr/>
                              <wps:spPr>
                                <a:xfrm>
                                  <a:off x="1115060" y="1698144"/>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2B9D48">
                                    <w:pPr>
                                      <w:jc w:val="center"/>
                                      <w:rPr>
                                        <w:rFonts w:ascii="黑体" w:hAnsi="黑体" w:eastAsia="黑体"/>
                                        <w:sz w:val="18"/>
                                        <w:szCs w:val="18"/>
                                      </w:rPr>
                                    </w:pPr>
                                    <w:r>
                                      <w:rPr>
                                        <w:rFonts w:hint="eastAsia" w:ascii="黑体" w:hAnsi="黑体" w:eastAsia="黑体"/>
                                        <w:sz w:val="18"/>
                                        <w:szCs w:val="18"/>
                                      </w:rPr>
                                      <w:t>车辆清洗废水</w:t>
                                    </w:r>
                                  </w:p>
                                </w:txbxContent>
                              </wps:txbx>
                              <wps:bodyPr anchor="ctr" anchorCtr="0" upright="1">
                                <a:spAutoFit/>
                              </wps:bodyPr>
                            </wps:wsp>
                            <wps:wsp>
                              <wps:cNvPr id="70" name="直接箭头连接符 70"/>
                              <wps:cNvCnPr/>
                              <wps:spPr>
                                <a:xfrm>
                                  <a:off x="3301365" y="6134021"/>
                                  <a:ext cx="457200" cy="635"/>
                                </a:xfrm>
                                <a:prstGeom prst="straightConnector1">
                                  <a:avLst/>
                                </a:prstGeom>
                                <a:ln w="9525" cap="flat" cmpd="sng">
                                  <a:solidFill>
                                    <a:srgbClr val="000000"/>
                                  </a:solidFill>
                                  <a:prstDash val="solid"/>
                                  <a:headEnd type="none" w="med" len="med"/>
                                  <a:tailEnd type="triangle" w="sm" len="med"/>
                                </a:ln>
                              </wps:spPr>
                              <wps:bodyPr/>
                            </wps:wsp>
                            <wps:wsp>
                              <wps:cNvPr id="71" name="直接箭头连接符 71"/>
                              <wps:cNvCnPr/>
                              <wps:spPr>
                                <a:xfrm>
                                  <a:off x="593090" y="1845477"/>
                                  <a:ext cx="516890" cy="635"/>
                                </a:xfrm>
                                <a:prstGeom prst="straightConnector1">
                                  <a:avLst/>
                                </a:prstGeom>
                                <a:ln w="9525" cap="flat" cmpd="sng">
                                  <a:solidFill>
                                    <a:srgbClr val="000000"/>
                                  </a:solidFill>
                                  <a:prstDash val="solid"/>
                                  <a:headEnd type="none" w="med" len="med"/>
                                  <a:tailEnd type="triangle" w="sm" len="med"/>
                                </a:ln>
                              </wps:spPr>
                              <wps:bodyPr/>
                            </wps:wsp>
                            <wps:wsp>
                              <wps:cNvPr id="72" name="矩形 72"/>
                              <wps:cNvSpPr/>
                              <wps:spPr>
                                <a:xfrm>
                                  <a:off x="593090" y="1654325"/>
                                  <a:ext cx="516890" cy="245767"/>
                                </a:xfrm>
                                <a:prstGeom prst="rect">
                                  <a:avLst/>
                                </a:prstGeom>
                                <a:noFill/>
                                <a:ln>
                                  <a:noFill/>
                                </a:ln>
                              </wps:spPr>
                              <wps:txbx>
                                <w:txbxContent>
                                  <w:p w14:paraId="010F6A04">
                                    <w:pPr>
                                      <w:jc w:val="center"/>
                                      <w:rPr>
                                        <w:rFonts w:eastAsia="黑体"/>
                                        <w:sz w:val="18"/>
                                        <w:szCs w:val="18"/>
                                      </w:rPr>
                                    </w:pPr>
                                    <w:r>
                                      <w:rPr>
                                        <w:rFonts w:hint="eastAsia" w:eastAsia="黑体"/>
                                        <w:sz w:val="18"/>
                                        <w:szCs w:val="18"/>
                                      </w:rPr>
                                      <w:t>0.552</w:t>
                                    </w:r>
                                  </w:p>
                                </w:txbxContent>
                              </wps:txbx>
                              <wps:bodyPr anchor="ctr" anchorCtr="0" upright="1"/>
                            </wps:wsp>
                            <wps:wsp>
                              <wps:cNvPr id="73" name="任意多边形 73"/>
                              <wps:cNvSpPr/>
                              <wps:spPr>
                                <a:xfrm rot="-155643">
                                  <a:off x="1461770" y="1491115"/>
                                  <a:ext cx="316230" cy="203853"/>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upright="1"/>
                            </wps:wsp>
                            <wps:wsp>
                              <wps:cNvPr id="74" name="矩形 74"/>
                              <wps:cNvSpPr/>
                              <wps:spPr>
                                <a:xfrm>
                                  <a:off x="1524000" y="1268845"/>
                                  <a:ext cx="516890" cy="308003"/>
                                </a:xfrm>
                                <a:prstGeom prst="rect">
                                  <a:avLst/>
                                </a:prstGeom>
                                <a:noFill/>
                                <a:ln>
                                  <a:noFill/>
                                </a:ln>
                              </wps:spPr>
                              <wps:txbx>
                                <w:txbxContent>
                                  <w:p w14:paraId="34FDB177">
                                    <w:pPr>
                                      <w:jc w:val="center"/>
                                      <w:rPr>
                                        <w:rFonts w:hint="eastAsia" w:eastAsia="黑体"/>
                                        <w:sz w:val="18"/>
                                        <w:szCs w:val="18"/>
                                      </w:rPr>
                                    </w:pPr>
                                    <w:r>
                                      <w:rPr>
                                        <w:rFonts w:hint="eastAsia" w:eastAsia="黑体"/>
                                        <w:sz w:val="18"/>
                                        <w:szCs w:val="18"/>
                                      </w:rPr>
                                      <w:t>0.552</w:t>
                                    </w:r>
                                  </w:p>
                                </w:txbxContent>
                              </wps:txbx>
                              <wps:bodyPr anchor="ctr" anchorCtr="0" upright="1"/>
                            </wps:wsp>
                            <wps:wsp>
                              <wps:cNvPr id="75" name="直接箭头连接符 75"/>
                              <wps:cNvCnPr/>
                              <wps:spPr>
                                <a:xfrm>
                                  <a:off x="2005965" y="1844842"/>
                                  <a:ext cx="516890" cy="635"/>
                                </a:xfrm>
                                <a:prstGeom prst="straightConnector1">
                                  <a:avLst/>
                                </a:prstGeom>
                                <a:ln w="9525" cap="flat" cmpd="sng">
                                  <a:solidFill>
                                    <a:srgbClr val="000000"/>
                                  </a:solidFill>
                                  <a:prstDash val="solid"/>
                                  <a:headEnd type="none" w="med" len="med"/>
                                  <a:tailEnd type="triangle" w="sm" len="med"/>
                                </a:ln>
                              </wps:spPr>
                              <wps:bodyPr/>
                            </wps:wsp>
                            <wps:wsp>
                              <wps:cNvPr id="76" name="矩形 76"/>
                              <wps:cNvSpPr/>
                              <wps:spPr>
                                <a:xfrm>
                                  <a:off x="2019300" y="1630828"/>
                                  <a:ext cx="516890" cy="245767"/>
                                </a:xfrm>
                                <a:prstGeom prst="rect">
                                  <a:avLst/>
                                </a:prstGeom>
                                <a:noFill/>
                                <a:ln>
                                  <a:noFill/>
                                </a:ln>
                              </wps:spPr>
                              <wps:txbx>
                                <w:txbxContent>
                                  <w:p w14:paraId="7E2A86C4">
                                    <w:pPr>
                                      <w:jc w:val="center"/>
                                      <w:rPr>
                                        <w:rFonts w:eastAsia="黑体"/>
                                        <w:sz w:val="18"/>
                                        <w:szCs w:val="18"/>
                                      </w:rPr>
                                    </w:pPr>
                                    <w:r>
                                      <w:rPr>
                                        <w:rFonts w:hint="eastAsia" w:eastAsia="黑体"/>
                                        <w:sz w:val="18"/>
                                        <w:szCs w:val="18"/>
                                      </w:rPr>
                                      <w:t>2.76</w:t>
                                    </w:r>
                                  </w:p>
                                </w:txbxContent>
                              </wps:txbx>
                              <wps:bodyPr anchor="ctr" anchorCtr="0" upright="1"/>
                            </wps:wsp>
                            <wps:wsp>
                              <wps:cNvPr id="77" name="矩形 77"/>
                              <wps:cNvSpPr/>
                              <wps:spPr>
                                <a:xfrm>
                                  <a:off x="2030730" y="2031549"/>
                                  <a:ext cx="516890" cy="245767"/>
                                </a:xfrm>
                                <a:prstGeom prst="rect">
                                  <a:avLst/>
                                </a:prstGeom>
                                <a:noFill/>
                                <a:ln>
                                  <a:noFill/>
                                </a:ln>
                              </wps:spPr>
                              <wps:txbx>
                                <w:txbxContent>
                                  <w:p w14:paraId="248AA4AF">
                                    <w:pPr>
                                      <w:jc w:val="center"/>
                                      <w:rPr>
                                        <w:rFonts w:eastAsia="黑体"/>
                                        <w:sz w:val="18"/>
                                        <w:szCs w:val="18"/>
                                      </w:rPr>
                                    </w:pPr>
                                    <w:r>
                                      <w:rPr>
                                        <w:rFonts w:hint="eastAsia" w:eastAsia="黑体"/>
                                        <w:sz w:val="18"/>
                                        <w:szCs w:val="18"/>
                                      </w:rPr>
                                      <w:t>2.762</w:t>
                                    </w:r>
                                  </w:p>
                                </w:txbxContent>
                              </wps:txbx>
                              <wps:bodyPr anchor="ctr" anchorCtr="0" upright="1"/>
                            </wps:wsp>
                            <wps:wsp>
                              <wps:cNvPr id="78" name="矩形 78"/>
                              <wps:cNvSpPr/>
                              <wps:spPr>
                                <a:xfrm>
                                  <a:off x="1988185" y="2576429"/>
                                  <a:ext cx="516890" cy="308003"/>
                                </a:xfrm>
                                <a:prstGeom prst="rect">
                                  <a:avLst/>
                                </a:prstGeom>
                                <a:noFill/>
                                <a:ln>
                                  <a:noFill/>
                                </a:ln>
                              </wps:spPr>
                              <wps:txbx>
                                <w:txbxContent>
                                  <w:p w14:paraId="7EF8721C">
                                    <w:pPr>
                                      <w:jc w:val="center"/>
                                      <w:rPr>
                                        <w:rFonts w:eastAsia="黑体"/>
                                        <w:sz w:val="18"/>
                                        <w:szCs w:val="18"/>
                                      </w:rPr>
                                    </w:pPr>
                                    <w:r>
                                      <w:rPr>
                                        <w:rFonts w:hint="eastAsia" w:eastAsia="黑体"/>
                                        <w:sz w:val="18"/>
                                        <w:szCs w:val="18"/>
                                      </w:rPr>
                                      <w:t>160</w:t>
                                    </w:r>
                                  </w:p>
                                </w:txbxContent>
                              </wps:txbx>
                              <wps:bodyPr anchor="ctr" anchorCtr="0" upright="1"/>
                            </wps:wsp>
                            <wps:wsp>
                              <wps:cNvPr id="79" name="直接箭头连接符 79"/>
                              <wps:cNvCnPr/>
                              <wps:spPr>
                                <a:xfrm>
                                  <a:off x="2012950" y="2778377"/>
                                  <a:ext cx="516890" cy="635"/>
                                </a:xfrm>
                                <a:prstGeom prst="straightConnector1">
                                  <a:avLst/>
                                </a:prstGeom>
                                <a:ln w="9525" cap="flat" cmpd="sng">
                                  <a:solidFill>
                                    <a:srgbClr val="000000"/>
                                  </a:solidFill>
                                  <a:prstDash val="solid"/>
                                  <a:headEnd type="none" w="med" len="med"/>
                                  <a:tailEnd type="triangle" w="sm" len="med"/>
                                </a:ln>
                              </wps:spPr>
                              <wps:bodyPr/>
                            </wps:wsp>
                            <wps:wsp>
                              <wps:cNvPr id="80" name="矩形 80"/>
                              <wps:cNvSpPr/>
                              <wps:spPr>
                                <a:xfrm>
                                  <a:off x="2505075" y="2638664"/>
                                  <a:ext cx="890270" cy="239417"/>
                                </a:xfrm>
                                <a:prstGeom prst="rect">
                                  <a:avLst/>
                                </a:prstGeom>
                                <a:noFill/>
                                <a:ln>
                                  <a:noFill/>
                                </a:ln>
                              </wps:spPr>
                              <wps:txbx>
                                <w:txbxContent>
                                  <w:p w14:paraId="379F5C56">
                                    <w:pPr>
                                      <w:jc w:val="center"/>
                                      <w:rPr>
                                        <w:rFonts w:ascii="黑体" w:hAnsi="黑体" w:eastAsia="黑体"/>
                                        <w:sz w:val="18"/>
                                        <w:szCs w:val="18"/>
                                      </w:rPr>
                                    </w:pPr>
                                    <w:r>
                                      <w:rPr>
                                        <w:rFonts w:hint="eastAsia" w:ascii="黑体" w:hAnsi="黑体" w:eastAsia="黑体"/>
                                        <w:sz w:val="18"/>
                                        <w:szCs w:val="18"/>
                                      </w:rPr>
                                      <w:t>带入产品</w:t>
                                    </w:r>
                                  </w:p>
                                </w:txbxContent>
                              </wps:txbx>
                              <wps:bodyPr anchor="ctr" anchorCtr="0" upright="1">
                                <a:spAutoFit/>
                              </wps:bodyPr>
                            </wps:wsp>
                            <wps:wsp>
                              <wps:cNvPr id="81" name="直接箭头连接符 81"/>
                              <wps:cNvCnPr/>
                              <wps:spPr>
                                <a:xfrm>
                                  <a:off x="608965" y="5137616"/>
                                  <a:ext cx="516890" cy="635"/>
                                </a:xfrm>
                                <a:prstGeom prst="straightConnector1">
                                  <a:avLst/>
                                </a:prstGeom>
                                <a:ln w="9525" cap="flat" cmpd="sng">
                                  <a:solidFill>
                                    <a:srgbClr val="000000"/>
                                  </a:solidFill>
                                  <a:prstDash val="solid"/>
                                  <a:headEnd type="none" w="med" len="med"/>
                                  <a:tailEnd type="triangle" w="sm" len="med"/>
                                </a:ln>
                              </wps:spPr>
                              <wps:bodyPr/>
                            </wps:wsp>
                            <wps:wsp>
                              <wps:cNvPr id="82" name="矩形 82"/>
                              <wps:cNvSpPr/>
                              <wps:spPr>
                                <a:xfrm>
                                  <a:off x="1115695" y="4967420"/>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C3A066">
                                    <w:pPr>
                                      <w:jc w:val="center"/>
                                      <w:rPr>
                                        <w:rFonts w:ascii="黑体" w:hAnsi="黑体" w:eastAsia="黑体"/>
                                        <w:sz w:val="18"/>
                                        <w:szCs w:val="18"/>
                                      </w:rPr>
                                    </w:pPr>
                                    <w:r>
                                      <w:rPr>
                                        <w:rFonts w:hint="eastAsia" w:ascii="黑体" w:hAnsi="黑体" w:eastAsia="黑体"/>
                                        <w:sz w:val="18"/>
                                        <w:szCs w:val="18"/>
                                      </w:rPr>
                                      <w:t>脱硫用水</w:t>
                                    </w:r>
                                  </w:p>
                                </w:txbxContent>
                              </wps:txbx>
                              <wps:bodyPr anchor="ctr" anchorCtr="0" upright="1">
                                <a:spAutoFit/>
                              </wps:bodyPr>
                            </wps:wsp>
                            <wps:wsp>
                              <wps:cNvPr id="83" name="矩形 83"/>
                              <wps:cNvSpPr/>
                              <wps:spPr>
                                <a:xfrm>
                                  <a:off x="598805" y="4893754"/>
                                  <a:ext cx="516890" cy="308003"/>
                                </a:xfrm>
                                <a:prstGeom prst="rect">
                                  <a:avLst/>
                                </a:prstGeom>
                                <a:noFill/>
                                <a:ln>
                                  <a:noFill/>
                                </a:ln>
                              </wps:spPr>
                              <wps:txbx>
                                <w:txbxContent>
                                  <w:p w14:paraId="27044193">
                                    <w:pPr>
                                      <w:jc w:val="center"/>
                                      <w:rPr>
                                        <w:rFonts w:hint="default" w:eastAsia="黑体"/>
                                        <w:sz w:val="18"/>
                                        <w:szCs w:val="18"/>
                                        <w:lang w:val="en-US" w:eastAsia="zh-CN"/>
                                      </w:rPr>
                                    </w:pPr>
                                    <w:r>
                                      <w:rPr>
                                        <w:rFonts w:hint="eastAsia" w:eastAsia="黑体"/>
                                        <w:sz w:val="18"/>
                                        <w:szCs w:val="18"/>
                                        <w:lang w:val="en-US" w:eastAsia="zh-CN"/>
                                      </w:rPr>
                                      <w:t>1080</w:t>
                                    </w:r>
                                  </w:p>
                                </w:txbxContent>
                              </wps:txbx>
                              <wps:bodyPr anchor="ctr" anchorCtr="0" upright="1"/>
                            </wps:wsp>
                            <wps:wsp>
                              <wps:cNvPr id="84" name="任意多边形 84"/>
                              <wps:cNvSpPr/>
                              <wps:spPr>
                                <a:xfrm rot="-155643">
                                  <a:off x="1451610" y="4742610"/>
                                  <a:ext cx="316230" cy="203853"/>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upright="1"/>
                            </wps:wsp>
                            <wps:wsp>
                              <wps:cNvPr id="85" name="矩形 85"/>
                              <wps:cNvSpPr/>
                              <wps:spPr>
                                <a:xfrm>
                                  <a:off x="1513840" y="4502558"/>
                                  <a:ext cx="516890" cy="308003"/>
                                </a:xfrm>
                                <a:prstGeom prst="rect">
                                  <a:avLst/>
                                </a:prstGeom>
                                <a:noFill/>
                                <a:ln>
                                  <a:noFill/>
                                </a:ln>
                              </wps:spPr>
                              <wps:txbx>
                                <w:txbxContent>
                                  <w:p w14:paraId="512D33A5">
                                    <w:pPr>
                                      <w:jc w:val="center"/>
                                      <w:rPr>
                                        <w:rFonts w:hint="default" w:eastAsia="黑体"/>
                                        <w:sz w:val="18"/>
                                        <w:szCs w:val="18"/>
                                        <w:lang w:val="en-US" w:eastAsia="zh-CN"/>
                                      </w:rPr>
                                    </w:pPr>
                                    <w:r>
                                      <w:rPr>
                                        <w:rFonts w:hint="eastAsia" w:eastAsia="黑体"/>
                                        <w:sz w:val="18"/>
                                        <w:szCs w:val="18"/>
                                        <w:lang w:val="en-US" w:eastAsia="zh-CN"/>
                                      </w:rPr>
                                      <w:t>1080</w:t>
                                    </w:r>
                                  </w:p>
                                </w:txbxContent>
                              </wps:txbx>
                              <wps:bodyPr anchor="ctr" anchorCtr="0" upright="1"/>
                            </wps:wsp>
                            <wps:wsp>
                              <wps:cNvPr id="86" name="直接箭头连接符 86"/>
                              <wps:cNvCnPr/>
                              <wps:spPr>
                                <a:xfrm>
                                  <a:off x="608965" y="4137400"/>
                                  <a:ext cx="516890" cy="635"/>
                                </a:xfrm>
                                <a:prstGeom prst="straightConnector1">
                                  <a:avLst/>
                                </a:prstGeom>
                                <a:ln w="9525" cap="flat" cmpd="sng">
                                  <a:solidFill>
                                    <a:srgbClr val="000000"/>
                                  </a:solidFill>
                                  <a:prstDash val="solid"/>
                                  <a:headEnd type="none" w="med" len="med"/>
                                  <a:tailEnd type="triangle" w="sm" len="med"/>
                                </a:ln>
                              </wps:spPr>
                              <wps:bodyPr/>
                            </wps:wsp>
                            <wps:wsp>
                              <wps:cNvPr id="87" name="矩形 87"/>
                              <wps:cNvSpPr/>
                              <wps:spPr>
                                <a:xfrm>
                                  <a:off x="1125855" y="3980541"/>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E8C94A">
                                    <w:pPr>
                                      <w:jc w:val="center"/>
                                      <w:rPr>
                                        <w:rFonts w:ascii="黑体" w:hAnsi="黑体" w:eastAsia="黑体"/>
                                        <w:sz w:val="18"/>
                                        <w:szCs w:val="18"/>
                                      </w:rPr>
                                    </w:pPr>
                                    <w:r>
                                      <w:rPr>
                                        <w:rFonts w:hint="eastAsia" w:ascii="黑体" w:hAnsi="黑体" w:eastAsia="黑体"/>
                                        <w:sz w:val="18"/>
                                        <w:szCs w:val="18"/>
                                      </w:rPr>
                                      <w:t>湿电除尘用水</w:t>
                                    </w:r>
                                  </w:p>
                                </w:txbxContent>
                              </wps:txbx>
                              <wps:bodyPr anchor="ctr" anchorCtr="0" upright="1">
                                <a:spAutoFit/>
                              </wps:bodyPr>
                            </wps:wsp>
                            <wps:wsp>
                              <wps:cNvPr id="88" name="矩形 88"/>
                              <wps:cNvSpPr/>
                              <wps:spPr>
                                <a:xfrm>
                                  <a:off x="608965" y="3915765"/>
                                  <a:ext cx="516890" cy="308003"/>
                                </a:xfrm>
                                <a:prstGeom prst="rect">
                                  <a:avLst/>
                                </a:prstGeom>
                                <a:noFill/>
                                <a:ln>
                                  <a:noFill/>
                                </a:ln>
                              </wps:spPr>
                              <wps:txbx>
                                <w:txbxContent>
                                  <w:p w14:paraId="71170318">
                                    <w:pPr>
                                      <w:jc w:val="center"/>
                                      <w:rPr>
                                        <w:rFonts w:hint="eastAsia" w:eastAsia="黑体"/>
                                        <w:sz w:val="18"/>
                                        <w:szCs w:val="18"/>
                                        <w:lang w:val="en-US" w:eastAsia="zh-CN"/>
                                      </w:rPr>
                                    </w:pPr>
                                    <w:r>
                                      <w:rPr>
                                        <w:rFonts w:hint="eastAsia" w:eastAsia="黑体"/>
                                        <w:sz w:val="18"/>
                                        <w:szCs w:val="18"/>
                                        <w:lang w:val="en-US" w:eastAsia="zh-CN"/>
                                      </w:rPr>
                                      <w:t>2</w:t>
                                    </w:r>
                                  </w:p>
                                </w:txbxContent>
                              </wps:txbx>
                              <wps:bodyPr anchor="ctr" anchorCtr="0" upright="1"/>
                            </wps:wsp>
                            <wps:wsp>
                              <wps:cNvPr id="89" name="直接箭头连接符 89"/>
                              <wps:cNvCnPr/>
                              <wps:spPr>
                                <a:xfrm>
                                  <a:off x="2005330" y="5138251"/>
                                  <a:ext cx="516890" cy="635"/>
                                </a:xfrm>
                                <a:prstGeom prst="straightConnector1">
                                  <a:avLst/>
                                </a:prstGeom>
                                <a:ln w="9525" cap="flat" cmpd="sng">
                                  <a:solidFill>
                                    <a:srgbClr val="000000"/>
                                  </a:solidFill>
                                  <a:prstDash val="solid"/>
                                  <a:headEnd type="none" w="med" len="med"/>
                                  <a:tailEnd type="triangle" w="sm" len="med"/>
                                </a:ln>
                              </wps:spPr>
                              <wps:bodyPr/>
                            </wps:wsp>
                            <wps:wsp>
                              <wps:cNvPr id="90" name="矩形 90"/>
                              <wps:cNvSpPr/>
                              <wps:spPr>
                                <a:xfrm>
                                  <a:off x="2505075" y="4967420"/>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2A9890">
                                    <w:pPr>
                                      <w:jc w:val="center"/>
                                      <w:rPr>
                                        <w:rFonts w:ascii="黑体" w:hAnsi="黑体" w:eastAsia="黑体"/>
                                        <w:sz w:val="18"/>
                                        <w:szCs w:val="18"/>
                                      </w:rPr>
                                    </w:pPr>
                                    <w:r>
                                      <w:rPr>
                                        <w:rFonts w:hint="eastAsia" w:ascii="黑体" w:hAnsi="黑体" w:eastAsia="黑体"/>
                                        <w:sz w:val="18"/>
                                        <w:szCs w:val="18"/>
                                      </w:rPr>
                                      <w:t>沉淀池</w:t>
                                    </w:r>
                                  </w:p>
                                </w:txbxContent>
                              </wps:txbx>
                              <wps:bodyPr anchor="ctr" anchorCtr="0" upright="1">
                                <a:spAutoFit/>
                              </wps:bodyPr>
                            </wps:wsp>
                            <wps:wsp>
                              <wps:cNvPr id="91" name="矩形 91"/>
                              <wps:cNvSpPr/>
                              <wps:spPr>
                                <a:xfrm>
                                  <a:off x="1927225" y="5224145"/>
                                  <a:ext cx="654685" cy="307975"/>
                                </a:xfrm>
                                <a:prstGeom prst="rect">
                                  <a:avLst/>
                                </a:prstGeom>
                                <a:noFill/>
                                <a:ln>
                                  <a:noFill/>
                                </a:ln>
                              </wps:spPr>
                              <wps:txbx>
                                <w:txbxContent>
                                  <w:p w14:paraId="1012B036">
                                    <w:pPr>
                                      <w:jc w:val="center"/>
                                      <w:rPr>
                                        <w:rFonts w:hint="default" w:eastAsia="黑体"/>
                                        <w:sz w:val="18"/>
                                        <w:szCs w:val="18"/>
                                        <w:lang w:val="en-US" w:eastAsia="zh-CN"/>
                                      </w:rPr>
                                    </w:pPr>
                                    <w:r>
                                      <w:rPr>
                                        <w:rFonts w:hint="eastAsia" w:eastAsia="黑体"/>
                                        <w:sz w:val="18"/>
                                        <w:szCs w:val="18"/>
                                        <w:lang w:val="en-US" w:eastAsia="zh-CN"/>
                                      </w:rPr>
                                      <w:t>108000</w:t>
                                    </w:r>
                                  </w:p>
                                </w:txbxContent>
                              </wps:txbx>
                              <wps:bodyPr anchor="ctr" anchorCtr="0" upright="1"/>
                            </wps:wsp>
                            <wps:wsp>
                              <wps:cNvPr id="92" name="矩形 92"/>
                              <wps:cNvSpPr/>
                              <wps:spPr>
                                <a:xfrm>
                                  <a:off x="1988185" y="3915765"/>
                                  <a:ext cx="516890" cy="308003"/>
                                </a:xfrm>
                                <a:prstGeom prst="rect">
                                  <a:avLst/>
                                </a:prstGeom>
                                <a:noFill/>
                                <a:ln>
                                  <a:noFill/>
                                </a:ln>
                              </wps:spPr>
                              <wps:txbx>
                                <w:txbxContent>
                                  <w:p w14:paraId="37A939D0">
                                    <w:pPr>
                                      <w:jc w:val="center"/>
                                      <w:rPr>
                                        <w:rFonts w:hint="default" w:eastAsia="黑体"/>
                                        <w:sz w:val="18"/>
                                        <w:szCs w:val="18"/>
                                        <w:lang w:val="en-US" w:eastAsia="zh-CN"/>
                                      </w:rPr>
                                    </w:pPr>
                                    <w:r>
                                      <w:rPr>
                                        <w:rFonts w:hint="eastAsia" w:eastAsia="黑体"/>
                                        <w:sz w:val="18"/>
                                        <w:szCs w:val="18"/>
                                        <w:lang w:val="en-US" w:eastAsia="zh-CN"/>
                                      </w:rPr>
                                      <w:t>10</w:t>
                                    </w:r>
                                  </w:p>
                                </w:txbxContent>
                              </wps:txbx>
                              <wps:bodyPr anchor="ctr" anchorCtr="0" upright="1"/>
                            </wps:wsp>
                            <wps:wsp>
                              <wps:cNvPr id="93" name="矩形 93"/>
                              <wps:cNvSpPr/>
                              <wps:spPr>
                                <a:xfrm>
                                  <a:off x="1988185" y="4893945"/>
                                  <a:ext cx="560070" cy="307975"/>
                                </a:xfrm>
                                <a:prstGeom prst="rect">
                                  <a:avLst/>
                                </a:prstGeom>
                                <a:noFill/>
                                <a:ln>
                                  <a:noFill/>
                                </a:ln>
                              </wps:spPr>
                              <wps:txbx>
                                <w:txbxContent>
                                  <w:p w14:paraId="536BB23D">
                                    <w:pPr>
                                      <w:jc w:val="center"/>
                                      <w:rPr>
                                        <w:rFonts w:hint="default" w:eastAsia="黑体"/>
                                        <w:sz w:val="18"/>
                                        <w:szCs w:val="18"/>
                                        <w:lang w:val="en-US" w:eastAsia="zh-CN"/>
                                      </w:rPr>
                                    </w:pPr>
                                    <w:r>
                                      <w:rPr>
                                        <w:rFonts w:hint="eastAsia" w:eastAsia="黑体"/>
                                        <w:sz w:val="18"/>
                                        <w:szCs w:val="18"/>
                                        <w:lang w:val="en-US" w:eastAsia="zh-CN"/>
                                      </w:rPr>
                                      <w:t>108000</w:t>
                                    </w:r>
                                  </w:p>
                                </w:txbxContent>
                              </wps:txbx>
                              <wps:bodyPr anchor="ctr" anchorCtr="0" upright="1"/>
                            </wps:wsp>
                            <wps:wsp>
                              <wps:cNvPr id="94" name="任意多边形 94"/>
                              <wps:cNvSpPr/>
                              <wps:spPr>
                                <a:xfrm rot="-155643">
                                  <a:off x="1513840" y="3755730"/>
                                  <a:ext cx="316230" cy="203853"/>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upright="1"/>
                            </wps:wsp>
                            <wps:wsp>
                              <wps:cNvPr id="95" name="矩形 95"/>
                              <wps:cNvSpPr/>
                              <wps:spPr>
                                <a:xfrm>
                                  <a:off x="1569720" y="3515679"/>
                                  <a:ext cx="516890" cy="308003"/>
                                </a:xfrm>
                                <a:prstGeom prst="rect">
                                  <a:avLst/>
                                </a:prstGeom>
                                <a:noFill/>
                                <a:ln>
                                  <a:noFill/>
                                </a:ln>
                              </wps:spPr>
                              <wps:txbx>
                                <w:txbxContent>
                                  <w:p w14:paraId="3376C7FE">
                                    <w:pPr>
                                      <w:jc w:val="center"/>
                                      <w:rPr>
                                        <w:rFonts w:hint="eastAsia" w:eastAsia="黑体"/>
                                        <w:sz w:val="18"/>
                                        <w:szCs w:val="18"/>
                                        <w:lang w:val="en-US" w:eastAsia="zh-CN"/>
                                      </w:rPr>
                                    </w:pPr>
                                    <w:r>
                                      <w:rPr>
                                        <w:rFonts w:hint="eastAsia" w:eastAsia="黑体"/>
                                        <w:sz w:val="18"/>
                                        <w:szCs w:val="18"/>
                                        <w:lang w:val="en-US" w:eastAsia="zh-CN"/>
                                      </w:rPr>
                                      <w:t>2</w:t>
                                    </w:r>
                                  </w:p>
                                </w:txbxContent>
                              </wps:txbx>
                              <wps:bodyPr anchor="ctr" anchorCtr="0" upright="1"/>
                            </wps:wsp>
                            <wps:wsp>
                              <wps:cNvPr id="96" name="矩形 96"/>
                              <wps:cNvSpPr/>
                              <wps:spPr>
                                <a:xfrm>
                                  <a:off x="2529840" y="3980541"/>
                                  <a:ext cx="89027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A5CAAB">
                                    <w:pPr>
                                      <w:jc w:val="center"/>
                                      <w:rPr>
                                        <w:rFonts w:ascii="黑体" w:hAnsi="黑体" w:eastAsia="黑体"/>
                                        <w:sz w:val="18"/>
                                        <w:szCs w:val="18"/>
                                      </w:rPr>
                                    </w:pPr>
                                    <w:r>
                                      <w:rPr>
                                        <w:rFonts w:hint="eastAsia" w:ascii="黑体" w:hAnsi="黑体" w:eastAsia="黑体"/>
                                        <w:sz w:val="18"/>
                                        <w:szCs w:val="18"/>
                                      </w:rPr>
                                      <w:t>沉淀池</w:t>
                                    </w:r>
                                  </w:p>
                                </w:txbxContent>
                              </wps:txbx>
                              <wps:bodyPr anchor="ctr" anchorCtr="0" upright="1">
                                <a:spAutoFit/>
                              </wps:bodyPr>
                            </wps:wsp>
                            <wps:wsp>
                              <wps:cNvPr id="97" name="矩形 97"/>
                              <wps:cNvSpPr/>
                              <wps:spPr>
                                <a:xfrm>
                                  <a:off x="1988185" y="4304420"/>
                                  <a:ext cx="516890" cy="308003"/>
                                </a:xfrm>
                                <a:prstGeom prst="rect">
                                  <a:avLst/>
                                </a:prstGeom>
                                <a:noFill/>
                                <a:ln>
                                  <a:noFill/>
                                </a:ln>
                              </wps:spPr>
                              <wps:txbx>
                                <w:txbxContent>
                                  <w:p w14:paraId="72BAD5B2">
                                    <w:pPr>
                                      <w:jc w:val="center"/>
                                      <w:rPr>
                                        <w:rFonts w:hint="default" w:eastAsia="黑体"/>
                                        <w:sz w:val="18"/>
                                        <w:szCs w:val="18"/>
                                        <w:lang w:val="en-US" w:eastAsia="zh-CN"/>
                                      </w:rPr>
                                    </w:pPr>
                                    <w:r>
                                      <w:rPr>
                                        <w:rFonts w:hint="eastAsia" w:eastAsia="黑体"/>
                                        <w:sz w:val="18"/>
                                        <w:szCs w:val="18"/>
                                        <w:lang w:val="en-US" w:eastAsia="zh-CN"/>
                                      </w:rPr>
                                      <w:t>10</w:t>
                                    </w:r>
                                  </w:p>
                                </w:txbxContent>
                              </wps:txbx>
                              <wps:bodyPr anchor="ctr" anchorCtr="0" upright="1"/>
                            </wps:wsp>
                            <wps:wsp>
                              <wps:cNvPr id="98" name="直接箭头连接符 98"/>
                              <wps:cNvCnPr/>
                              <wps:spPr>
                                <a:xfrm>
                                  <a:off x="2020570" y="4136765"/>
                                  <a:ext cx="516890" cy="635"/>
                                </a:xfrm>
                                <a:prstGeom prst="straightConnector1">
                                  <a:avLst/>
                                </a:prstGeom>
                                <a:ln w="9525" cap="flat" cmpd="sng">
                                  <a:solidFill>
                                    <a:srgbClr val="000000"/>
                                  </a:solidFill>
                                  <a:prstDash val="solid"/>
                                  <a:headEnd type="none" w="med" len="med"/>
                                  <a:tailEnd type="triangle" w="sm" len="med"/>
                                </a:ln>
                              </wps:spPr>
                              <wps:bodyPr/>
                            </wps:wsp>
                            <wps:wsp>
                              <wps:cNvPr id="99" name="肘形连接符 99"/>
                              <wps:cNvCnPr/>
                              <wps:spPr>
                                <a:xfrm rot="5400000">
                                  <a:off x="2265045" y="1287262"/>
                                  <a:ext cx="5080" cy="1414908"/>
                                </a:xfrm>
                                <a:prstGeom prst="bentConnector3">
                                  <a:avLst>
                                    <a:gd name="adj1" fmla="val 4587500"/>
                                  </a:avLst>
                                </a:prstGeom>
                                <a:ln w="9525" cap="flat" cmpd="sng">
                                  <a:solidFill>
                                    <a:srgbClr val="000000"/>
                                  </a:solidFill>
                                  <a:prstDash val="solid"/>
                                  <a:miter/>
                                  <a:headEnd type="none" w="med" len="med"/>
                                  <a:tailEnd type="triangle" w="sm" len="med"/>
                                </a:ln>
                              </wps:spPr>
                              <wps:bodyPr/>
                            </wps:wsp>
                            <wps:wsp>
                              <wps:cNvPr id="100" name="肘形连接符 100"/>
                              <wps:cNvCnPr/>
                              <wps:spPr>
                                <a:xfrm rot="5400000">
                                  <a:off x="2252345" y="3557592"/>
                                  <a:ext cx="635" cy="1404112"/>
                                </a:xfrm>
                                <a:prstGeom prst="bentConnector3">
                                  <a:avLst>
                                    <a:gd name="adj1" fmla="val 35900000"/>
                                  </a:avLst>
                                </a:prstGeom>
                                <a:ln w="9525" cap="flat" cmpd="sng">
                                  <a:solidFill>
                                    <a:srgbClr val="000000"/>
                                  </a:solidFill>
                                  <a:prstDash val="solid"/>
                                  <a:miter/>
                                  <a:headEnd type="none" w="med" len="med"/>
                                  <a:tailEnd type="triangle" w="sm" len="med"/>
                                </a:ln>
                              </wps:spPr>
                              <wps:bodyPr/>
                            </wps:wsp>
                            <wps:wsp>
                              <wps:cNvPr id="101" name="肘形连接符 101"/>
                              <wps:cNvCnPr/>
                              <wps:spPr>
                                <a:xfrm rot="5400000">
                                  <a:off x="2261235" y="4552728"/>
                                  <a:ext cx="635" cy="1389506"/>
                                </a:xfrm>
                                <a:prstGeom prst="bentConnector3">
                                  <a:avLst>
                                    <a:gd name="adj1" fmla="val 35900000"/>
                                  </a:avLst>
                                </a:prstGeom>
                                <a:ln w="9525" cap="flat" cmpd="sng">
                                  <a:solidFill>
                                    <a:srgbClr val="000000"/>
                                  </a:solidFill>
                                  <a:prstDash val="solid"/>
                                  <a:miter/>
                                  <a:headEnd type="none" w="med" len="med"/>
                                  <a:tailEnd type="triangle" w="sm" len="med"/>
                                </a:ln>
                              </wps:spPr>
                              <wps:bodyPr/>
                            </wps:wsp>
                            <wps:wsp>
                              <wps:cNvPr id="102" name="矩形 102"/>
                              <wps:cNvSpPr/>
                              <wps:spPr>
                                <a:xfrm>
                                  <a:off x="1097915" y="3261021"/>
                                  <a:ext cx="890270" cy="239417"/>
                                </a:xfrm>
                                <a:prstGeom prst="rect">
                                  <a:avLst/>
                                </a:prstGeom>
                                <a:noFill/>
                                <a:ln>
                                  <a:noFill/>
                                </a:ln>
                              </wps:spPr>
                              <wps:txbx>
                                <w:txbxContent>
                                  <w:p w14:paraId="06BC683C">
                                    <w:pPr>
                                      <w:jc w:val="center"/>
                                      <w:rPr>
                                        <w:rFonts w:ascii="黑体" w:hAnsi="黑体" w:eastAsia="黑体"/>
                                        <w:sz w:val="18"/>
                                        <w:szCs w:val="18"/>
                                      </w:rPr>
                                    </w:pPr>
                                    <w:r>
                                      <w:rPr>
                                        <w:rFonts w:hint="eastAsia" w:ascii="黑体" w:hAnsi="黑体" w:eastAsia="黑体"/>
                                        <w:sz w:val="18"/>
                                        <w:szCs w:val="18"/>
                                      </w:rPr>
                                      <w:t>初期雨水</w:t>
                                    </w:r>
                                  </w:p>
                                </w:txbxContent>
                              </wps:txbx>
                              <wps:bodyPr anchor="ctr" anchorCtr="0" upright="1">
                                <a:spAutoFit/>
                              </wps:bodyPr>
                            </wps:wsp>
                            <wps:wsp>
                              <wps:cNvPr id="103" name="直接箭头连接符 103"/>
                              <wps:cNvCnPr/>
                              <wps:spPr>
                                <a:xfrm flipV="1">
                                  <a:off x="1551940" y="2937776"/>
                                  <a:ext cx="635" cy="323244"/>
                                </a:xfrm>
                                <a:prstGeom prst="straightConnector1">
                                  <a:avLst/>
                                </a:prstGeom>
                                <a:ln w="9525" cap="flat" cmpd="sng">
                                  <a:solidFill>
                                    <a:srgbClr val="000000"/>
                                  </a:solidFill>
                                  <a:prstDash val="solid"/>
                                  <a:headEnd type="none" w="med" len="med"/>
                                  <a:tailEnd type="triangle" w="sm" len="med"/>
                                </a:ln>
                              </wps:spPr>
                              <wps:bodyPr/>
                            </wps:wsp>
                            <wps:wsp>
                              <wps:cNvPr id="104" name="矩形 104"/>
                              <wps:cNvSpPr/>
                              <wps:spPr>
                                <a:xfrm>
                                  <a:off x="1443990" y="2961908"/>
                                  <a:ext cx="516890" cy="308003"/>
                                </a:xfrm>
                                <a:prstGeom prst="rect">
                                  <a:avLst/>
                                </a:prstGeom>
                                <a:noFill/>
                                <a:ln>
                                  <a:noFill/>
                                </a:ln>
                              </wps:spPr>
                              <wps:txbx>
                                <w:txbxContent>
                                  <w:p w14:paraId="2170E09D">
                                    <w:pPr>
                                      <w:jc w:val="center"/>
                                      <w:rPr>
                                        <w:rFonts w:eastAsia="黑体"/>
                                        <w:sz w:val="18"/>
                                        <w:szCs w:val="18"/>
                                      </w:rPr>
                                    </w:pPr>
                                    <w:r>
                                      <w:rPr>
                                        <w:rFonts w:hint="eastAsia" w:eastAsia="黑体"/>
                                        <w:sz w:val="18"/>
                                        <w:szCs w:val="18"/>
                                      </w:rPr>
                                      <w:t>3.15</w:t>
                                    </w:r>
                                  </w:p>
                                </w:txbxContent>
                              </wps:txbx>
                              <wps:bodyPr anchor="ctr" anchorCtr="0" upright="1"/>
                            </wps:wsp>
                            <wps:wsp>
                              <wps:cNvPr id="105" name="直接箭头连接符 105"/>
                              <wps:cNvCnPr/>
                              <wps:spPr>
                                <a:xfrm>
                                  <a:off x="616585" y="6687791"/>
                                  <a:ext cx="487045" cy="7621"/>
                                </a:xfrm>
                                <a:prstGeom prst="straightConnector1">
                                  <a:avLst/>
                                </a:prstGeom>
                                <a:ln w="9525" cap="flat" cmpd="sng">
                                  <a:solidFill>
                                    <a:srgbClr val="000000"/>
                                  </a:solidFill>
                                  <a:prstDash val="solid"/>
                                  <a:headEnd type="none" w="med" len="med"/>
                                  <a:tailEnd type="triangle" w="sm" len="med"/>
                                </a:ln>
                              </wps:spPr>
                              <wps:bodyPr/>
                            </wps:wsp>
                            <wps:wsp>
                              <wps:cNvPr id="106" name="矩形 106"/>
                              <wps:cNvSpPr/>
                              <wps:spPr>
                                <a:xfrm>
                                  <a:off x="1113155" y="6590627"/>
                                  <a:ext cx="889000" cy="2495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603A83">
                                    <w:pPr>
                                      <w:jc w:val="center"/>
                                      <w:rPr>
                                        <w:rFonts w:ascii="黑体" w:hAnsi="黑体" w:eastAsia="黑体"/>
                                        <w:sz w:val="18"/>
                                        <w:szCs w:val="18"/>
                                      </w:rPr>
                                    </w:pPr>
                                    <w:r>
                                      <w:rPr>
                                        <w:rFonts w:hint="eastAsia" w:ascii="黑体" w:hAnsi="黑体" w:eastAsia="黑体"/>
                                        <w:sz w:val="18"/>
                                        <w:szCs w:val="18"/>
                                      </w:rPr>
                                      <w:t>绿化</w:t>
                                    </w:r>
                                    <w:r>
                                      <w:rPr>
                                        <w:rFonts w:ascii="黑体" w:hAnsi="黑体" w:eastAsia="黑体"/>
                                        <w:sz w:val="18"/>
                                        <w:szCs w:val="18"/>
                                      </w:rPr>
                                      <w:t>用水</w:t>
                                    </w:r>
                                  </w:p>
                                </w:txbxContent>
                              </wps:txbx>
                              <wps:bodyPr anchor="ctr" anchorCtr="0" upright="1">
                                <a:spAutoFit/>
                              </wps:bodyPr>
                            </wps:wsp>
                            <wps:wsp>
                              <wps:cNvPr id="107" name="矩形 107"/>
                              <wps:cNvSpPr/>
                              <wps:spPr>
                                <a:xfrm>
                                  <a:off x="598805" y="6476317"/>
                                  <a:ext cx="508000" cy="304828"/>
                                </a:xfrm>
                                <a:prstGeom prst="rect">
                                  <a:avLst/>
                                </a:prstGeom>
                                <a:noFill/>
                                <a:ln>
                                  <a:noFill/>
                                </a:ln>
                              </wps:spPr>
                              <wps:txbx>
                                <w:txbxContent>
                                  <w:p w14:paraId="582C4595">
                                    <w:pPr>
                                      <w:jc w:val="center"/>
                                      <w:rPr>
                                        <w:rFonts w:eastAsia="黑体"/>
                                        <w:sz w:val="18"/>
                                        <w:szCs w:val="18"/>
                                      </w:rPr>
                                    </w:pPr>
                                    <w:r>
                                      <w:rPr>
                                        <w:rFonts w:hint="eastAsia" w:eastAsia="黑体"/>
                                        <w:sz w:val="18"/>
                                        <w:szCs w:val="18"/>
                                      </w:rPr>
                                      <w:t>0.058</w:t>
                                    </w:r>
                                  </w:p>
                                </w:txbxContent>
                              </wps:txbx>
                              <wps:bodyPr anchor="ctr" anchorCtr="0" upright="1"/>
                            </wps:wsp>
                            <wps:wsp>
                              <wps:cNvPr id="108" name="任意多边形 108"/>
                              <wps:cNvSpPr/>
                              <wps:spPr>
                                <a:xfrm rot="-155643">
                                  <a:off x="1456055" y="6362007"/>
                                  <a:ext cx="304800" cy="203218"/>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upright="1"/>
                            </wps:wsp>
                            <wps:wsp>
                              <wps:cNvPr id="109" name="矩形 109"/>
                              <wps:cNvSpPr/>
                              <wps:spPr>
                                <a:xfrm>
                                  <a:off x="1751330" y="6247696"/>
                                  <a:ext cx="508000" cy="304828"/>
                                </a:xfrm>
                                <a:prstGeom prst="rect">
                                  <a:avLst/>
                                </a:prstGeom>
                                <a:noFill/>
                                <a:ln>
                                  <a:noFill/>
                                </a:ln>
                              </wps:spPr>
                              <wps:txbx>
                                <w:txbxContent>
                                  <w:p w14:paraId="4D83DCBA">
                                    <w:pPr>
                                      <w:jc w:val="center"/>
                                      <w:rPr>
                                        <w:rFonts w:eastAsia="黑体"/>
                                        <w:sz w:val="18"/>
                                        <w:szCs w:val="18"/>
                                      </w:rPr>
                                    </w:pPr>
                                    <w:r>
                                      <w:rPr>
                                        <w:rFonts w:hint="eastAsia" w:eastAsia="黑体"/>
                                        <w:sz w:val="18"/>
                                        <w:szCs w:val="18"/>
                                      </w:rPr>
                                      <w:t>0.058</w:t>
                                    </w:r>
                                  </w:p>
                                </w:txbxContent>
                              </wps:txbx>
                              <wps:bodyPr anchor="ctr" anchorCtr="0" upright="1"/>
                            </wps:wsp>
                          </wpc:wpc>
                        </a:graphicData>
                      </a:graphic>
                    </wp:inline>
                  </w:drawing>
                </mc:Choice>
                <mc:Fallback>
                  <w:pict>
                    <v:group id="_x0000_s1026" o:spid="_x0000_s1026" o:spt="203" style="height:551.65pt;width:419.4pt;" coordsize="5326380,7005955" editas="canvas" o:gfxdata="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">
                      <o:lock v:ext="edit" aspectratio="f"/>
                      <v:shape id="_x0000_s1026" o:spid="_x0000_s1026" style="position:absolute;left:0;top:0;height:7005955;width:5326380;" filled="f" stroked="f" coordsize="21600,21600" o:gfxdata="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">
                        <v:fill on="f" focussize="0,0"/>
                        <v:stroke on="f"/>
                        <v:imagedata o:title=""/>
                        <o:lock v:ext="edit" aspectratio="t"/>
                      </v:shape>
                      <v:rect id="_x0000_s1026" o:spid="_x0000_s1026" o:spt="1" style="position:absolute;left:1122680;top:5968906;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OXdtTVAAAABgEAAA8AAAAAAAAAAQAgAAAAIgAAAGRycy9kb3ducmV2LnhtbFBLAQIUABQAAAAI&#10;AIdO4kCG64a4KQIAAGsEAAAOAAAAAAAAAAEAIAAAACQBAABkcnMvZTJvRG9jLnhtbFBLBQYAAAAA&#10;BgAGAFkBAAC/BQAAAAA=&#10;">
                        <v:fill on="t" focussize="0,0"/>
                        <v:stroke color="#000000" joinstyle="miter"/>
                        <v:imagedata o:title=""/>
                        <o:lock v:ext="edit" aspectratio="f"/>
                        <v:textbox style="mso-fit-shape-to-text:t;">
                          <w:txbxContent>
                            <w:p w14:paraId="4830FFEB">
                              <w:pPr>
                                <w:jc w:val="center"/>
                                <w:rPr>
                                  <w:rFonts w:ascii="黑体" w:hAnsi="黑体" w:eastAsia="黑体"/>
                                  <w:sz w:val="18"/>
                                  <w:szCs w:val="18"/>
                                </w:rPr>
                              </w:pPr>
                              <w:r>
                                <w:rPr>
                                  <w:rFonts w:ascii="黑体" w:hAnsi="黑体" w:eastAsia="黑体"/>
                                  <w:sz w:val="18"/>
                                  <w:szCs w:val="18"/>
                                </w:rPr>
                                <w:t>生活用水</w:t>
                              </w:r>
                            </w:p>
                          </w:txbxContent>
                        </v:textbox>
                      </v:rect>
                      <v:rect id="_x0000_s1026" o:spid="_x0000_s1026" o:spt="1" style="position:absolute;left:3725545;top:5989863;height:239417;width:762000;v-text-anchor:middle;" filled="f" stroked="f" coordsize="21600,21600" o:gfxdata="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c1yKLUAAAABgEAAA8AAAAAAAAAAQAgAAAAIgAAAGRycy9kb3du&#10;cmV2LnhtbFBLAQIUABQAAAAIAIdO4kBPewDqygEAAIMDAAAOAAAAAAAAAAEAIAAAACMBAABkcnMv&#10;ZTJvRG9jLnhtbFBLBQYAAAAABgAGAFkBAABfBQAAAAA=&#10;">
                        <v:fill on="f" focussize="0,0"/>
                        <v:stroke on="f"/>
                        <v:imagedata o:title=""/>
                        <o:lock v:ext="edit" aspectratio="f"/>
                        <v:textbox style="mso-fit-shape-to-text:t;">
                          <w:txbxContent>
                            <w:p w14:paraId="104B68CD">
                              <w:pPr>
                                <w:jc w:val="center"/>
                                <w:rPr>
                                  <w:rFonts w:hint="default" w:ascii="黑体" w:hAnsi="黑体" w:eastAsia="黑体"/>
                                  <w:sz w:val="18"/>
                                  <w:szCs w:val="18"/>
                                  <w:lang w:val="en-US" w:eastAsia="zh-CN"/>
                                </w:rPr>
                              </w:pPr>
                              <w:r>
                                <w:rPr>
                                  <w:rFonts w:hint="eastAsia" w:ascii="黑体" w:hAnsi="黑体" w:eastAsia="黑体"/>
                                  <w:sz w:val="18"/>
                                  <w:szCs w:val="18"/>
                                  <w:lang w:val="en-US" w:eastAsia="zh-CN"/>
                                </w:rPr>
                                <w:t>定期清掏</w:t>
                              </w:r>
                            </w:p>
                          </w:txbxContent>
                        </v:textbox>
                      </v:rect>
                      <v:rect id="_x0000_s1026" o:spid="_x0000_s1026" o:spt="1" style="position:absolute;left:2553970;top:5975892;height:249578;width:75565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OX&#10;dtTVAAAABgEAAA8AAAAAAAAAAQAgAAAAIgAAAGRycy9kb3ducmV2LnhtbFBLAQIUABQAAAAIAIdO&#10;4kD9v274JgIAAGsEAAAOAAAAAAAAAAEAIAAAACQBAABkcnMvZTJvRG9jLnhtbFBLBQYAAAAABgAG&#10;AFkBAAC8BQAAAAA=&#10;">
                        <v:fill on="t" focussize="0,0"/>
                        <v:stroke color="#000000" joinstyle="miter"/>
                        <v:imagedata o:title=""/>
                        <o:lock v:ext="edit" aspectratio="f"/>
                        <v:textbox style="mso-fit-shape-to-text:t;">
                          <w:txbxContent>
                            <w:p w14:paraId="26A14C99">
                              <w:pPr>
                                <w:jc w:val="center"/>
                                <w:rPr>
                                  <w:rFonts w:ascii="黑体" w:hAnsi="黑体" w:eastAsia="黑体"/>
                                  <w:sz w:val="18"/>
                                  <w:szCs w:val="18"/>
                                </w:rPr>
                              </w:pPr>
                              <w:r>
                                <w:rPr>
                                  <w:rFonts w:ascii="黑体" w:hAnsi="黑体" w:eastAsia="黑体"/>
                                  <w:sz w:val="18"/>
                                  <w:szCs w:val="18"/>
                                </w:rPr>
                                <w:t>化粪池</w:t>
                              </w:r>
                            </w:p>
                          </w:txbxContent>
                        </v:textbox>
                      </v:rect>
                      <v:rect id="_x0000_s1026" o:spid="_x0000_s1026" o:spt="1" style="position:absolute;left:-1261745;top:-970368;height:292767886;width:56532145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XXKG9EA&#10;AAAGAQAADwAAAAAAAAABACAAAAAiAAAAZHJzL2Rvd25yZXYueG1sUEsBAhQAFAAAAAgAh07iQPyd&#10;aSAmAgAALAQAAA4AAAAAAAAAAQAgAAAAIAEAAGRycy9lMm9Eb2MueG1sUEsFBgAAAAAGAAYAWQEA&#10;ALgFAAAAAA==&#10;">
                        <v:fill on="f" focussize="0,0"/>
                        <v:stroke on="f"/>
                        <v:imagedata o:title=""/>
                        <o:lock v:ext="edit" aspectratio="f"/>
                        <v:textbox>
                          <w:txbxContent>
                            <w:p w14:paraId="7D9038D9">
                              <w:pPr>
                                <w:jc w:val="center"/>
                                <w:rPr>
                                  <w:rFonts w:eastAsia="黑体"/>
                                  <w:sz w:val="18"/>
                                  <w:szCs w:val="18"/>
                                </w:rPr>
                              </w:pPr>
                              <w:r>
                                <w:rPr>
                                  <w:rFonts w:hAnsi="黑体" w:eastAsia="黑体"/>
                                  <w:sz w:val="18"/>
                                  <w:szCs w:val="18"/>
                                </w:rPr>
                                <w:t>新鲜水</w:t>
                              </w:r>
                              <w:r>
                                <w:rPr>
                                  <w:rFonts w:hint="eastAsia" w:eastAsia="黑体"/>
                                  <w:sz w:val="18"/>
                                  <w:szCs w:val="18"/>
                                </w:rPr>
                                <w:t>178.1</w:t>
                              </w:r>
                            </w:p>
                          </w:txbxContent>
                        </v:textbox>
                      </v:rect>
                      <v:shape id="_x0000_s1026" o:spid="_x0000_s1026" o:spt="32" type="#_x0000_t32" style="position:absolute;left:593090;top:332770;height:6364547;width:13970;" filled="f" stroked="t" coordsize="21600,21600" o:gfxdata="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EE0tUAAAAGAQAADwAAAAAAAAABACAAAAAi&#10;AAAAZHJzL2Rvd25yZXYueG1sUEsBAhQAFAAAAAgAh07iQOynzb8NAgAA/AMAAA4AAAAAAAAAAQAg&#10;AAAAJAEAAGRycy9lMm9Eb2MueG1sUEsFBgAAAAAGAAYAWQEAAKMFAAAAAA==&#10;">
                        <v:fill on="f" focussize="0,0"/>
                        <v:stroke color="#000000" joinstyle="round"/>
                        <v:imagedata o:title=""/>
                        <o:lock v:ext="edit" aspectratio="f"/>
                      </v:shape>
                      <v:shape id="_x0000_s1026" o:spid="_x0000_s1026" o:spt="32" type="#_x0000_t32" style="position:absolute;left:608965;top:6082581;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ThaOHWAAAABgEAAA8AAAAAAAAA&#10;AQAgAAAAIgAAAGRycy9kb3ducmV2LnhtbFBLAQIUABQAAAAIAIdO4kBnEM14EwIAAP0DAAAOAAAA&#10;AAAAAAEAIAAAACUBAABkcnMvZTJvRG9jLnhtbFBLBQYAAAAABgAGAFkBAACqBQAAAAA=&#10;">
                        <v:fill on="f" focussize="0,0"/>
                        <v:stroke color="#000000" joinstyle="round" endarrow="block" endarrowwidth="narrow"/>
                        <v:imagedata o:title=""/>
                        <o:lock v:ext="edit" aspectratio="f"/>
                      </v:shape>
                      <v:shape id="_x0000_s1026" o:spid="_x0000_s1026" o:spt="32" type="#_x0000_t32" style="position:absolute;left:2014855;top:6133386;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ThaOHWAAAABgEAAA8AAAAA&#10;AAAAAQAgAAAAIgAAAGRycy9kb3ducmV2LnhtbFBLAQIUABQAAAAIAIdO4kBqBWFnFgIAAP4DAAAO&#10;AAAAAAAAAAEAIAAAACUBAABkcnMvZTJvRG9jLnhtbFBLBQYAAAAABgAGAFkBAACtBQAAAAA=&#10;">
                        <v:fill on="f" focussize="0,0"/>
                        <v:stroke color="#000000" joinstyle="round" endarrow="block" endarrowwidth="narrow"/>
                        <v:imagedata o:title=""/>
                        <o:lock v:ext="edit" aspectratio="f"/>
                      </v:shape>
                      <v:rect id="_x0000_s1026" o:spid="_x0000_s1026" o:spt="1" style="position:absolute;left:1988185;top:5901590;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pdcob0QAAAAYBAAAPAAAAAAAAAAEAIAAAACIAAABkcnMvZG93bnJldi54bWxQSwECFAAUAAAA&#10;CACHTuJAs02u2LwBAABpAwAADgAAAAAAAAABACAAAAAgAQAAZHJzL2Uyb0RvYy54bWxQSwUGAAAA&#10;AAYABgBZAQAATgUAAAAA&#10;">
                        <v:fill on="f" focussize="0,0"/>
                        <v:stroke on="f"/>
                        <v:imagedata o:title=""/>
                        <o:lock v:ext="edit" aspectratio="f"/>
                        <v:textbox>
                          <w:txbxContent>
                            <w:p w14:paraId="35282B14">
                              <w:pPr>
                                <w:jc w:val="center"/>
                                <w:rPr>
                                  <w:rFonts w:eastAsia="黑体"/>
                                  <w:sz w:val="18"/>
                                  <w:szCs w:val="18"/>
                                </w:rPr>
                              </w:pPr>
                              <w:r>
                                <w:rPr>
                                  <w:rFonts w:hint="eastAsia" w:eastAsia="黑体"/>
                                  <w:sz w:val="18"/>
                                  <w:szCs w:val="18"/>
                                </w:rPr>
                                <w:t>1.6</w:t>
                              </w:r>
                            </w:p>
                          </w:txbxContent>
                        </v:textbox>
                      </v:rect>
                      <v:shape id="_x0000_s1026" o:spid="_x0000_s1026" o:spt="100" style="position:absolute;left:1479550;top:5748541;height:203853;width:316230;rotation:-170004f;" filled="f" stroked="t" coordsize="500,319" o:gfxdata="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7MpY61QAAAAYBAAAPAAAAAAAA&#10;AAEAIAAAACIAAABkcnMvZG93bnJldi54bWxQSwECFAAUAAAACACHTuJAQEi9RfkCAACIBgAADgAA&#10;AAAAAAABACAAAAAkAQAAZHJzL2Uyb0RvYy54bWxQSwUGAAAAAAYABgBZAQAAjw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_x0000_s1026" o:spid="_x0000_s1026" o:spt="1" style="position:absolute;left:605790;top:5879363;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l1yhvRAAAABgEAAA8AAAAAAAAAAQAgAAAAIgAAAGRycy9kb3ducmV2LnhtbFBLAQIUABQAAAAI&#10;AIdO4kDug4+WuwEAAGgDAAAOAAAAAAAAAAEAIAAAACABAABkcnMvZTJvRG9jLnhtbFBLBQYAAAAA&#10;BgAGAFkBAABNBQAAAAA=&#10;">
                        <v:fill on="f" focussize="0,0"/>
                        <v:stroke on="f"/>
                        <v:imagedata o:title=""/>
                        <o:lock v:ext="edit" aspectratio="f"/>
                        <v:textbox>
                          <w:txbxContent>
                            <w:p w14:paraId="2E55E43A">
                              <w:pPr>
                                <w:jc w:val="center"/>
                                <w:rPr>
                                  <w:rFonts w:eastAsia="黑体"/>
                                  <w:sz w:val="18"/>
                                  <w:szCs w:val="18"/>
                                </w:rPr>
                              </w:pPr>
                              <w:r>
                                <w:rPr>
                                  <w:rFonts w:hint="eastAsia" w:eastAsia="黑体"/>
                                  <w:sz w:val="18"/>
                                  <w:szCs w:val="18"/>
                                </w:rPr>
                                <w:t>2</w:t>
                              </w:r>
                            </w:p>
                          </w:txbxContent>
                        </v:textbox>
                      </v:rect>
                      <v:shape id="_x0000_s1026" o:spid="_x0000_s1026" o:spt="32" type="#_x0000_t32" style="position:absolute;left:605790;top:2777742;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ThaOHWAAAABgEAAA8AAAAAAAAA&#10;AQAgAAAAIgAAAGRycy9kb3ducmV2LnhtbFBLAQIUABQAAAAIAIdO4kBCzZW3EwIAAP0DAAAOAAAA&#10;AAAAAAEAIAAAACUBAABkcnMvZTJvRG9jLnhtbFBLBQYAAAAABgAGAFkBAACqBQAAAAA=&#10;">
                        <v:fill on="f" focussize="0,0"/>
                        <v:stroke color="#000000" joinstyle="round" endarrow="block" endarrowwidth="narrow"/>
                        <v:imagedata o:title=""/>
                        <o:lock v:ext="edit" aspectratio="f"/>
                      </v:shape>
                      <v:rect id="_x0000_s1026" o:spid="_x0000_s1026" o:spt="1" style="position:absolute;left:1122680;top:2638664;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5d21NUAAAAGAQAADwAAAAAAAAABACAAAAAiAAAAZHJzL2Rvd25yZXYueG1sUEsBAhQAFAAAAAgA&#10;h07iQBuk9VooAgAAawQAAA4AAAAAAAAAAQAgAAAAJAEAAGRycy9lMm9Eb2MueG1sUEsFBgAAAAAG&#10;AAYAWQEAAL4FAAAAAA==&#10;">
                        <v:fill on="t" focussize="0,0"/>
                        <v:stroke color="#000000" joinstyle="miter"/>
                        <v:imagedata o:title=""/>
                        <o:lock v:ext="edit" aspectratio="f"/>
                        <v:textbox style="mso-fit-shape-to-text:t;">
                          <w:txbxContent>
                            <w:p w14:paraId="2FEBE9B0">
                              <w:pPr>
                                <w:jc w:val="center"/>
                                <w:rPr>
                                  <w:rFonts w:ascii="黑体" w:hAnsi="黑体" w:eastAsia="黑体"/>
                                  <w:sz w:val="18"/>
                                  <w:szCs w:val="18"/>
                                </w:rPr>
                              </w:pPr>
                              <w:r>
                                <w:rPr>
                                  <w:rFonts w:hint="eastAsia" w:ascii="黑体" w:hAnsi="黑体" w:eastAsia="黑体"/>
                                  <w:sz w:val="18"/>
                                  <w:szCs w:val="18"/>
                                </w:rPr>
                                <w:t>原料搅拌用水</w:t>
                              </w:r>
                            </w:p>
                          </w:txbxContent>
                        </v:textbox>
                      </v:rect>
                      <v:shape id="_x0000_s1026" o:spid="_x0000_s1026" o:spt="32" type="#_x0000_t32" style="position:absolute;left:593090;top:1088489;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ThaOHWAAAABgEAAA8AAAAAAAAA&#10;AQAgAAAAIgAAAGRycy9kb3ducmV2LnhtbFBLAQIUABQAAAAIAIdO4kCa5W/DEwIAAP0DAAAOAAAA&#10;AAAAAAEAIAAAACUBAABkcnMvZTJvRG9jLnhtbFBLBQYAAAAABgAGAFkBAACqBQAAAAA=&#10;">
                        <v:fill on="f" focussize="0,0"/>
                        <v:stroke color="#000000" joinstyle="round" endarrow="block" endarrowwidth="narrow"/>
                        <v:imagedata o:title=""/>
                        <o:lock v:ext="edit" aspectratio="f"/>
                      </v:shape>
                      <v:rect id="_x0000_s1026" o:spid="_x0000_s1026" o:spt="1" style="position:absolute;left:1117600;top:931629;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5d2&#10;1NUAAAAGAQAADwAAAAAAAAABACAAAAAiAAAAZHJzL2Rvd25yZXYueG1sUEsBAhQAFAAAAAgAh07i&#10;QHIj84ElAgAAagQAAA4AAAAAAAAAAQAgAAAAJAEAAGRycy9lMm9Eb2MueG1sUEsFBgAAAAAGAAYA&#10;WQEAALsFAAAAAA==&#10;">
                        <v:fill on="t" focussize="0,0"/>
                        <v:stroke color="#000000" joinstyle="miter"/>
                        <v:imagedata o:title=""/>
                        <o:lock v:ext="edit" aspectratio="f"/>
                        <v:textbox style="mso-fit-shape-to-text:t;">
                          <w:txbxContent>
                            <w:p w14:paraId="28FD26E1">
                              <w:pPr>
                                <w:jc w:val="center"/>
                                <w:rPr>
                                  <w:rFonts w:ascii="黑体" w:hAnsi="黑体" w:eastAsia="黑体"/>
                                  <w:sz w:val="18"/>
                                  <w:szCs w:val="18"/>
                                </w:rPr>
                              </w:pPr>
                              <w:r>
                                <w:rPr>
                                  <w:rFonts w:hint="eastAsia" w:ascii="黑体" w:hAnsi="黑体" w:eastAsia="黑体"/>
                                  <w:sz w:val="18"/>
                                  <w:szCs w:val="18"/>
                                </w:rPr>
                                <w:t>喷淋用水</w:t>
                              </w:r>
                            </w:p>
                          </w:txbxContent>
                        </v:textbox>
                      </v:rect>
                      <v:rect id="_x0000_s1026" o:spid="_x0000_s1026" o:spt="1" style="position:absolute;left:2529840;top:1693063;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5d21NUAAAAGAQAADwAAAAAAAAABACAAAAAiAAAAZHJzL2Rvd25yZXYueG1sUEsBAhQAFAAAAAgA&#10;h07iQGtgFtooAgAAawQAAA4AAAAAAAAAAQAgAAAAJAEAAGRycy9lMm9Eb2MueG1sUEsFBgAAAAAG&#10;AAYAWQEAAL4FAAAAAA==&#10;">
                        <v:fill on="t" focussize="0,0"/>
                        <v:stroke color="#000000" joinstyle="miter"/>
                        <v:imagedata o:title=""/>
                        <o:lock v:ext="edit" aspectratio="f"/>
                        <v:textbox style="mso-fit-shape-to-text:t;">
                          <w:txbxContent>
                            <w:p w14:paraId="37CEA0F4">
                              <w:pPr>
                                <w:jc w:val="center"/>
                                <w:rPr>
                                  <w:rFonts w:ascii="黑体" w:hAnsi="黑体" w:eastAsia="黑体"/>
                                  <w:sz w:val="18"/>
                                  <w:szCs w:val="18"/>
                                </w:rPr>
                              </w:pPr>
                              <w:r>
                                <w:rPr>
                                  <w:rFonts w:hint="eastAsia" w:ascii="黑体" w:hAnsi="黑体" w:eastAsia="黑体"/>
                                  <w:sz w:val="18"/>
                                  <w:szCs w:val="18"/>
                                </w:rPr>
                                <w:t>沉淀池</w:t>
                              </w:r>
                            </w:p>
                          </w:txbxContent>
                        </v:textbox>
                      </v:rect>
                      <v:rect id="_x0000_s1026" o:spid="_x0000_s1026" o:spt="1" style="position:absolute;left:605790;top:2570713;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pdcob0QAAAAYBAAAPAAAAAAAAAAEAIAAAACIAAABkcnMvZG93bnJldi54bWxQSwECFAAUAAAA&#10;CACHTuJAb7E93LwBAABoAwAADgAAAAAAAAABACAAAAAgAQAAZHJzL2Uyb0RvYy54bWxQSwUGAAAA&#10;AAYABgBZAQAATgUAAAAA&#10;">
                        <v:fill on="f" focussize="0,0"/>
                        <v:stroke on="f"/>
                        <v:imagedata o:title=""/>
                        <o:lock v:ext="edit" aspectratio="f"/>
                        <v:textbox>
                          <w:txbxContent>
                            <w:p w14:paraId="6525C4D0">
                              <w:pPr>
                                <w:jc w:val="center"/>
                                <w:rPr>
                                  <w:rFonts w:eastAsia="黑体"/>
                                  <w:sz w:val="18"/>
                                  <w:szCs w:val="18"/>
                                </w:rPr>
                              </w:pPr>
                              <w:r>
                                <w:rPr>
                                  <w:rFonts w:hint="eastAsia" w:eastAsia="黑体"/>
                                  <w:sz w:val="18"/>
                                  <w:szCs w:val="18"/>
                                </w:rPr>
                                <w:t>156.85</w:t>
                              </w:r>
                            </w:p>
                          </w:txbxContent>
                        </v:textbox>
                      </v:rect>
                      <v:rect id="_x0000_s1026" o:spid="_x0000_s1026" o:spt="1" style="position:absolute;left:593090;top:888446;height:245767;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pdcob0QAAAAYBAAAPAAAAAAAAAAEAIAAAACIAAABkcnMvZG93bnJldi54bWxQSwECFAAUAAAA&#10;CACHTuJAz0Zu4bwBAABnAwAADgAAAAAAAAABACAAAAAgAQAAZHJzL2Uyb0RvYy54bWxQSwUGAAAA&#10;AAYABgBZAQAATgUAAAAA&#10;">
                        <v:fill on="f" focussize="0,0"/>
                        <v:stroke on="f"/>
                        <v:imagedata o:title=""/>
                        <o:lock v:ext="edit" aspectratio="f"/>
                        <v:textbox>
                          <w:txbxContent>
                            <w:p w14:paraId="7948F88F">
                              <w:pPr>
                                <w:jc w:val="center"/>
                                <w:rPr>
                                  <w:rFonts w:eastAsia="黑体"/>
                                  <w:sz w:val="18"/>
                                  <w:szCs w:val="18"/>
                                </w:rPr>
                              </w:pPr>
                              <w:r>
                                <w:rPr>
                                  <w:rFonts w:hint="eastAsia" w:eastAsia="黑体"/>
                                  <w:sz w:val="18"/>
                                  <w:szCs w:val="18"/>
                                </w:rPr>
                                <w:t>0.64</w:t>
                              </w:r>
                            </w:p>
                          </w:txbxContent>
                        </v:textbox>
                      </v:rect>
                      <v:shape id="_x0000_s1026" o:spid="_x0000_s1026" o:spt="100" style="position:absolute;left:1451610;top:718885;height:203853;width:316230;rotation:-170004f;" filled="f" stroked="t" coordsize="500,319" o:gfxdata="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7MpY61QAAAAYBAAAPAAAAAAAA&#10;AAEAIAAAACIAAABkcnMvZG93bnJldi54bWxQSwECFAAUAAAACACHTuJAELYysfkCAACHBgAADgAA&#10;AAAAAAABACAAAAAkAQAAZHJzL2Uyb0RvYy54bWxQSwUGAAAAAAYABgBZAQAAjw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_x0000_s1026" o:spid="_x0000_s1026" o:spt="1" style="position:absolute;left:1513840;top:496615;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XXKG9EAAAAGAQAADwAAAAAAAAABACAAAAAiAAAAZHJzL2Rvd25yZXYueG1sUEsBAhQAFAAA&#10;AAgAh07iQFVy5eK9AQAAaAMAAA4AAAAAAAAAAQAgAAAAIAEAAGRycy9lMm9Eb2MueG1sUEsFBgAA&#10;AAAGAAYAWQEAAE8FAAAAAA==&#10;">
                        <v:fill on="f" focussize="0,0"/>
                        <v:stroke on="f"/>
                        <v:imagedata o:title=""/>
                        <o:lock v:ext="edit" aspectratio="f"/>
                        <v:textbox>
                          <w:txbxContent>
                            <w:p w14:paraId="229CD4EF">
                              <w:pPr>
                                <w:jc w:val="center"/>
                                <w:rPr>
                                  <w:rFonts w:eastAsia="黑体"/>
                                  <w:sz w:val="18"/>
                                  <w:szCs w:val="18"/>
                                </w:rPr>
                              </w:pPr>
                              <w:r>
                                <w:rPr>
                                  <w:rFonts w:hint="eastAsia" w:eastAsia="黑体"/>
                                  <w:sz w:val="18"/>
                                  <w:szCs w:val="18"/>
                                </w:rPr>
                                <w:t>0.64</w:t>
                              </w:r>
                            </w:p>
                          </w:txbxContent>
                        </v:textbox>
                      </v:rect>
                      <v:rect id="_x0000_s1026" o:spid="_x0000_s1026" o:spt="1" style="position:absolute;left:1577975;top:5531986;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XXKG9EAAAAGAQAADwAAAAAAAAABACAAAAAiAAAAZHJzL2Rvd25yZXYueG1sUEsBAhQA&#10;FAAAAAgAh07iQGBGh5HAAQAAaQMAAA4AAAAAAAAAAQAgAAAAIAEAAGRycy9lMm9Eb2MueG1sUEsF&#10;BgAAAAAGAAYAWQEAAFIFAAAAAA==&#10;">
                        <v:fill on="f" focussize="0,0"/>
                        <v:stroke on="f"/>
                        <v:imagedata o:title=""/>
                        <o:lock v:ext="edit" aspectratio="f"/>
                        <v:textbox>
                          <w:txbxContent>
                            <w:p w14:paraId="47B36887">
                              <w:pPr>
                                <w:jc w:val="center"/>
                                <w:rPr>
                                  <w:rFonts w:eastAsia="黑体"/>
                                  <w:sz w:val="18"/>
                                  <w:szCs w:val="18"/>
                                </w:rPr>
                              </w:pPr>
                              <w:r>
                                <w:rPr>
                                  <w:rFonts w:hint="eastAsia" w:eastAsia="黑体"/>
                                  <w:sz w:val="18"/>
                                  <w:szCs w:val="18"/>
                                </w:rPr>
                                <w:t>0.4</w:t>
                              </w:r>
                            </w:p>
                          </w:txbxContent>
                        </v:textbox>
                      </v:rect>
                      <v:rect id="_x0000_s1026" o:spid="_x0000_s1026" o:spt="1" style="position:absolute;left:3208655;top:5925087;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XXKG9EAAAAGAQAADwAAAAAAAAABACAAAAAiAAAAZHJzL2Rvd25yZXYueG1sUEsBAhQA&#10;FAAAAAgAh07iQDhe3HTAAQAAaQMAAA4AAAAAAAAAAQAgAAAAIAEAAGRycy9lMm9Eb2MueG1sUEsF&#10;BgAAAAAGAAYAWQEAAFIFAAAAAA==&#10;">
                        <v:fill on="f" focussize="0,0"/>
                        <v:stroke on="f"/>
                        <v:imagedata o:title=""/>
                        <o:lock v:ext="edit" aspectratio="f"/>
                        <v:textbox>
                          <w:txbxContent>
                            <w:p w14:paraId="6F14B5F7">
                              <w:pPr>
                                <w:jc w:val="center"/>
                                <w:rPr>
                                  <w:rFonts w:eastAsia="黑体"/>
                                  <w:sz w:val="18"/>
                                  <w:szCs w:val="18"/>
                                </w:rPr>
                              </w:pPr>
                              <w:r>
                                <w:rPr>
                                  <w:rFonts w:hint="eastAsia" w:eastAsia="黑体"/>
                                  <w:sz w:val="18"/>
                                  <w:szCs w:val="18"/>
                                </w:rPr>
                                <w:t>1.6</w:t>
                              </w:r>
                            </w:p>
                          </w:txbxContent>
                        </v:textbox>
                      </v:rect>
                      <v:rect id="_x0000_s1026" o:spid="_x0000_s1026" o:spt="1" style="position:absolute;left:1115060;top:1698144;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j&#10;l3bU1QAAAAYBAAAPAAAAAAAAAAEAIAAAACIAAABkcnMvZG93bnJldi54bWxQSwECFAAUAAAACACH&#10;TuJAZ5UFpScCAABrBAAADgAAAAAAAAABACAAAAAkAQAAZHJzL2Uyb0RvYy54bWxQSwUGAAAAAAYA&#10;BgBZAQAAvQUAAAAA&#10;">
                        <v:fill on="t" focussize="0,0"/>
                        <v:stroke color="#000000" joinstyle="miter"/>
                        <v:imagedata o:title=""/>
                        <o:lock v:ext="edit" aspectratio="f"/>
                        <v:textbox style="mso-fit-shape-to-text:t;">
                          <w:txbxContent>
                            <w:p w14:paraId="1D2B9D48">
                              <w:pPr>
                                <w:jc w:val="center"/>
                                <w:rPr>
                                  <w:rFonts w:ascii="黑体" w:hAnsi="黑体" w:eastAsia="黑体"/>
                                  <w:sz w:val="18"/>
                                  <w:szCs w:val="18"/>
                                </w:rPr>
                              </w:pPr>
                              <w:r>
                                <w:rPr>
                                  <w:rFonts w:hint="eastAsia" w:ascii="黑体" w:hAnsi="黑体" w:eastAsia="黑体"/>
                                  <w:sz w:val="18"/>
                                  <w:szCs w:val="18"/>
                                </w:rPr>
                                <w:t>车辆清洗废水</w:t>
                              </w:r>
                            </w:p>
                          </w:txbxContent>
                        </v:textbox>
                      </v:rect>
                      <v:shape id="_x0000_s1026" o:spid="_x0000_s1026" o:spt="32" type="#_x0000_t32" style="position:absolute;left:3301365;top:6134021;height:635;width:45720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ThaOHWAAAABgEAAA8AAAAA&#10;AAAAAQAgAAAAIgAAAGRycy9kb3ducmV2LnhtbFBLAQIUABQAAAAIAIdO4kBBdevYFgIAAP4DAAAO&#10;AAAAAAAAAAEAIAAAACUBAABkcnMvZTJvRG9jLnhtbFBLBQYAAAAABgAGAFkBAACtBQAAAAA=&#10;">
                        <v:fill on="f" focussize="0,0"/>
                        <v:stroke color="#000000" joinstyle="round" endarrow="block" endarrowwidth="narrow"/>
                        <v:imagedata o:title=""/>
                        <o:lock v:ext="edit" aspectratio="f"/>
                      </v:shape>
                      <v:shape id="_x0000_s1026" o:spid="_x0000_s1026" o:spt="32" type="#_x0000_t32" style="position:absolute;left:593090;top:1845477;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OFo4dYAAAAGAQAADwAAAAAA&#10;AAABACAAAAAiAAAAZHJzL2Rvd25yZXYueG1sUEsBAhQAFAAAAAgAh07iQF5X44oVAgAA/QMAAA4A&#10;AAAAAAAAAQAgAAAAJQEAAGRycy9lMm9Eb2MueG1sUEsFBgAAAAAGAAYAWQEAAKwFAAAAAA==&#10;">
                        <v:fill on="f" focussize="0,0"/>
                        <v:stroke color="#000000" joinstyle="round" endarrow="block" endarrowwidth="narrow"/>
                        <v:imagedata o:title=""/>
                        <o:lock v:ext="edit" aspectratio="f"/>
                      </v:shape>
                      <v:rect id="_x0000_s1026" o:spid="_x0000_s1026" o:spt="1" style="position:absolute;left:593090;top:1654325;height:245767;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pdcob0QAAAAYBAAAPAAAAAAAAAAEAIAAAACIAAABkcnMvZG93bnJldi54bWxQSwECFAAUAAAA&#10;CACHTuJAx7mxWLwBAABoAwAADgAAAAAAAAABACAAAAAgAQAAZHJzL2Uyb0RvYy54bWxQSwUGAAAA&#10;AAYABgBZAQAATgUAAAAA&#10;">
                        <v:fill on="f" focussize="0,0"/>
                        <v:stroke on="f"/>
                        <v:imagedata o:title=""/>
                        <o:lock v:ext="edit" aspectratio="f"/>
                        <v:textbox>
                          <w:txbxContent>
                            <w:p w14:paraId="010F6A04">
                              <w:pPr>
                                <w:jc w:val="center"/>
                                <w:rPr>
                                  <w:rFonts w:eastAsia="黑体"/>
                                  <w:sz w:val="18"/>
                                  <w:szCs w:val="18"/>
                                </w:rPr>
                              </w:pPr>
                              <w:r>
                                <w:rPr>
                                  <w:rFonts w:hint="eastAsia" w:eastAsia="黑体"/>
                                  <w:sz w:val="18"/>
                                  <w:szCs w:val="18"/>
                                </w:rPr>
                                <w:t>0.552</w:t>
                              </w:r>
                            </w:p>
                          </w:txbxContent>
                        </v:textbox>
                      </v:rect>
                      <v:shape id="_x0000_s1026" o:spid="_x0000_s1026" o:spt="100" style="position:absolute;left:1461770;top:1491115;height:203853;width:316230;rotation:-170004f;" filled="f" stroked="t" coordsize="500,319" o:gfxdata="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7MpY61QAAAAYBAAAPAAAAAAAA&#10;AAEAIAAAACIAAABkcnMvZG93bnJldi54bWxQSwECFAAUAAAACACHTuJAaxIwTvkCAACIBgAADgAA&#10;AAAAAAABACAAAAAkAQAAZHJzL2Uyb0RvYy54bWxQSwUGAAAAAAYABgBZAQAAjw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_x0000_s1026" o:spid="_x0000_s1026" o:spt="1" style="position:absolute;left:1524000;top:1268845;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A3yzzAvgEAAGkDAAAOAAAAAAAAAAEAIAAAACABAABkcnMvZTJvRG9jLnhtbFBLBQYA&#10;AAAABgAGAFkBAABQBQAAAAA=&#10;">
                        <v:fill on="f" focussize="0,0"/>
                        <v:stroke on="f"/>
                        <v:imagedata o:title=""/>
                        <o:lock v:ext="edit" aspectratio="f"/>
                        <v:textbox>
                          <w:txbxContent>
                            <w:p w14:paraId="34FDB177">
                              <w:pPr>
                                <w:jc w:val="center"/>
                                <w:rPr>
                                  <w:rFonts w:hint="eastAsia" w:eastAsia="黑体"/>
                                  <w:sz w:val="18"/>
                                  <w:szCs w:val="18"/>
                                </w:rPr>
                              </w:pPr>
                              <w:r>
                                <w:rPr>
                                  <w:rFonts w:hint="eastAsia" w:eastAsia="黑体"/>
                                  <w:sz w:val="18"/>
                                  <w:szCs w:val="18"/>
                                </w:rPr>
                                <w:t>0.552</w:t>
                              </w:r>
                            </w:p>
                          </w:txbxContent>
                        </v:textbox>
                      </v:rect>
                      <v:shape id="_x0000_s1026" o:spid="_x0000_s1026" o:spt="32" type="#_x0000_t32" style="position:absolute;left:2005965;top:1844842;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OFo4dYAAAAGAQAADwAA&#10;AAAAAAABACAAAAAiAAAAZHJzL2Rvd25yZXYueG1sUEsBAhQAFAAAAAgAh07iQJiDpgQYAgAA/gMA&#10;AA4AAAAAAAAAAQAgAAAAJQEAAGRycy9lMm9Eb2MueG1sUEsFBgAAAAAGAAYAWQEAAK8FAAAAAA==&#10;">
                        <v:fill on="f" focussize="0,0"/>
                        <v:stroke color="#000000" joinstyle="round" endarrow="block" endarrowwidth="narrow"/>
                        <v:imagedata o:title=""/>
                        <o:lock v:ext="edit" aspectratio="f"/>
                      </v:shape>
                      <v:rect id="_x0000_s1026" o:spid="_x0000_s1026" o:spt="1" style="position:absolute;left:2019300;top:1630828;height:245767;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DaezrDvgEAAGkDAAAOAAAAAAAAAAEAIAAAACABAABkcnMvZTJvRG9jLnhtbFBLBQYA&#10;AAAABgAGAFkBAABQBQAAAAA=&#10;">
                        <v:fill on="f" focussize="0,0"/>
                        <v:stroke on="f"/>
                        <v:imagedata o:title=""/>
                        <o:lock v:ext="edit" aspectratio="f"/>
                        <v:textbox>
                          <w:txbxContent>
                            <w:p w14:paraId="7E2A86C4">
                              <w:pPr>
                                <w:jc w:val="center"/>
                                <w:rPr>
                                  <w:rFonts w:eastAsia="黑体"/>
                                  <w:sz w:val="18"/>
                                  <w:szCs w:val="18"/>
                                </w:rPr>
                              </w:pPr>
                              <w:r>
                                <w:rPr>
                                  <w:rFonts w:hint="eastAsia" w:eastAsia="黑体"/>
                                  <w:sz w:val="18"/>
                                  <w:szCs w:val="18"/>
                                </w:rPr>
                                <w:t>2.76</w:t>
                              </w:r>
                            </w:p>
                          </w:txbxContent>
                        </v:textbox>
                      </v:rect>
                      <v:rect id="_x0000_s1026" o:spid="_x0000_s1026" o:spt="1" style="position:absolute;left:2030730;top:2031549;height:245767;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l1yhvRAAAABgEAAA8AAAAAAAAAAQAgAAAAIgAAAGRycy9kb3ducmV2LnhtbFBLAQIUABQAAAAI&#10;AIdO4kDQNdrUuwEAAGkDAAAOAAAAAAAAAAEAIAAAACABAABkcnMvZTJvRG9jLnhtbFBLBQYAAAAA&#10;BgAGAFkBAABNBQAAAAA=&#10;">
                        <v:fill on="f" focussize="0,0"/>
                        <v:stroke on="f"/>
                        <v:imagedata o:title=""/>
                        <o:lock v:ext="edit" aspectratio="f"/>
                        <v:textbox>
                          <w:txbxContent>
                            <w:p w14:paraId="248AA4AF">
                              <w:pPr>
                                <w:jc w:val="center"/>
                                <w:rPr>
                                  <w:rFonts w:eastAsia="黑体"/>
                                  <w:sz w:val="18"/>
                                  <w:szCs w:val="18"/>
                                </w:rPr>
                              </w:pPr>
                              <w:r>
                                <w:rPr>
                                  <w:rFonts w:hint="eastAsia" w:eastAsia="黑体"/>
                                  <w:sz w:val="18"/>
                                  <w:szCs w:val="18"/>
                                </w:rPr>
                                <w:t>2.762</w:t>
                              </w:r>
                            </w:p>
                          </w:txbxContent>
                        </v:textbox>
                      </v:rect>
                      <v:rect id="_x0000_s1026" o:spid="_x0000_s1026" o:spt="1" style="position:absolute;left:1988185;top:2576429;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XXKG9EAAAAGAQAADwAAAAAAAAABACAAAAAiAAAAZHJzL2Rvd25yZXYueG1sUEsBAhQA&#10;FAAAAAgAh07iQA383WXAAQAAaQMAAA4AAAAAAAAAAQAgAAAAIAEAAGRycy9lMm9Eb2MueG1sUEsF&#10;BgAAAAAGAAYAWQEAAFIFAAAAAA==&#10;">
                        <v:fill on="f" focussize="0,0"/>
                        <v:stroke on="f"/>
                        <v:imagedata o:title=""/>
                        <o:lock v:ext="edit" aspectratio="f"/>
                        <v:textbox>
                          <w:txbxContent>
                            <w:p w14:paraId="7EF8721C">
                              <w:pPr>
                                <w:jc w:val="center"/>
                                <w:rPr>
                                  <w:rFonts w:eastAsia="黑体"/>
                                  <w:sz w:val="18"/>
                                  <w:szCs w:val="18"/>
                                </w:rPr>
                              </w:pPr>
                              <w:r>
                                <w:rPr>
                                  <w:rFonts w:hint="eastAsia" w:eastAsia="黑体"/>
                                  <w:sz w:val="18"/>
                                  <w:szCs w:val="18"/>
                                </w:rPr>
                                <w:t>160</w:t>
                              </w:r>
                            </w:p>
                          </w:txbxContent>
                        </v:textbox>
                      </v:rect>
                      <v:shape id="_x0000_s1026" o:spid="_x0000_s1026" o:spt="32" type="#_x0000_t32" style="position:absolute;left:2012950;top:2778377;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OFo4dYAAAAGAQAADwAAAAAA&#10;AAABACAAAAAiAAAAZHJzL2Rvd25yZXYueG1sUEsBAhQAFAAAAAgAh07iQC5vfbkVAgAA/gMAAA4A&#10;AAAAAAAAAQAgAAAAJQEAAGRycy9lMm9Eb2MueG1sUEsFBgAAAAAGAAYAWQEAAKwFAAAAAA==&#10;">
                        <v:fill on="f" focussize="0,0"/>
                        <v:stroke color="#000000" joinstyle="round" endarrow="block" endarrowwidth="narrow"/>
                        <v:imagedata o:title=""/>
                        <o:lock v:ext="edit" aspectratio="f"/>
                      </v:shape>
                      <v:rect id="_x0000_s1026" o:spid="_x0000_s1026" o:spt="1" style="position:absolute;left:2505075;top:2638664;height:239417;width:890270;v-text-anchor:middle;" filled="f" stroked="f" coordsize="21600,21600" o:gfxdata="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zXIotQAAAAGAQAADwAAAAAAAAABACAAAAAiAAAAZHJzL2Rvd25y&#10;ZXYueG1sUEsBAhQAFAAAAAgAh07iQOGrLv7JAQAAgwMAAA4AAAAAAAAAAQAgAAAAIwEAAGRycy9l&#10;Mm9Eb2MueG1sUEsFBgAAAAAGAAYAWQEAAF4FAAAAAA==&#10;">
                        <v:fill on="f" focussize="0,0"/>
                        <v:stroke on="f"/>
                        <v:imagedata o:title=""/>
                        <o:lock v:ext="edit" aspectratio="f"/>
                        <v:textbox style="mso-fit-shape-to-text:t;">
                          <w:txbxContent>
                            <w:p w14:paraId="379F5C56">
                              <w:pPr>
                                <w:jc w:val="center"/>
                                <w:rPr>
                                  <w:rFonts w:ascii="黑体" w:hAnsi="黑体" w:eastAsia="黑体"/>
                                  <w:sz w:val="18"/>
                                  <w:szCs w:val="18"/>
                                </w:rPr>
                              </w:pPr>
                              <w:r>
                                <w:rPr>
                                  <w:rFonts w:hint="eastAsia" w:ascii="黑体" w:hAnsi="黑体" w:eastAsia="黑体"/>
                                  <w:sz w:val="18"/>
                                  <w:szCs w:val="18"/>
                                </w:rPr>
                                <w:t>带入产品</w:t>
                              </w:r>
                            </w:p>
                          </w:txbxContent>
                        </v:textbox>
                      </v:rect>
                      <v:shape id="_x0000_s1026" o:spid="_x0000_s1026" o:spt="32" type="#_x0000_t32" style="position:absolute;left:608965;top:5137616;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ThaOHWAAAABgEAAA8AAAAA&#10;AAAAAQAgAAAAIgAAAGRycy9kb3ducmV2LnhtbFBLAQIUABQAAAAIAIdO4kDnvH87FgIAAP0DAAAO&#10;AAAAAAAAAAEAIAAAACUBAABkcnMvZTJvRG9jLnhtbFBLBQYAAAAABgAGAFkBAACtBQAAAAA=&#10;">
                        <v:fill on="f" focussize="0,0"/>
                        <v:stroke color="#000000" joinstyle="round" endarrow="block" endarrowwidth="narrow"/>
                        <v:imagedata o:title=""/>
                        <o:lock v:ext="edit" aspectratio="f"/>
                      </v:shape>
                      <v:rect id="_x0000_s1026" o:spid="_x0000_s1026" o:spt="1" style="position:absolute;left:1115695;top:4967420;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OX&#10;dtTVAAAABgEAAA8AAAAAAAAAAQAgAAAAIgAAAGRycy9kb3ducmV2LnhtbFBLAQIUABQAAAAIAIdO&#10;4kDitLmwJgIAAGsEAAAOAAAAAAAAAAEAIAAAACQBAABkcnMvZTJvRG9jLnhtbFBLBQYAAAAABgAG&#10;AFkBAAC8BQAAAAA=&#10;">
                        <v:fill on="t" focussize="0,0"/>
                        <v:stroke color="#000000" joinstyle="miter"/>
                        <v:imagedata o:title=""/>
                        <o:lock v:ext="edit" aspectratio="f"/>
                        <v:textbox style="mso-fit-shape-to-text:t;">
                          <w:txbxContent>
                            <w:p w14:paraId="3BC3A066">
                              <w:pPr>
                                <w:jc w:val="center"/>
                                <w:rPr>
                                  <w:rFonts w:ascii="黑体" w:hAnsi="黑体" w:eastAsia="黑体"/>
                                  <w:sz w:val="18"/>
                                  <w:szCs w:val="18"/>
                                </w:rPr>
                              </w:pPr>
                              <w:r>
                                <w:rPr>
                                  <w:rFonts w:hint="eastAsia" w:ascii="黑体" w:hAnsi="黑体" w:eastAsia="黑体"/>
                                  <w:sz w:val="18"/>
                                  <w:szCs w:val="18"/>
                                </w:rPr>
                                <w:t>脱硫用水</w:t>
                              </w:r>
                            </w:p>
                          </w:txbxContent>
                        </v:textbox>
                      </v:rect>
                      <v:rect id="_x0000_s1026" o:spid="_x0000_s1026" o:spt="1" style="position:absolute;left:598805;top:4893754;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BNdT5zvgEAAGgDAAAOAAAAAAAAAAEAIAAAACABAABkcnMvZTJvRG9jLnhtbFBLBQYA&#10;AAAABgAGAFkBAABQBQAAAAA=&#10;">
                        <v:fill on="f" focussize="0,0"/>
                        <v:stroke on="f"/>
                        <v:imagedata o:title=""/>
                        <o:lock v:ext="edit" aspectratio="f"/>
                        <v:textbox>
                          <w:txbxContent>
                            <w:p w14:paraId="27044193">
                              <w:pPr>
                                <w:jc w:val="center"/>
                                <w:rPr>
                                  <w:rFonts w:hint="default" w:eastAsia="黑体"/>
                                  <w:sz w:val="18"/>
                                  <w:szCs w:val="18"/>
                                  <w:lang w:val="en-US" w:eastAsia="zh-CN"/>
                                </w:rPr>
                              </w:pPr>
                              <w:r>
                                <w:rPr>
                                  <w:rFonts w:hint="eastAsia" w:eastAsia="黑体"/>
                                  <w:sz w:val="18"/>
                                  <w:szCs w:val="18"/>
                                  <w:lang w:val="en-US" w:eastAsia="zh-CN"/>
                                </w:rPr>
                                <w:t>1080</w:t>
                              </w:r>
                            </w:p>
                          </w:txbxContent>
                        </v:textbox>
                      </v:rect>
                      <v:shape id="_x0000_s1026" o:spid="_x0000_s1026" o:spt="100" style="position:absolute;left:1451610;top:4742610;height:203853;width:316230;rotation:-170004f;" filled="f" stroked="t" coordsize="500,319" o:gfxdata="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7MpY61QAAAAYBAAAPAAAAAAAA&#10;AAEAIAAAACIAAABkcnMvZG93bnJldi54bWxQSwECFAAUAAAACACHTuJATfv+yfkCAACIBgAADgAA&#10;AAAAAAABACAAAAAkAQAAZHJzL2Uyb0RvYy54bWxQSwUGAAAAAAYABgBZAQAAjw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_x0000_s1026" o:spid="_x0000_s1026" o:spt="1" style="position:absolute;left:1513840;top:4502558;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CHwNgjvgEAAGkDAAAOAAAAAAAAAAEAIAAAACABAABkcnMvZTJvRG9jLnhtbFBLBQYA&#10;AAAABgAGAFkBAABQBQAAAAA=&#10;">
                        <v:fill on="f" focussize="0,0"/>
                        <v:stroke on="f"/>
                        <v:imagedata o:title=""/>
                        <o:lock v:ext="edit" aspectratio="f"/>
                        <v:textbox>
                          <w:txbxContent>
                            <w:p w14:paraId="512D33A5">
                              <w:pPr>
                                <w:jc w:val="center"/>
                                <w:rPr>
                                  <w:rFonts w:hint="default" w:eastAsia="黑体"/>
                                  <w:sz w:val="18"/>
                                  <w:szCs w:val="18"/>
                                  <w:lang w:val="en-US" w:eastAsia="zh-CN"/>
                                </w:rPr>
                              </w:pPr>
                              <w:r>
                                <w:rPr>
                                  <w:rFonts w:hint="eastAsia" w:eastAsia="黑体"/>
                                  <w:sz w:val="18"/>
                                  <w:szCs w:val="18"/>
                                  <w:lang w:val="en-US" w:eastAsia="zh-CN"/>
                                </w:rPr>
                                <w:t>1080</w:t>
                              </w:r>
                            </w:p>
                          </w:txbxContent>
                        </v:textbox>
                      </v:rect>
                      <v:shape id="_x0000_s1026" o:spid="_x0000_s1026" o:spt="32" type="#_x0000_t32" style="position:absolute;left:608965;top:4137400;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ThaOHWAAAABgEAAA8AAAAA&#10;AAAAAQAgAAAAIgAAAGRycy9kb3ducmV2LnhtbFBLAQIUABQAAAAIAIdO4kA1GSC3FgIAAP0DAAAO&#10;AAAAAAAAAAEAIAAAACUBAABkcnMvZTJvRG9jLnhtbFBLBQYAAAAABgAGAFkBAACtBQAAAAA=&#10;">
                        <v:fill on="f" focussize="0,0"/>
                        <v:stroke color="#000000" joinstyle="round" endarrow="block" endarrowwidth="narrow"/>
                        <v:imagedata o:title=""/>
                        <o:lock v:ext="edit" aspectratio="f"/>
                      </v:shape>
                      <v:rect id="_x0000_s1026" o:spid="_x0000_s1026" o:spt="1" style="position:absolute;left:1125855;top:3980541;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5d21NUAAAAGAQAADwAAAAAAAAABACAAAAAiAAAAZHJzL2Rvd25yZXYueG1sUEsBAhQAFAAAAAgA&#10;h07iQLVX03MoAgAAawQAAA4AAAAAAAAAAQAgAAAAJAEAAGRycy9lMm9Eb2MueG1sUEsFBgAAAAAG&#10;AAYAWQEAAL4FAAAAAA==&#10;">
                        <v:fill on="t" focussize="0,0"/>
                        <v:stroke color="#000000" joinstyle="miter"/>
                        <v:imagedata o:title=""/>
                        <o:lock v:ext="edit" aspectratio="f"/>
                        <v:textbox style="mso-fit-shape-to-text:t;">
                          <w:txbxContent>
                            <w:p w14:paraId="43E8C94A">
                              <w:pPr>
                                <w:jc w:val="center"/>
                                <w:rPr>
                                  <w:rFonts w:ascii="黑体" w:hAnsi="黑体" w:eastAsia="黑体"/>
                                  <w:sz w:val="18"/>
                                  <w:szCs w:val="18"/>
                                </w:rPr>
                              </w:pPr>
                              <w:r>
                                <w:rPr>
                                  <w:rFonts w:hint="eastAsia" w:ascii="黑体" w:hAnsi="黑体" w:eastAsia="黑体"/>
                                  <w:sz w:val="18"/>
                                  <w:szCs w:val="18"/>
                                </w:rPr>
                                <w:t>湿电除尘用水</w:t>
                              </w:r>
                            </w:p>
                          </w:txbxContent>
                        </v:textbox>
                      </v:rect>
                      <v:rect id="_x0000_s1026" o:spid="_x0000_s1026" o:spt="1" style="position:absolute;left:608965;top:3915765;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ApkqLGvgEAAGgDAAAOAAAAAAAAAAEAIAAAACABAABkcnMvZTJvRG9jLnhtbFBLBQYA&#10;AAAABgAGAFkBAABQBQAAAAA=&#10;">
                        <v:fill on="f" focussize="0,0"/>
                        <v:stroke on="f"/>
                        <v:imagedata o:title=""/>
                        <o:lock v:ext="edit" aspectratio="f"/>
                        <v:textbox>
                          <w:txbxContent>
                            <w:p w14:paraId="71170318">
                              <w:pPr>
                                <w:jc w:val="center"/>
                                <w:rPr>
                                  <w:rFonts w:hint="eastAsia" w:eastAsia="黑体"/>
                                  <w:sz w:val="18"/>
                                  <w:szCs w:val="18"/>
                                  <w:lang w:val="en-US" w:eastAsia="zh-CN"/>
                                </w:rPr>
                              </w:pPr>
                              <w:r>
                                <w:rPr>
                                  <w:rFonts w:hint="eastAsia" w:eastAsia="黑体"/>
                                  <w:sz w:val="18"/>
                                  <w:szCs w:val="18"/>
                                  <w:lang w:val="en-US" w:eastAsia="zh-CN"/>
                                </w:rPr>
                                <w:t>2</w:t>
                              </w:r>
                            </w:p>
                          </w:txbxContent>
                        </v:textbox>
                      </v:rect>
                      <v:shape id="_x0000_s1026" o:spid="_x0000_s1026" o:spt="32" type="#_x0000_t32" style="position:absolute;left:2005330;top:5138251;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OFo4dYAAAAGAQAADwAAAAAA&#10;AAABACAAAAAiAAAAZHJzL2Rvd25yZXYueG1sUEsBAhQAFAAAAAgAh07iQD/o4T4VAgAA/gMAAA4A&#10;AAAAAAAAAQAgAAAAJQEAAGRycy9lMm9Eb2MueG1sUEsFBgAAAAAGAAYAWQEAAKwFAAAAAA==&#10;">
                        <v:fill on="f" focussize="0,0"/>
                        <v:stroke color="#000000" joinstyle="round" endarrow="block" endarrowwidth="narrow"/>
                        <v:imagedata o:title=""/>
                        <o:lock v:ext="edit" aspectratio="f"/>
                      </v:shape>
                      <v:rect id="_x0000_s1026" o:spid="_x0000_s1026" o:spt="1" style="position:absolute;left:2505075;top:4967420;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OX&#10;dtTVAAAABgEAAA8AAAAAAAAAAQAgAAAAIgAAAGRycy9kb3ducmV2LnhtbFBLAQIUABQAAAAIAIdO&#10;4kBHWK7XJgIAAGsEAAAOAAAAAAAAAAEAIAAAACQBAABkcnMvZTJvRG9jLnhtbFBLBQYAAAAABgAG&#10;AFkBAAC8BQAAAAA=&#10;">
                        <v:fill on="t" focussize="0,0"/>
                        <v:stroke color="#000000" joinstyle="miter"/>
                        <v:imagedata o:title=""/>
                        <o:lock v:ext="edit" aspectratio="f"/>
                        <v:textbox style="mso-fit-shape-to-text:t;">
                          <w:txbxContent>
                            <w:p w14:paraId="5C2A9890">
                              <w:pPr>
                                <w:jc w:val="center"/>
                                <w:rPr>
                                  <w:rFonts w:ascii="黑体" w:hAnsi="黑体" w:eastAsia="黑体"/>
                                  <w:sz w:val="18"/>
                                  <w:szCs w:val="18"/>
                                </w:rPr>
                              </w:pPr>
                              <w:r>
                                <w:rPr>
                                  <w:rFonts w:hint="eastAsia" w:ascii="黑体" w:hAnsi="黑体" w:eastAsia="黑体"/>
                                  <w:sz w:val="18"/>
                                  <w:szCs w:val="18"/>
                                </w:rPr>
                                <w:t>沉淀池</w:t>
                              </w:r>
                            </w:p>
                          </w:txbxContent>
                        </v:textbox>
                      </v:rect>
                      <v:rect id="_x0000_s1026" o:spid="_x0000_s1026" o:spt="1" style="position:absolute;left:1927225;top:5224145;height:307975;width:654685;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AFYtSdvgEAAGkDAAAOAAAAAAAAAAEAIAAAACABAABkcnMvZTJvRG9jLnhtbFBLBQYA&#10;AAAABgAGAFkBAABQBQAAAAA=&#10;">
                        <v:fill on="f" focussize="0,0"/>
                        <v:stroke on="f"/>
                        <v:imagedata o:title=""/>
                        <o:lock v:ext="edit" aspectratio="f"/>
                        <v:textbox>
                          <w:txbxContent>
                            <w:p w14:paraId="1012B036">
                              <w:pPr>
                                <w:jc w:val="center"/>
                                <w:rPr>
                                  <w:rFonts w:hint="default" w:eastAsia="黑体"/>
                                  <w:sz w:val="18"/>
                                  <w:szCs w:val="18"/>
                                  <w:lang w:val="en-US" w:eastAsia="zh-CN"/>
                                </w:rPr>
                              </w:pPr>
                              <w:r>
                                <w:rPr>
                                  <w:rFonts w:hint="eastAsia" w:eastAsia="黑体"/>
                                  <w:sz w:val="18"/>
                                  <w:szCs w:val="18"/>
                                  <w:lang w:val="en-US" w:eastAsia="zh-CN"/>
                                </w:rPr>
                                <w:t>108000</w:t>
                              </w:r>
                            </w:p>
                          </w:txbxContent>
                        </v:textbox>
                      </v:rect>
                      <v:rect id="_x0000_s1026" o:spid="_x0000_s1026" o:spt="1" style="position:absolute;left:1988185;top:3915765;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pdcob0QAAAAYBAAAPAAAAAAAAAAEAIAAAACIAAABkcnMvZG93bnJldi54bWxQSwECFAAU&#10;AAAACACHTuJAHz8fV78BAABpAwAADgAAAAAAAAABACAAAAAgAQAAZHJzL2Uyb0RvYy54bWxQSwUG&#10;AAAAAAYABgBZAQAAUQUAAAAA&#10;">
                        <v:fill on="f" focussize="0,0"/>
                        <v:stroke on="f"/>
                        <v:imagedata o:title=""/>
                        <o:lock v:ext="edit" aspectratio="f"/>
                        <v:textbox>
                          <w:txbxContent>
                            <w:p w14:paraId="37A939D0">
                              <w:pPr>
                                <w:jc w:val="center"/>
                                <w:rPr>
                                  <w:rFonts w:hint="default" w:eastAsia="黑体"/>
                                  <w:sz w:val="18"/>
                                  <w:szCs w:val="18"/>
                                  <w:lang w:val="en-US" w:eastAsia="zh-CN"/>
                                </w:rPr>
                              </w:pPr>
                              <w:r>
                                <w:rPr>
                                  <w:rFonts w:hint="eastAsia" w:eastAsia="黑体"/>
                                  <w:sz w:val="18"/>
                                  <w:szCs w:val="18"/>
                                  <w:lang w:val="en-US" w:eastAsia="zh-CN"/>
                                </w:rPr>
                                <w:t>10</w:t>
                              </w:r>
                            </w:p>
                          </w:txbxContent>
                        </v:textbox>
                      </v:rect>
                      <v:rect id="_x0000_s1026" o:spid="_x0000_s1026" o:spt="1" style="position:absolute;left:1988185;top:4893945;height:307975;width:56007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pdcob0QAAAAYBAAAPAAAAAAAAAAEAIAAAACIAAABkcnMvZG93bnJldi54bWxQSwECFAAU&#10;AAAACACHTuJAfLOLAL8BAABpAwAADgAAAAAAAAABACAAAAAgAQAAZHJzL2Uyb0RvYy54bWxQSwUG&#10;AAAAAAYABgBZAQAAUQUAAAAA&#10;">
                        <v:fill on="f" focussize="0,0"/>
                        <v:stroke on="f"/>
                        <v:imagedata o:title=""/>
                        <o:lock v:ext="edit" aspectratio="f"/>
                        <v:textbox>
                          <w:txbxContent>
                            <w:p w14:paraId="536BB23D">
                              <w:pPr>
                                <w:jc w:val="center"/>
                                <w:rPr>
                                  <w:rFonts w:hint="default" w:eastAsia="黑体"/>
                                  <w:sz w:val="18"/>
                                  <w:szCs w:val="18"/>
                                  <w:lang w:val="en-US" w:eastAsia="zh-CN"/>
                                </w:rPr>
                              </w:pPr>
                              <w:r>
                                <w:rPr>
                                  <w:rFonts w:hint="eastAsia" w:eastAsia="黑体"/>
                                  <w:sz w:val="18"/>
                                  <w:szCs w:val="18"/>
                                  <w:lang w:val="en-US" w:eastAsia="zh-CN"/>
                                </w:rPr>
                                <w:t>108000</w:t>
                              </w:r>
                            </w:p>
                          </w:txbxContent>
                        </v:textbox>
                      </v:rect>
                      <v:shape id="_x0000_s1026" o:spid="_x0000_s1026" o:spt="100" style="position:absolute;left:1513840;top:3755730;height:203853;width:316230;rotation:-170004f;" filled="f" stroked="t" coordsize="500,319" o:gfxdata="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D7MpY61QAAAAYBAAAPAAAA&#10;AAAAAAEAIAAAACIAAABkcnMvZG93bnJldi54bWxQSwECFAAUAAAACACHTuJA8PM1sfwCAACIBgAA&#10;DgAAAAAAAAABACAAAAAkAQAAZHJzL2Uyb0RvYy54bWxQSwUGAAAAAAYABgBZAQAAkg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_x0000_s1026" o:spid="_x0000_s1026" o:spt="1" style="position:absolute;left:1569720;top:3515679;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XXKG9EAAAAGAQAADwAAAAAAAAABACAAAAAiAAAAZHJzL2Rvd25yZXYueG1sUEsBAhQAFAAA&#10;AAgAh07iQHWQzoW9AQAAaQMAAA4AAAAAAAAAAQAgAAAAIAEAAGRycy9lMm9Eb2MueG1sUEsFBgAA&#10;AAAGAAYAWQEAAE8FAAAAAA==&#10;">
                        <v:fill on="f" focussize="0,0"/>
                        <v:stroke on="f"/>
                        <v:imagedata o:title=""/>
                        <o:lock v:ext="edit" aspectratio="f"/>
                        <v:textbox>
                          <w:txbxContent>
                            <w:p w14:paraId="3376C7FE">
                              <w:pPr>
                                <w:jc w:val="center"/>
                                <w:rPr>
                                  <w:rFonts w:hint="eastAsia" w:eastAsia="黑体"/>
                                  <w:sz w:val="18"/>
                                  <w:szCs w:val="18"/>
                                  <w:lang w:val="en-US" w:eastAsia="zh-CN"/>
                                </w:rPr>
                              </w:pPr>
                              <w:r>
                                <w:rPr>
                                  <w:rFonts w:hint="eastAsia" w:eastAsia="黑体"/>
                                  <w:sz w:val="18"/>
                                  <w:szCs w:val="18"/>
                                  <w:lang w:val="en-US" w:eastAsia="zh-CN"/>
                                </w:rPr>
                                <w:t>2</w:t>
                              </w:r>
                            </w:p>
                          </w:txbxContent>
                        </v:textbox>
                      </v:rect>
                      <v:rect id="_x0000_s1026" o:spid="_x0000_s1026" o:spt="1" style="position:absolute;left:2529840;top:3980541;height:249578;width:89027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5d21NUAAAAGAQAADwAAAAAAAAABACAAAAAiAAAAZHJzL2Rvd25yZXYueG1sUEsBAhQAFAAAAAgA&#10;h07iQDztT/soAgAAawQAAA4AAAAAAAAAAQAgAAAAJAEAAGRycy9lMm9Eb2MueG1sUEsFBgAAAAAG&#10;AAYAWQEAAL4FAAAAAA==&#10;">
                        <v:fill on="t" focussize="0,0"/>
                        <v:stroke color="#000000" joinstyle="miter"/>
                        <v:imagedata o:title=""/>
                        <o:lock v:ext="edit" aspectratio="f"/>
                        <v:textbox style="mso-fit-shape-to-text:t;">
                          <w:txbxContent>
                            <w:p w14:paraId="3AA5CAAB">
                              <w:pPr>
                                <w:jc w:val="center"/>
                                <w:rPr>
                                  <w:rFonts w:ascii="黑体" w:hAnsi="黑体" w:eastAsia="黑体"/>
                                  <w:sz w:val="18"/>
                                  <w:szCs w:val="18"/>
                                </w:rPr>
                              </w:pPr>
                              <w:r>
                                <w:rPr>
                                  <w:rFonts w:hint="eastAsia" w:ascii="黑体" w:hAnsi="黑体" w:eastAsia="黑体"/>
                                  <w:sz w:val="18"/>
                                  <w:szCs w:val="18"/>
                                </w:rPr>
                                <w:t>沉淀池</w:t>
                              </w:r>
                            </w:p>
                          </w:txbxContent>
                        </v:textbox>
                      </v:rect>
                      <v:rect id="_x0000_s1026" o:spid="_x0000_s1026" o:spt="1" style="position:absolute;left:1988185;top:4304420;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pdcob0QAAAAYBAAAPAAAAAAAAAAEAIAAAACIAAABkcnMvZG93bnJldi54bWxQSwECFAAU&#10;AAAACACHTuJAbdMLkr8BAABpAwAADgAAAAAAAAABACAAAAAgAQAAZHJzL2Uyb0RvYy54bWxQSwUG&#10;AAAAAAYABgBZAQAAUQUAAAAA&#10;">
                        <v:fill on="f" focussize="0,0"/>
                        <v:stroke on="f"/>
                        <v:imagedata o:title=""/>
                        <o:lock v:ext="edit" aspectratio="f"/>
                        <v:textbox>
                          <w:txbxContent>
                            <w:p w14:paraId="72BAD5B2">
                              <w:pPr>
                                <w:jc w:val="center"/>
                                <w:rPr>
                                  <w:rFonts w:hint="default" w:eastAsia="黑体"/>
                                  <w:sz w:val="18"/>
                                  <w:szCs w:val="18"/>
                                  <w:lang w:val="en-US" w:eastAsia="zh-CN"/>
                                </w:rPr>
                              </w:pPr>
                              <w:r>
                                <w:rPr>
                                  <w:rFonts w:hint="eastAsia" w:eastAsia="黑体"/>
                                  <w:sz w:val="18"/>
                                  <w:szCs w:val="18"/>
                                  <w:lang w:val="en-US" w:eastAsia="zh-CN"/>
                                </w:rPr>
                                <w:t>10</w:t>
                              </w:r>
                            </w:p>
                          </w:txbxContent>
                        </v:textbox>
                      </v:rect>
                      <v:shape id="_x0000_s1026" o:spid="_x0000_s1026" o:spt="32" type="#_x0000_t32" style="position:absolute;left:2020570;top:4136765;height:635;width:516890;"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04Wjh1gAAAAYBAAAPAAAA&#10;AAAAAAEAIAAAACIAAABkcnMvZG93bnJldi54bWxQSwECFAAUAAAACACHTuJAEwnUHxcCAAD+AwAA&#10;DgAAAAAAAAABACAAAAAlAQAAZHJzL2Uyb0RvYy54bWxQSwUGAAAAAAYABgBZAQAArgUAAAAA&#10;">
                        <v:fill on="f" focussize="0,0"/>
                        <v:stroke color="#000000" joinstyle="round" endarrow="block" endarrowwidth="narrow"/>
                        <v:imagedata o:title=""/>
                        <o:lock v:ext="edit" aspectratio="f"/>
                      </v:shape>
                      <v:shape id="_x0000_s1026" o:spid="_x0000_s1026" o:spt="34" type="#_x0000_t34" style="position:absolute;left:2265045;top:1287262;height:1414908;width:5080;rotation:5898240f;" filled="f" stroked="t" coordsize="21600,21600" o:gfxdata="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2M1AAAAAYBAAAPAAAAAAAAAAEAIAAAACIAAABkcnMvZG93bnJl&#10;di54bWxQSwECFAAUAAAACACHTuJAToCfAzoCAAA9BAAADgAAAAAAAAABACAAAAAjAQAAZHJzL2Uy&#10;b0RvYy54bWxQSwUGAAAAAAYABgBZAQAAzwUAAAAA&#10;" adj="990900">
                        <v:fill on="f" focussize="0,0"/>
                        <v:stroke color="#000000" joinstyle="miter" endarrow="block" endarrowwidth="narrow"/>
                        <v:imagedata o:title=""/>
                        <o:lock v:ext="edit" aspectratio="f"/>
                      </v:shape>
                      <v:shape id="_x0000_s1026" o:spid="_x0000_s1026" o:spt="34" type="#_x0000_t34" style="position:absolute;left:2252345;top:3557592;height:1404112;width:635;rotation:5898240f;" filled="f" stroked="t" coordsize="21600,21600" o:gfxdata="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aKbxrUAAAABgEAAA8AAAAAAAAAAQAgAAAAIgAAAGRycy9kb3ducmV2Lnht&#10;bFBLAQIUABQAAAAIAIdO4kAuNXHjNgIAAD8EAAAOAAAAAAAAAAEAIAAAACMBAABkcnMvZTJvRG9j&#10;LnhtbFBLBQYAAAAABgAGAFkBAADLBQAAAAA=&#10;" adj="7754400">
                        <v:fill on="f" focussize="0,0"/>
                        <v:stroke color="#000000" joinstyle="miter" endarrow="block" endarrowwidth="narrow"/>
                        <v:imagedata o:title=""/>
                        <o:lock v:ext="edit" aspectratio="f"/>
                      </v:shape>
                      <v:shape id="_x0000_s1026" o:spid="_x0000_s1026" o:spt="34" type="#_x0000_t34" style="position:absolute;left:2261235;top:4552728;height:1389506;width:635;rotation:5898240f;" filled="f" stroked="t" coordsize="21600,21600" o:gfxdata="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opvGtQAAAAGAQAADwAAAAAAAAABACAAAAAiAAAAZHJzL2Rvd25yZXYueG1s&#10;UEsBAhQAFAAAAAgAh07iQPSAEiA1AgAAPwQAAA4AAAAAAAAAAQAgAAAAIwEAAGRycy9lMm9Eb2Mu&#10;eG1sUEsFBgAAAAAGAAYAWQEAAMoFAAAAAA==&#10;" adj="7754400">
                        <v:fill on="f" focussize="0,0"/>
                        <v:stroke color="#000000" joinstyle="miter" endarrow="block" endarrowwidth="narrow"/>
                        <v:imagedata o:title=""/>
                        <o:lock v:ext="edit" aspectratio="f"/>
                      </v:shape>
                      <v:rect id="_x0000_s1026" o:spid="_x0000_s1026" o:spt="1" style="position:absolute;left:1097915;top:3261021;height:239417;width:890270;v-text-anchor:middle;" filled="f" stroked="f" coordsize="21600,21600" o:gfxdata="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c1yKLUAAAABgEAAA8AAAAAAAAAAQAgAAAAIgAAAGRycy9kb3du&#10;cmV2LnhtbFBLAQIUABQAAAAIAIdO4kBkzbKeygEAAIUDAAAOAAAAAAAAAAEAIAAAACMBAABkcnMv&#10;ZTJvRG9jLnhtbFBLBQYAAAAABgAGAFkBAABfBQAAAAA=&#10;">
                        <v:fill on="f" focussize="0,0"/>
                        <v:stroke on="f"/>
                        <v:imagedata o:title=""/>
                        <o:lock v:ext="edit" aspectratio="f"/>
                        <v:textbox style="mso-fit-shape-to-text:t;">
                          <w:txbxContent>
                            <w:p w14:paraId="06BC683C">
                              <w:pPr>
                                <w:jc w:val="center"/>
                                <w:rPr>
                                  <w:rFonts w:ascii="黑体" w:hAnsi="黑体" w:eastAsia="黑体"/>
                                  <w:sz w:val="18"/>
                                  <w:szCs w:val="18"/>
                                </w:rPr>
                              </w:pPr>
                              <w:r>
                                <w:rPr>
                                  <w:rFonts w:hint="eastAsia" w:ascii="黑体" w:hAnsi="黑体" w:eastAsia="黑体"/>
                                  <w:sz w:val="18"/>
                                  <w:szCs w:val="18"/>
                                </w:rPr>
                                <w:t>初期雨水</w:t>
                              </w:r>
                            </w:p>
                          </w:txbxContent>
                        </v:textbox>
                      </v:rect>
                      <v:shape id="_x0000_s1026" o:spid="_x0000_s1026" o:spt="32" type="#_x0000_t32" style="position:absolute;left:1551940;top:2937776;flip:y;height:323244;width:635;" filled="f" stroked="t" coordsize="21600,21600" o:gfxdata="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cQeQ9YAAAAG&#10;AQAADwAAAAAAAAABACAAAAAiAAAAZHJzL2Rvd25yZXYueG1sUEsBAhQAFAAAAAgAh07iQP8r3CUe&#10;AgAACgQAAA4AAAAAAAAAAQAgAAAAJQEAAGRycy9lMm9Eb2MueG1sUEsFBgAAAAAGAAYAWQEAALUF&#10;AAAAAA==&#10;">
                        <v:fill on="f" focussize="0,0"/>
                        <v:stroke color="#000000" joinstyle="round" endarrow="block" endarrowwidth="narrow"/>
                        <v:imagedata o:title=""/>
                        <o:lock v:ext="edit" aspectratio="f"/>
                      </v:shape>
                      <v:rect id="_x0000_s1026" o:spid="_x0000_s1026" o:spt="1" style="position:absolute;left:1443990;top:2961908;height:308003;width:51689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l1yhvRAAAABgEAAA8AAAAAAAAAAQAgAAAAIgAAAGRycy9kb3ducmV2LnhtbFBLAQIUABQA&#10;AAAIAIdO4kD9vUCvvgEAAGsDAAAOAAAAAAAAAAEAIAAAACABAABkcnMvZTJvRG9jLnhtbFBLBQYA&#10;AAAABgAGAFkBAABQBQAAAAA=&#10;">
                        <v:fill on="f" focussize="0,0"/>
                        <v:stroke on="f"/>
                        <v:imagedata o:title=""/>
                        <o:lock v:ext="edit" aspectratio="f"/>
                        <v:textbox>
                          <w:txbxContent>
                            <w:p w14:paraId="2170E09D">
                              <w:pPr>
                                <w:jc w:val="center"/>
                                <w:rPr>
                                  <w:rFonts w:eastAsia="黑体"/>
                                  <w:sz w:val="18"/>
                                  <w:szCs w:val="18"/>
                                </w:rPr>
                              </w:pPr>
                              <w:r>
                                <w:rPr>
                                  <w:rFonts w:hint="eastAsia" w:eastAsia="黑体"/>
                                  <w:sz w:val="18"/>
                                  <w:szCs w:val="18"/>
                                </w:rPr>
                                <w:t>3.15</w:t>
                              </w:r>
                            </w:p>
                          </w:txbxContent>
                        </v:textbox>
                      </v:rect>
                      <v:shape id="_x0000_s1026" o:spid="_x0000_s1026" o:spt="32" type="#_x0000_t32" style="position:absolute;left:616585;top:6687791;height:7621;width:487045;" filled="f" stroked="t" coordsize="21600,21600" o:gfxdata="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04Wjh1gAAAAYBAAAPAAAA&#10;AAAAAAEAIAAAACIAAABkcnMvZG93bnJldi54bWxQSwECFAAUAAAACACHTuJAbblDRBcCAAAABAAA&#10;DgAAAAAAAAABACAAAAAlAQAAZHJzL2Uyb0RvYy54bWxQSwUGAAAAAAYABgBZAQAArgUAAAAA&#10;">
                        <v:fill on="f" focussize="0,0"/>
                        <v:stroke color="#000000" joinstyle="round" endarrow="block" endarrowwidth="narrow"/>
                        <v:imagedata o:title=""/>
                        <o:lock v:ext="edit" aspectratio="f"/>
                      </v:shape>
                      <v:rect id="_x0000_s1026" o:spid="_x0000_s1026" o:spt="1" style="position:absolute;left:1113155;top:6590627;height:249578;width:889000;v-text-anchor:middle;" fillcolor="#FFFFFF" filled="t" stroked="t" coordsize="21600,21600" o:gfxdata="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o5d21NUAAAAGAQAADwAAAAAAAAABACAAAAAiAAAAZHJzL2Rvd25yZXYueG1sUEsBAhQAFAAA&#10;AAgAh07iQKq71k4rAgAAbQQAAA4AAAAAAAAAAQAgAAAAJAEAAGRycy9lMm9Eb2MueG1sUEsFBgAA&#10;AAAGAAYAWQEAAMEFAAAAAA==&#10;">
                        <v:fill on="t" focussize="0,0"/>
                        <v:stroke color="#000000" joinstyle="miter"/>
                        <v:imagedata o:title=""/>
                        <o:lock v:ext="edit" aspectratio="f"/>
                        <v:textbox style="mso-fit-shape-to-text:t;">
                          <w:txbxContent>
                            <w:p w14:paraId="1D603A83">
                              <w:pPr>
                                <w:jc w:val="center"/>
                                <w:rPr>
                                  <w:rFonts w:ascii="黑体" w:hAnsi="黑体" w:eastAsia="黑体"/>
                                  <w:sz w:val="18"/>
                                  <w:szCs w:val="18"/>
                                </w:rPr>
                              </w:pPr>
                              <w:r>
                                <w:rPr>
                                  <w:rFonts w:hint="eastAsia" w:ascii="黑体" w:hAnsi="黑体" w:eastAsia="黑体"/>
                                  <w:sz w:val="18"/>
                                  <w:szCs w:val="18"/>
                                </w:rPr>
                                <w:t>绿化</w:t>
                              </w:r>
                              <w:r>
                                <w:rPr>
                                  <w:rFonts w:ascii="黑体" w:hAnsi="黑体" w:eastAsia="黑体"/>
                                  <w:sz w:val="18"/>
                                  <w:szCs w:val="18"/>
                                </w:rPr>
                                <w:t>用水</w:t>
                              </w:r>
                            </w:p>
                          </w:txbxContent>
                        </v:textbox>
                      </v:rect>
                      <v:rect id="_x0000_s1026" o:spid="_x0000_s1026" o:spt="1" style="position:absolute;left:598805;top:6476317;height:304828;width:50800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XXKG9EAAAAGAQAADwAAAAAAAAABACAAAAAiAAAAZHJzL2Rvd25yZXYueG1sUEsBAhQA&#10;FAAAAAgAh07iQMQVe5DAAQAAagMAAA4AAAAAAAAAAQAgAAAAIAEAAGRycy9lMm9Eb2MueG1sUEsF&#10;BgAAAAAGAAYAWQEAAFIFAAAAAA==&#10;">
                        <v:fill on="f" focussize="0,0"/>
                        <v:stroke on="f"/>
                        <v:imagedata o:title=""/>
                        <o:lock v:ext="edit" aspectratio="f"/>
                        <v:textbox>
                          <w:txbxContent>
                            <w:p w14:paraId="582C4595">
                              <w:pPr>
                                <w:jc w:val="center"/>
                                <w:rPr>
                                  <w:rFonts w:eastAsia="黑体"/>
                                  <w:sz w:val="18"/>
                                  <w:szCs w:val="18"/>
                                </w:rPr>
                              </w:pPr>
                              <w:r>
                                <w:rPr>
                                  <w:rFonts w:hint="eastAsia" w:eastAsia="黑体"/>
                                  <w:sz w:val="18"/>
                                  <w:szCs w:val="18"/>
                                </w:rPr>
                                <w:t>0.058</w:t>
                              </w:r>
                            </w:p>
                          </w:txbxContent>
                        </v:textbox>
                      </v:rect>
                      <v:shape id="_x0000_s1026" o:spid="_x0000_s1026" o:spt="100" style="position:absolute;left:1456055;top:6362007;height:203218;width:304800;rotation:-170004f;" filled="f" stroked="t" coordsize="500,319" o:gfxdata="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PsyljrVAAAABgEAAA8AAAAA&#10;AAAAAQAgAAAAIgAAAGRycy9kb3ducmV2LnhtbFBLAQIUABQAAAAIAIdO4kBXBHxu+wIAAIoGAAAO&#10;AAAAAAAAAAEAIAAAACQBAABkcnMvZTJvRG9jLnhtbFBLBQYAAAAABgAGAFkBAACRBg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_x0000_s1026" o:spid="_x0000_s1026" o:spt="1" style="position:absolute;left:1751330;top:6247696;height:304828;width:508000;v-text-anchor:middle;" filled="f" stroked="f" coordsize="21600,21600" o:gfxdata="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pdcob0QAAAAYBAAAPAAAAAAAAAAEAIAAAACIAAABkcnMvZG93bnJldi54bWxQSwECFAAU&#10;AAAACACHTuJAzUgPbr8BAABrAwAADgAAAAAAAAABACAAAAAgAQAAZHJzL2Uyb0RvYy54bWxQSwUG&#10;AAAAAAYABgBZAQAAUQUAAAAA&#10;">
                        <v:fill on="f" focussize="0,0"/>
                        <v:stroke on="f"/>
                        <v:imagedata o:title=""/>
                        <o:lock v:ext="edit" aspectratio="f"/>
                        <v:textbox>
                          <w:txbxContent>
                            <w:p w14:paraId="4D83DCBA">
                              <w:pPr>
                                <w:jc w:val="center"/>
                                <w:rPr>
                                  <w:rFonts w:eastAsia="黑体"/>
                                  <w:sz w:val="18"/>
                                  <w:szCs w:val="18"/>
                                </w:rPr>
                              </w:pPr>
                              <w:r>
                                <w:rPr>
                                  <w:rFonts w:hint="eastAsia" w:eastAsia="黑体"/>
                                  <w:sz w:val="18"/>
                                  <w:szCs w:val="18"/>
                                </w:rPr>
                                <w:t>0.058</w:t>
                              </w:r>
                            </w:p>
                          </w:txbxContent>
                        </v:textbox>
                      </v:rect>
                      <w10:wrap type="none"/>
                      <w10:anchorlock/>
                    </v:group>
                  </w:pict>
                </mc:Fallback>
              </mc:AlternateContent>
            </w:r>
          </w:p>
          <w:p w14:paraId="0F9DD4C9">
            <w:pPr>
              <w:spacing w:line="360" w:lineRule="auto"/>
              <w:jc w:val="center"/>
              <w:rPr>
                <w:rFonts w:eastAsia="黑体"/>
              </w:rPr>
            </w:pPr>
            <w:r>
              <w:rPr>
                <w:rFonts w:hAnsi="黑体" w:eastAsia="黑体"/>
              </w:rPr>
              <w:t>图</w:t>
            </w:r>
            <w:r>
              <w:t>2</w:t>
            </w:r>
            <w:r>
              <w:rPr>
                <w:rFonts w:hint="eastAsia"/>
              </w:rPr>
              <w:t>-2</w:t>
            </w:r>
            <w:r>
              <w:rPr>
                <w:rFonts w:hint="eastAsia" w:hAnsi="黑体" w:eastAsia="黑体"/>
              </w:rPr>
              <w:t>项目</w:t>
            </w:r>
            <w:r>
              <w:rPr>
                <w:rFonts w:hAnsi="黑体" w:eastAsia="黑体"/>
              </w:rPr>
              <w:t>建成后全厂水平衡图</w:t>
            </w:r>
            <w:r>
              <w:rPr>
                <w:rFonts w:hint="eastAsia" w:hAnsi="黑体" w:eastAsia="黑体"/>
              </w:rPr>
              <w:t>单位：</w:t>
            </w:r>
            <w:r>
              <w:rPr>
                <w:rFonts w:eastAsia="黑体"/>
              </w:rPr>
              <w:t>m</w:t>
            </w:r>
            <w:r>
              <w:rPr>
                <w:rFonts w:eastAsia="黑体"/>
                <w:vertAlign w:val="superscript"/>
              </w:rPr>
              <w:t>3</w:t>
            </w:r>
            <w:r>
              <w:rPr>
                <w:rFonts w:eastAsia="黑体"/>
              </w:rPr>
              <w:t>/d</w:t>
            </w:r>
          </w:p>
          <w:p w14:paraId="7971020E">
            <w:pPr>
              <w:adjustRightInd w:val="0"/>
              <w:spacing w:line="480" w:lineRule="atLeast"/>
              <w:ind w:firstLine="480" w:firstLineChars="200"/>
              <w:rPr>
                <w:sz w:val="24"/>
                <w:szCs w:val="32"/>
              </w:rPr>
            </w:pPr>
            <w:r>
              <w:rPr>
                <w:rFonts w:hint="eastAsia"/>
                <w:sz w:val="24"/>
                <w:szCs w:val="32"/>
              </w:rPr>
              <w:t>(2)</w:t>
            </w:r>
            <w:r>
              <w:rPr>
                <w:sz w:val="24"/>
                <w:szCs w:val="32"/>
              </w:rPr>
              <w:t>供电</w:t>
            </w:r>
          </w:p>
          <w:p w14:paraId="151E67E6">
            <w:pPr>
              <w:spacing w:line="480" w:lineRule="atLeast"/>
              <w:ind w:firstLine="470" w:firstLineChars="196"/>
              <w:rPr>
                <w:bCs/>
                <w:sz w:val="24"/>
                <w:szCs w:val="32"/>
              </w:rPr>
            </w:pPr>
            <w:r>
              <w:rPr>
                <w:rFonts w:hint="eastAsia"/>
                <w:bCs/>
                <w:sz w:val="24"/>
                <w:szCs w:val="32"/>
              </w:rPr>
              <w:t>现有</w:t>
            </w:r>
            <w:r>
              <w:rPr>
                <w:bCs/>
                <w:sz w:val="24"/>
                <w:szCs w:val="32"/>
              </w:rPr>
              <w:t>项目用电由电网供电，</w:t>
            </w:r>
            <w:r>
              <w:rPr>
                <w:rFonts w:hint="eastAsia"/>
                <w:bCs/>
                <w:sz w:val="24"/>
                <w:szCs w:val="32"/>
              </w:rPr>
              <w:t>用电量为120</w:t>
            </w:r>
            <w:r>
              <w:rPr>
                <w:bCs/>
                <w:sz w:val="24"/>
                <w:szCs w:val="32"/>
              </w:rPr>
              <w:t>万</w:t>
            </w:r>
            <w:r>
              <w:rPr>
                <w:rFonts w:hint="eastAsia"/>
                <w:bCs/>
                <w:sz w:val="24"/>
                <w:szCs w:val="32"/>
              </w:rPr>
              <w:t>kW</w:t>
            </w:r>
            <w:r>
              <w:rPr>
                <w:bCs/>
                <w:sz w:val="24"/>
                <w:szCs w:val="32"/>
              </w:rPr>
              <w:t>·h/a</w:t>
            </w:r>
            <w:r>
              <w:rPr>
                <w:rFonts w:hint="eastAsia"/>
                <w:bCs/>
                <w:sz w:val="24"/>
                <w:szCs w:val="32"/>
              </w:rPr>
              <w:t>，</w:t>
            </w:r>
            <w:r>
              <w:rPr>
                <w:bCs/>
                <w:sz w:val="24"/>
                <w:szCs w:val="32"/>
              </w:rPr>
              <w:t>本项目新增用电量</w:t>
            </w:r>
            <w:r>
              <w:rPr>
                <w:rFonts w:hint="eastAsia"/>
                <w:bCs/>
                <w:sz w:val="24"/>
                <w:szCs w:val="32"/>
              </w:rPr>
              <w:t>为30</w:t>
            </w:r>
            <w:r>
              <w:rPr>
                <w:bCs/>
                <w:sz w:val="24"/>
                <w:szCs w:val="32"/>
              </w:rPr>
              <w:t>万</w:t>
            </w:r>
            <w:r>
              <w:rPr>
                <w:rFonts w:hint="eastAsia"/>
                <w:bCs/>
                <w:sz w:val="24"/>
                <w:szCs w:val="32"/>
              </w:rPr>
              <w:t>kW</w:t>
            </w:r>
            <w:r>
              <w:rPr>
                <w:bCs/>
                <w:sz w:val="24"/>
                <w:szCs w:val="32"/>
              </w:rPr>
              <w:t>·h/a</w:t>
            </w:r>
            <w:r>
              <w:rPr>
                <w:rFonts w:hint="eastAsia"/>
                <w:bCs/>
                <w:sz w:val="24"/>
                <w:szCs w:val="32"/>
              </w:rPr>
              <w:t>。</w:t>
            </w:r>
            <w:r>
              <w:rPr>
                <w:bCs/>
                <w:sz w:val="24"/>
                <w:szCs w:val="32"/>
              </w:rPr>
              <w:t>本项目建成后</w:t>
            </w:r>
            <w:r>
              <w:rPr>
                <w:rFonts w:hint="eastAsia"/>
                <w:bCs/>
                <w:sz w:val="24"/>
                <w:szCs w:val="32"/>
              </w:rPr>
              <w:t>，</w:t>
            </w:r>
            <w:r>
              <w:rPr>
                <w:bCs/>
                <w:sz w:val="24"/>
                <w:szCs w:val="32"/>
              </w:rPr>
              <w:t>全厂用电量为</w:t>
            </w:r>
            <w:r>
              <w:rPr>
                <w:rFonts w:hint="eastAsia"/>
                <w:bCs/>
                <w:sz w:val="24"/>
                <w:szCs w:val="32"/>
              </w:rPr>
              <w:t>150</w:t>
            </w:r>
            <w:r>
              <w:rPr>
                <w:bCs/>
                <w:sz w:val="24"/>
                <w:szCs w:val="32"/>
              </w:rPr>
              <w:t>万</w:t>
            </w:r>
            <w:r>
              <w:rPr>
                <w:rFonts w:hint="eastAsia"/>
                <w:bCs/>
                <w:sz w:val="24"/>
                <w:szCs w:val="32"/>
              </w:rPr>
              <w:t>kW</w:t>
            </w:r>
            <w:r>
              <w:rPr>
                <w:bCs/>
                <w:sz w:val="24"/>
                <w:szCs w:val="32"/>
              </w:rPr>
              <w:t>·h/a。</w:t>
            </w:r>
          </w:p>
          <w:p w14:paraId="6F3826DD">
            <w:pPr>
              <w:spacing w:line="480" w:lineRule="atLeast"/>
              <w:ind w:firstLine="470" w:firstLineChars="196"/>
              <w:rPr>
                <w:rFonts w:hint="eastAsia" w:ascii="黑体" w:hAnsi="黑体" w:eastAsia="黑体" w:cs="黑体"/>
                <w:bCs/>
                <w:sz w:val="24"/>
              </w:rPr>
            </w:pPr>
            <w:r>
              <w:rPr>
                <w:rFonts w:hint="eastAsia" w:ascii="黑体" w:hAnsi="黑体" w:eastAsia="黑体" w:cs="黑体"/>
                <w:bCs/>
                <w:sz w:val="24"/>
              </w:rPr>
              <w:t>8、总定员人数及工作制度</w:t>
            </w:r>
          </w:p>
          <w:p w14:paraId="76693EBA">
            <w:pPr>
              <w:adjustRightInd w:val="0"/>
              <w:spacing w:line="480" w:lineRule="atLeast"/>
              <w:ind w:firstLine="480" w:firstLineChars="200"/>
              <w:rPr>
                <w:sz w:val="24"/>
              </w:rPr>
            </w:pPr>
            <w:r>
              <w:rPr>
                <w:sz w:val="24"/>
              </w:rPr>
              <w:t>劳动定员：</w:t>
            </w:r>
            <w:r>
              <w:rPr>
                <w:rFonts w:hint="eastAsia"/>
                <w:sz w:val="24"/>
              </w:rPr>
              <w:t>现有</w:t>
            </w:r>
            <w:r>
              <w:rPr>
                <w:sz w:val="24"/>
              </w:rPr>
              <w:t>项目定员</w:t>
            </w:r>
            <w:r>
              <w:rPr>
                <w:rFonts w:hint="eastAsia"/>
                <w:sz w:val="24"/>
              </w:rPr>
              <w:t>40</w:t>
            </w:r>
            <w:r>
              <w:rPr>
                <w:sz w:val="24"/>
              </w:rPr>
              <w:t>人</w:t>
            </w:r>
            <w:r>
              <w:rPr>
                <w:rFonts w:hint="eastAsia"/>
                <w:sz w:val="24"/>
              </w:rPr>
              <w:t>，不新增员工。</w:t>
            </w:r>
          </w:p>
          <w:p w14:paraId="0C27237F">
            <w:pPr>
              <w:adjustRightInd w:val="0"/>
              <w:spacing w:line="480" w:lineRule="atLeast"/>
              <w:ind w:firstLine="480" w:firstLineChars="200"/>
              <w:rPr>
                <w:sz w:val="24"/>
              </w:rPr>
            </w:pPr>
            <w:r>
              <w:rPr>
                <w:sz w:val="24"/>
              </w:rPr>
              <w:t>工作制度：年工作300天，</w:t>
            </w:r>
            <w:r>
              <w:rPr>
                <w:rFonts w:hint="eastAsia"/>
                <w:sz w:val="24"/>
                <w:lang w:val="en-US" w:eastAsia="zh-CN"/>
              </w:rPr>
              <w:t>24</w:t>
            </w:r>
            <w:r>
              <w:rPr>
                <w:sz w:val="24"/>
              </w:rPr>
              <w:t>小时工作制。</w:t>
            </w:r>
          </w:p>
          <w:p w14:paraId="3D99F021">
            <w:pPr>
              <w:spacing w:line="480" w:lineRule="atLeast"/>
              <w:ind w:firstLine="482"/>
              <w:rPr>
                <w:rFonts w:hint="eastAsia" w:ascii="黑体" w:hAnsi="黑体" w:eastAsia="黑体" w:cs="黑体"/>
                <w:bCs/>
                <w:sz w:val="24"/>
              </w:rPr>
            </w:pPr>
            <w:r>
              <w:rPr>
                <w:rFonts w:hint="eastAsia" w:ascii="黑体" w:hAnsi="黑体" w:eastAsia="黑体" w:cs="黑体"/>
                <w:bCs/>
                <w:sz w:val="24"/>
              </w:rPr>
              <w:t>9、平面布置</w:t>
            </w:r>
          </w:p>
          <w:p w14:paraId="0F23EF90">
            <w:pPr>
              <w:spacing w:line="480" w:lineRule="atLeast"/>
              <w:ind w:firstLine="482"/>
              <w:rPr>
                <w:color w:val="000000"/>
                <w:sz w:val="24"/>
              </w:rPr>
            </w:pPr>
            <w:r>
              <w:rPr>
                <w:color w:val="000000"/>
                <w:sz w:val="24"/>
              </w:rPr>
              <w:t>本项目选址位于</w:t>
            </w:r>
            <w:r>
              <w:rPr>
                <w:rFonts w:hint="eastAsia"/>
                <w:color w:val="000000"/>
                <w:sz w:val="24"/>
              </w:rPr>
              <w:t>淮南市凤台县古店乡北芹村现有厂区内</w:t>
            </w:r>
            <w:r>
              <w:rPr>
                <w:color w:val="000000"/>
                <w:sz w:val="24"/>
              </w:rPr>
              <w:t>，</w:t>
            </w:r>
            <w:r>
              <w:rPr>
                <w:rFonts w:hint="eastAsia"/>
                <w:color w:val="000000"/>
                <w:sz w:val="24"/>
                <w:lang w:val="en-US" w:eastAsia="zh-CN"/>
              </w:rPr>
              <w:t>本项目新建1座2000m</w:t>
            </w:r>
            <w:r>
              <w:rPr>
                <w:rFonts w:hint="eastAsia"/>
                <w:color w:val="000000"/>
                <w:sz w:val="24"/>
                <w:vertAlign w:val="superscript"/>
                <w:lang w:val="en-US" w:eastAsia="zh-CN"/>
              </w:rPr>
              <w:t>2</w:t>
            </w:r>
            <w:r>
              <w:rPr>
                <w:rFonts w:hint="eastAsia"/>
                <w:color w:val="000000"/>
                <w:sz w:val="24"/>
                <w:lang w:val="en-US" w:eastAsia="zh-CN"/>
              </w:rPr>
              <w:t>原料库；</w:t>
            </w:r>
            <w:r>
              <w:rPr>
                <w:rFonts w:hint="eastAsia"/>
                <w:color w:val="000000"/>
                <w:sz w:val="24"/>
              </w:rPr>
              <w:t>项目平面规划从</w:t>
            </w:r>
            <w:r>
              <w:rPr>
                <w:rFonts w:hint="eastAsia"/>
                <w:color w:val="000000"/>
                <w:sz w:val="24"/>
                <w:lang w:val="en-US" w:eastAsia="zh-CN"/>
              </w:rPr>
              <w:t>西到东</w:t>
            </w:r>
            <w:r>
              <w:rPr>
                <w:rFonts w:hint="eastAsia"/>
                <w:color w:val="000000"/>
                <w:sz w:val="24"/>
              </w:rPr>
              <w:t>分为原料库、破碎筛分车间、</w:t>
            </w:r>
            <w:r>
              <w:rPr>
                <w:rFonts w:hint="eastAsia"/>
                <w:color w:val="000000"/>
                <w:sz w:val="24"/>
                <w:lang w:val="en-US" w:eastAsia="zh-CN"/>
              </w:rPr>
              <w:t>旋转</w:t>
            </w:r>
            <w:r>
              <w:rPr>
                <w:rFonts w:hint="eastAsia"/>
                <w:color w:val="000000"/>
                <w:sz w:val="24"/>
              </w:rPr>
              <w:t>窑和成品堆场</w:t>
            </w:r>
            <w:r>
              <w:rPr>
                <w:rFonts w:hint="eastAsia"/>
                <w:color w:val="000000"/>
                <w:sz w:val="24"/>
                <w:lang w:val="en-US" w:eastAsia="zh-CN"/>
              </w:rPr>
              <w:t>等</w:t>
            </w:r>
            <w:r>
              <w:rPr>
                <w:color w:val="000000"/>
                <w:sz w:val="24"/>
              </w:rPr>
              <w:t>。</w:t>
            </w:r>
            <w:r>
              <w:rPr>
                <w:rFonts w:hint="eastAsia"/>
                <w:color w:val="000000"/>
                <w:sz w:val="24"/>
              </w:rPr>
              <w:t>整个厂区功能分区明确，结构清晰，布局合理。原料入场通过厂区东侧的入场道路进入，</w:t>
            </w:r>
            <w:r>
              <w:rPr>
                <w:rFonts w:hint="eastAsia"/>
                <w:color w:val="000000"/>
                <w:sz w:val="24"/>
                <w:lang w:val="en-US" w:eastAsia="zh-CN"/>
              </w:rPr>
              <w:t>且</w:t>
            </w:r>
            <w:r>
              <w:rPr>
                <w:rFonts w:hint="eastAsia"/>
                <w:color w:val="000000"/>
                <w:sz w:val="24"/>
              </w:rPr>
              <w:t>运输路线不得涉及饮用水水源保护区。</w:t>
            </w:r>
          </w:p>
          <w:p w14:paraId="35EEB5A2">
            <w:pPr>
              <w:spacing w:line="480" w:lineRule="atLeast"/>
              <w:ind w:firstLine="482"/>
              <w:rPr>
                <w:bCs/>
                <w:color w:val="000000"/>
                <w:szCs w:val="21"/>
              </w:rPr>
            </w:pPr>
            <w:r>
              <w:rPr>
                <w:color w:val="000000"/>
                <w:sz w:val="24"/>
              </w:rPr>
              <w:t>综上分析，项目平面布局合理。</w:t>
            </w:r>
          </w:p>
          <w:p w14:paraId="4E4C44A3">
            <w:pPr>
              <w:adjustRightInd w:val="0"/>
              <w:snapToGrid w:val="0"/>
              <w:rPr>
                <w:bCs/>
                <w:szCs w:val="21"/>
              </w:rPr>
            </w:pPr>
          </w:p>
          <w:p w14:paraId="0AC04EC5">
            <w:pPr>
              <w:pStyle w:val="34"/>
              <w:jc w:val="center"/>
              <w:rPr>
                <w:rFonts w:hint="eastAsia" w:ascii="Times New Roman" w:hAnsi="Times New Roman" w:eastAsia="黑体"/>
                <w:snapToGrid w:val="0"/>
                <w:sz w:val="36"/>
                <w:szCs w:val="36"/>
              </w:rPr>
            </w:pPr>
          </w:p>
          <w:p w14:paraId="5714232A">
            <w:pPr>
              <w:pStyle w:val="34"/>
              <w:jc w:val="center"/>
              <w:rPr>
                <w:rFonts w:hint="eastAsia" w:ascii="Times New Roman" w:hAnsi="Times New Roman" w:eastAsia="黑体"/>
                <w:snapToGrid w:val="0"/>
                <w:sz w:val="36"/>
                <w:szCs w:val="36"/>
              </w:rPr>
            </w:pPr>
          </w:p>
          <w:p w14:paraId="51822224">
            <w:pPr>
              <w:pStyle w:val="34"/>
              <w:jc w:val="center"/>
              <w:rPr>
                <w:rFonts w:hint="eastAsia" w:ascii="Times New Roman" w:hAnsi="Times New Roman" w:eastAsia="黑体"/>
                <w:snapToGrid w:val="0"/>
                <w:sz w:val="36"/>
                <w:szCs w:val="36"/>
              </w:rPr>
            </w:pPr>
          </w:p>
          <w:p w14:paraId="76C25D7C">
            <w:pPr>
              <w:pStyle w:val="34"/>
              <w:jc w:val="center"/>
              <w:rPr>
                <w:rFonts w:hint="eastAsia" w:ascii="Times New Roman" w:hAnsi="Times New Roman" w:eastAsia="黑体"/>
                <w:snapToGrid w:val="0"/>
                <w:sz w:val="36"/>
                <w:szCs w:val="36"/>
              </w:rPr>
            </w:pPr>
          </w:p>
          <w:p w14:paraId="66812242">
            <w:pPr>
              <w:pStyle w:val="34"/>
              <w:jc w:val="center"/>
              <w:rPr>
                <w:rFonts w:hint="eastAsia" w:ascii="Times New Roman" w:hAnsi="Times New Roman" w:eastAsia="黑体"/>
                <w:snapToGrid w:val="0"/>
                <w:sz w:val="36"/>
                <w:szCs w:val="36"/>
              </w:rPr>
            </w:pPr>
          </w:p>
          <w:p w14:paraId="0ECACF16">
            <w:pPr>
              <w:pStyle w:val="34"/>
              <w:jc w:val="center"/>
              <w:rPr>
                <w:rFonts w:hint="eastAsia" w:ascii="Times New Roman" w:hAnsi="Times New Roman" w:eastAsia="黑体"/>
                <w:snapToGrid w:val="0"/>
                <w:sz w:val="36"/>
                <w:szCs w:val="36"/>
              </w:rPr>
            </w:pPr>
          </w:p>
          <w:p w14:paraId="207D704C">
            <w:pPr>
              <w:pStyle w:val="34"/>
              <w:jc w:val="center"/>
              <w:rPr>
                <w:rFonts w:hint="eastAsia" w:ascii="Times New Roman" w:hAnsi="Times New Roman" w:eastAsia="黑体"/>
                <w:snapToGrid w:val="0"/>
                <w:sz w:val="36"/>
                <w:szCs w:val="36"/>
              </w:rPr>
            </w:pPr>
          </w:p>
          <w:p w14:paraId="13241E9A">
            <w:pPr>
              <w:pStyle w:val="34"/>
              <w:jc w:val="center"/>
              <w:rPr>
                <w:rFonts w:hint="eastAsia" w:ascii="Times New Roman" w:hAnsi="Times New Roman" w:eastAsia="黑体"/>
                <w:snapToGrid w:val="0"/>
                <w:sz w:val="36"/>
                <w:szCs w:val="36"/>
              </w:rPr>
            </w:pPr>
          </w:p>
          <w:p w14:paraId="7EA2ABAB">
            <w:pPr>
              <w:pStyle w:val="34"/>
              <w:jc w:val="center"/>
              <w:rPr>
                <w:rFonts w:hint="eastAsia" w:ascii="Times New Roman" w:hAnsi="Times New Roman" w:eastAsia="黑体"/>
                <w:snapToGrid w:val="0"/>
                <w:sz w:val="36"/>
                <w:szCs w:val="36"/>
              </w:rPr>
            </w:pPr>
          </w:p>
          <w:p w14:paraId="47E78782">
            <w:pPr>
              <w:pStyle w:val="34"/>
              <w:jc w:val="center"/>
              <w:rPr>
                <w:rFonts w:hint="eastAsia" w:ascii="Times New Roman" w:hAnsi="Times New Roman" w:eastAsia="黑体"/>
                <w:snapToGrid w:val="0"/>
                <w:sz w:val="36"/>
                <w:szCs w:val="36"/>
              </w:rPr>
            </w:pPr>
          </w:p>
          <w:p w14:paraId="7D771317">
            <w:pPr>
              <w:pStyle w:val="34"/>
              <w:jc w:val="center"/>
              <w:rPr>
                <w:rFonts w:hint="eastAsia" w:ascii="Times New Roman" w:hAnsi="Times New Roman" w:eastAsia="黑体"/>
                <w:snapToGrid w:val="0"/>
                <w:sz w:val="36"/>
                <w:szCs w:val="36"/>
              </w:rPr>
            </w:pPr>
          </w:p>
          <w:p w14:paraId="1E4E34CE">
            <w:pPr>
              <w:pStyle w:val="34"/>
              <w:jc w:val="center"/>
              <w:rPr>
                <w:rFonts w:hint="eastAsia" w:ascii="Times New Roman" w:hAnsi="Times New Roman" w:eastAsia="黑体"/>
                <w:snapToGrid w:val="0"/>
                <w:sz w:val="36"/>
                <w:szCs w:val="36"/>
              </w:rPr>
            </w:pPr>
          </w:p>
          <w:p w14:paraId="4B03AB15">
            <w:pPr>
              <w:pStyle w:val="34"/>
              <w:jc w:val="center"/>
              <w:rPr>
                <w:rFonts w:hint="eastAsia" w:ascii="Times New Roman" w:hAnsi="Times New Roman" w:eastAsia="黑体"/>
                <w:snapToGrid w:val="0"/>
                <w:sz w:val="36"/>
                <w:szCs w:val="36"/>
              </w:rPr>
            </w:pPr>
          </w:p>
          <w:p w14:paraId="1BEACBF2">
            <w:pPr>
              <w:pStyle w:val="34"/>
              <w:jc w:val="both"/>
              <w:rPr>
                <w:rFonts w:hint="eastAsia" w:ascii="Times New Roman" w:hAnsi="Times New Roman" w:eastAsia="黑体"/>
                <w:snapToGrid w:val="0"/>
                <w:sz w:val="36"/>
                <w:szCs w:val="36"/>
              </w:rPr>
            </w:pPr>
          </w:p>
        </w:tc>
      </w:tr>
    </w:tbl>
    <w:p w14:paraId="1B9C56DD">
      <w:pPr>
        <w:pStyle w:val="34"/>
        <w:jc w:val="center"/>
        <w:rPr>
          <w:rFonts w:ascii="Times New Roman" w:hAnsi="Times New Roman" w:eastAsia="黑体"/>
          <w:snapToGrid w:val="0"/>
          <w:sz w:val="36"/>
          <w:szCs w:val="36"/>
        </w:rPr>
        <w:sectPr>
          <w:pgSz w:w="11906" w:h="16838"/>
          <w:pgMar w:top="1440" w:right="1440" w:bottom="1304" w:left="1440" w:header="851" w:footer="851" w:gutter="0"/>
          <w:pgNumType w:fmt="numberInDash"/>
          <w:cols w:space="720" w:num="1"/>
          <w:docGrid w:linePitch="312" w:charSpace="0"/>
        </w:sectPr>
      </w:pPr>
    </w:p>
    <w:tbl>
      <w:tblPr>
        <w:tblStyle w:val="38"/>
        <w:tblW w:w="95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694"/>
      </w:tblGrid>
      <w:tr w14:paraId="24924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823" w:type="dxa"/>
            <w:noWrap w:val="0"/>
            <w:vAlign w:val="center"/>
          </w:tcPr>
          <w:p w14:paraId="7672B82B">
            <w:pPr>
              <w:pStyle w:val="34"/>
              <w:adjustRightInd w:val="0"/>
              <w:snapToGrid w:val="0"/>
              <w:spacing w:before="0" w:beforeAutospacing="0" w:after="0" w:afterAutospacing="0" w:line="360" w:lineRule="auto"/>
              <w:jc w:val="center"/>
              <w:rPr>
                <w:rFonts w:ascii="Times New Roman" w:hAnsi="Times New Roman"/>
                <w:sz w:val="21"/>
                <w:szCs w:val="21"/>
              </w:rPr>
            </w:pPr>
            <w:r>
              <w:rPr>
                <w:rFonts w:ascii="Times New Roman" w:hAnsi="Times New Roman"/>
                <w:szCs w:val="24"/>
              </w:rPr>
              <w:t>工艺流程和产排污环节</w:t>
            </w:r>
          </w:p>
        </w:tc>
        <w:tc>
          <w:tcPr>
            <w:tcW w:w="8694" w:type="dxa"/>
            <w:noWrap w:val="0"/>
            <w:vAlign w:val="top"/>
          </w:tcPr>
          <w:p w14:paraId="3088E3C9">
            <w:pPr>
              <w:spacing w:line="480" w:lineRule="exact"/>
              <w:ind w:firstLine="480" w:firstLineChars="200"/>
              <w:rPr>
                <w:rFonts w:hint="eastAsia" w:ascii="黑体" w:hAnsi="黑体" w:eastAsia="黑体" w:cs="黑体"/>
                <w:bCs/>
                <w:sz w:val="24"/>
                <w:szCs w:val="32"/>
              </w:rPr>
            </w:pPr>
            <w:r>
              <w:rPr>
                <w:rFonts w:hint="eastAsia" w:ascii="黑体" w:hAnsi="黑体" w:eastAsia="黑体" w:cs="黑体"/>
                <w:bCs/>
                <w:sz w:val="24"/>
                <w:szCs w:val="36"/>
              </w:rPr>
              <w:t>1、施工期工艺流程</w:t>
            </w:r>
            <w:r>
              <w:rPr>
                <w:rFonts w:hint="eastAsia" w:ascii="黑体" w:hAnsi="黑体" w:eastAsia="黑体" w:cs="黑体"/>
                <w:bCs/>
                <w:sz w:val="24"/>
                <w:szCs w:val="32"/>
              </w:rPr>
              <w:t>和产排污环节</w:t>
            </w:r>
          </w:p>
          <w:p w14:paraId="2888A12C">
            <w:pPr>
              <w:spacing w:line="480" w:lineRule="exact"/>
              <w:ind w:firstLine="480" w:firstLineChars="200"/>
              <w:rPr>
                <w:snapToGrid w:val="0"/>
                <w:sz w:val="24"/>
                <w:szCs w:val="32"/>
              </w:rPr>
            </w:pPr>
            <w:r>
              <w:rPr>
                <w:rFonts w:hint="eastAsia"/>
                <w:sz w:val="24"/>
                <w:szCs w:val="32"/>
              </w:rPr>
              <w:t>本项目依托现有厂区进行生产，</w:t>
            </w:r>
            <w:r>
              <w:rPr>
                <w:rFonts w:hint="eastAsia"/>
                <w:snapToGrid w:val="0"/>
                <w:sz w:val="24"/>
                <w:szCs w:val="32"/>
              </w:rPr>
              <w:t>施工期主要进行钢结构原料库的搭建、设备安装和附属设施建设等。主要包括场地平整、基础工程阶段；建筑结构施工；安装阶段，包括设备安装等。工艺流程详见下图。</w:t>
            </w:r>
          </w:p>
          <w:p w14:paraId="5BA51413">
            <w:pPr>
              <w:spacing w:line="480" w:lineRule="exact"/>
              <w:ind w:firstLine="480" w:firstLineChars="200"/>
              <w:rPr>
                <w:sz w:val="24"/>
                <w:szCs w:val="32"/>
              </w:rPr>
            </w:pPr>
            <w:r>
              <w:rPr>
                <w:rFonts w:hint="eastAsia"/>
                <w:sz w:val="24"/>
                <w:szCs w:val="32"/>
              </w:rPr>
              <w:t>结合项目场址现状，施工建设包括以下阶段：场地平整、基础工程阶段；建筑结构施工；安装阶段，包括设备安装等。工艺流程详见下图。</w:t>
            </w:r>
          </w:p>
          <w:p w14:paraId="4619872C">
            <w:pPr>
              <w:pStyle w:val="211"/>
              <w:spacing w:before="0" w:beforeAutospacing="0" w:after="0" w:afterAutospacing="0"/>
              <w:jc w:val="center"/>
              <w:rPr>
                <w:rFonts w:hint="eastAsia" w:ascii="黑体" w:hAnsi="黑体" w:eastAsia="黑体"/>
                <w:color w:val="000000"/>
                <w:sz w:val="24"/>
                <w:szCs w:val="32"/>
              </w:rPr>
            </w:pPr>
            <w:r>
              <w:rPr>
                <w:rFonts w:hint="eastAsia" w:ascii="黑体" w:hAnsi="黑体" w:eastAsia="黑体"/>
                <w:color w:val="000000"/>
                <w:sz w:val="24"/>
                <w:szCs w:val="32"/>
              </w:rPr>
              <w:drawing>
                <wp:inline distT="0" distB="0" distL="114300" distR="114300">
                  <wp:extent cx="4886325" cy="1285875"/>
                  <wp:effectExtent l="0" t="0" r="9525" b="9525"/>
                  <wp:docPr id="17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35"/>
                          <pic:cNvPicPr>
                            <a:picLocks noChangeAspect="1"/>
                          </pic:cNvPicPr>
                        </pic:nvPicPr>
                        <pic:blipFill>
                          <a:blip r:embed="rId15"/>
                          <a:stretch>
                            <a:fillRect/>
                          </a:stretch>
                        </pic:blipFill>
                        <pic:spPr>
                          <a:xfrm>
                            <a:off x="0" y="0"/>
                            <a:ext cx="4886325" cy="1285875"/>
                          </a:xfrm>
                          <a:prstGeom prst="rect">
                            <a:avLst/>
                          </a:prstGeom>
                          <a:noFill/>
                          <a:ln>
                            <a:noFill/>
                          </a:ln>
                        </pic:spPr>
                      </pic:pic>
                    </a:graphicData>
                  </a:graphic>
                </wp:inline>
              </w:drawing>
            </w:r>
          </w:p>
          <w:p w14:paraId="5F0BE1A5">
            <w:pPr>
              <w:pStyle w:val="211"/>
              <w:spacing w:before="0" w:beforeAutospacing="0" w:after="0" w:afterAutospacing="0" w:line="480" w:lineRule="exact"/>
              <w:jc w:val="center"/>
              <w:rPr>
                <w:rFonts w:ascii="Times New Roman" w:hAnsi="Times New Roman"/>
                <w:sz w:val="24"/>
                <w:szCs w:val="32"/>
              </w:rPr>
            </w:pPr>
            <w:r>
              <w:rPr>
                <w:rFonts w:ascii="Times New Roman" w:hAnsi="黑体" w:eastAsia="黑体"/>
                <w:color w:val="000000"/>
                <w:sz w:val="24"/>
                <w:szCs w:val="32"/>
              </w:rPr>
              <w:t>图</w:t>
            </w:r>
            <w:r>
              <w:rPr>
                <w:rFonts w:ascii="Times New Roman" w:hAnsi="Times New Roman" w:eastAsia="黑体"/>
                <w:color w:val="000000"/>
                <w:sz w:val="24"/>
                <w:szCs w:val="32"/>
              </w:rPr>
              <w:t>2-3</w:t>
            </w:r>
            <w:r>
              <w:rPr>
                <w:rFonts w:ascii="Times New Roman" w:hAnsi="黑体" w:eastAsia="黑体"/>
                <w:color w:val="000000"/>
                <w:sz w:val="24"/>
                <w:szCs w:val="32"/>
              </w:rPr>
              <w:t>施工工艺流程及产污节点图</w:t>
            </w:r>
          </w:p>
          <w:p w14:paraId="6A833EB5">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工艺流程简述：</w:t>
            </w:r>
          </w:p>
          <w:p w14:paraId="4E33B750">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w:t>
            </w:r>
            <w:r>
              <w:rPr>
                <w:rFonts w:ascii="Times New Roman" w:hAnsi="Times New Roman" w:eastAsia="宋体"/>
                <w:color w:val="000000"/>
                <w:sz w:val="24"/>
                <w:szCs w:val="32"/>
              </w:rPr>
              <w:t>1</w:t>
            </w:r>
            <w:r>
              <w:rPr>
                <w:rFonts w:ascii="Times New Roman" w:hAnsi="宋体" w:eastAsia="宋体"/>
                <w:color w:val="000000"/>
                <w:sz w:val="24"/>
                <w:szCs w:val="32"/>
              </w:rPr>
              <w:t>)场地平整</w:t>
            </w:r>
          </w:p>
          <w:p w14:paraId="28A356F9">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场地平整工程主要为清理地表附着物、清除植被、平整场地。该工段主要污染因素为场地平整过程中产生的扬尘、噪声和废弃土石方。</w:t>
            </w:r>
          </w:p>
          <w:p w14:paraId="31AB0546">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w:t>
            </w:r>
            <w:r>
              <w:rPr>
                <w:rFonts w:ascii="Times New Roman" w:hAnsi="Times New Roman" w:eastAsia="宋体"/>
                <w:color w:val="000000"/>
                <w:sz w:val="24"/>
                <w:szCs w:val="32"/>
              </w:rPr>
              <w:t>2</w:t>
            </w:r>
            <w:r>
              <w:rPr>
                <w:rFonts w:ascii="Times New Roman" w:hAnsi="宋体" w:eastAsia="宋体"/>
                <w:color w:val="000000"/>
                <w:sz w:val="24"/>
                <w:szCs w:val="32"/>
              </w:rPr>
              <w:t>)基础工程</w:t>
            </w:r>
          </w:p>
          <w:p w14:paraId="2ED86708">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基础工程是指建筑工人利用推土机等设备进行基础施工的建筑作业。在作业过程中会产生大量的粉尘、建筑垃圾、噪声污染。利用压路机压碾，并浇水湿润填土以利于密实。然后利用起重机械吊起特制的重锤来冲击基土表面，使地基受到压密，一般夯打为</w:t>
            </w:r>
            <w:r>
              <w:rPr>
                <w:rFonts w:ascii="Times New Roman" w:hAnsi="Times New Roman" w:eastAsia="宋体"/>
                <w:color w:val="000000"/>
                <w:sz w:val="24"/>
                <w:szCs w:val="32"/>
              </w:rPr>
              <w:t>6~8</w:t>
            </w:r>
            <w:r>
              <w:rPr>
                <w:rFonts w:ascii="Times New Roman" w:hAnsi="宋体" w:eastAsia="宋体"/>
                <w:color w:val="000000"/>
                <w:sz w:val="24"/>
                <w:szCs w:val="32"/>
              </w:rPr>
              <w:t>遍。该工段主要污染物为施工机械产生的噪声、以及施工粉尘。</w:t>
            </w:r>
          </w:p>
          <w:p w14:paraId="58D97B55">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w:t>
            </w:r>
            <w:r>
              <w:rPr>
                <w:rFonts w:ascii="Times New Roman" w:hAnsi="Times New Roman" w:eastAsia="宋体"/>
                <w:color w:val="000000"/>
                <w:sz w:val="24"/>
                <w:szCs w:val="32"/>
              </w:rPr>
              <w:t>3</w:t>
            </w:r>
            <w:r>
              <w:rPr>
                <w:rFonts w:ascii="Times New Roman" w:hAnsi="宋体" w:eastAsia="宋体"/>
                <w:color w:val="000000"/>
                <w:sz w:val="24"/>
                <w:szCs w:val="32"/>
              </w:rPr>
              <w:t>)主、辅工程</w:t>
            </w:r>
          </w:p>
          <w:p w14:paraId="7DE9CA48">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本项目主、辅工程主要为钢结构厂房，施工内容主要为钻孔灌注，现浇钢砼柱、钢结构厂房焊接施工。项目利用钻孔设备进行钻孔后，用钢筋混凝土浇灌。浇灌时注入预先拌制均匀的混凝土，随灌随振，振捣均匀，防止混凝土不实和素浆上浮。然后根据施工图纸，进行钢结构厂房的配料和加工。该工段工期较长，主要污染物为搅拌机产生的噪声以及建设材料边角料等固废。</w:t>
            </w:r>
          </w:p>
          <w:p w14:paraId="57653C24">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w:t>
            </w:r>
            <w:r>
              <w:rPr>
                <w:rFonts w:ascii="Times New Roman" w:hAnsi="Times New Roman" w:eastAsia="宋体"/>
                <w:color w:val="000000"/>
                <w:sz w:val="24"/>
                <w:szCs w:val="32"/>
              </w:rPr>
              <w:t>4</w:t>
            </w:r>
            <w:r>
              <w:rPr>
                <w:rFonts w:ascii="Times New Roman" w:hAnsi="宋体" w:eastAsia="宋体"/>
                <w:color w:val="000000"/>
                <w:sz w:val="24"/>
                <w:szCs w:val="32"/>
              </w:rPr>
              <w:t>)设备安装、装修</w:t>
            </w:r>
          </w:p>
          <w:p w14:paraId="46D57C32">
            <w:pPr>
              <w:pStyle w:val="211"/>
              <w:spacing w:before="0" w:beforeAutospacing="0" w:after="0" w:afterAutospacing="0" w:line="480" w:lineRule="exact"/>
              <w:ind w:firstLine="482"/>
              <w:rPr>
                <w:rFonts w:ascii="Times New Roman" w:hAnsi="Times New Roman"/>
                <w:sz w:val="24"/>
                <w:szCs w:val="32"/>
              </w:rPr>
            </w:pPr>
            <w:r>
              <w:rPr>
                <w:rFonts w:ascii="Times New Roman" w:hAnsi="宋体" w:eastAsia="宋体"/>
                <w:color w:val="000000"/>
                <w:sz w:val="24"/>
                <w:szCs w:val="32"/>
              </w:rPr>
              <w:t>安装阶段污染源主要是来自安装设备、管网铺设等施工时，机械产生的噪声、尾气等，此阶段大部分在车间内部进行，对环境影响不大。</w:t>
            </w:r>
          </w:p>
          <w:p w14:paraId="04FB88DB">
            <w:pPr>
              <w:spacing w:line="480" w:lineRule="exact"/>
              <w:ind w:firstLine="480" w:firstLineChars="200"/>
              <w:rPr>
                <w:sz w:val="24"/>
                <w:szCs w:val="32"/>
              </w:rPr>
            </w:pPr>
            <w:r>
              <w:rPr>
                <w:sz w:val="24"/>
                <w:szCs w:val="32"/>
              </w:rPr>
              <w:t>2、运营期工艺流程和产排污环节</w:t>
            </w:r>
          </w:p>
          <w:p w14:paraId="38D01462">
            <w:pPr>
              <w:spacing w:line="480" w:lineRule="exact"/>
              <w:ind w:firstLine="480" w:firstLineChars="200"/>
              <w:rPr>
                <w:sz w:val="24"/>
                <w:szCs w:val="36"/>
              </w:rPr>
            </w:pPr>
            <w:r>
              <w:rPr>
                <w:sz w:val="24"/>
                <w:szCs w:val="36"/>
              </w:rPr>
              <w:t>现有项目主要生产</w:t>
            </w:r>
            <w:r>
              <w:rPr>
                <w:rFonts w:hint="eastAsia"/>
                <w:sz w:val="24"/>
                <w:szCs w:val="36"/>
              </w:rPr>
              <w:t>烧结</w:t>
            </w:r>
            <w:r>
              <w:rPr>
                <w:sz w:val="24"/>
                <w:szCs w:val="36"/>
              </w:rPr>
              <w:t>砖</w:t>
            </w:r>
            <w:r>
              <w:rPr>
                <w:rFonts w:hint="eastAsia"/>
                <w:sz w:val="24"/>
                <w:szCs w:val="36"/>
              </w:rPr>
              <w:t>，主要原料为煤矸石和建筑渣土，煤矸石经破碎筛分后与建筑渣土一起加水搅拌，搅拌后通过陈化、搅拌、挤出、切坯、码坯、干燥、焙烧形成成品烧结空心砖，本次改建后对</w:t>
            </w:r>
            <w:r>
              <w:rPr>
                <w:rFonts w:hint="eastAsia"/>
                <w:sz w:val="24"/>
                <w:szCs w:val="36"/>
                <w:lang w:val="en-US" w:eastAsia="zh-CN"/>
              </w:rPr>
              <w:t>现有旋转窑</w:t>
            </w:r>
            <w:r>
              <w:rPr>
                <w:rFonts w:hint="eastAsia"/>
                <w:sz w:val="24"/>
                <w:szCs w:val="36"/>
              </w:rPr>
              <w:t>进行改建，提高产品产量。</w:t>
            </w:r>
          </w:p>
          <w:p w14:paraId="05C5885E">
            <w:pPr>
              <w:spacing w:line="480" w:lineRule="exact"/>
              <w:ind w:firstLine="477" w:firstLineChars="199"/>
              <w:rPr>
                <w:rFonts w:hint="eastAsia"/>
                <w:bCs/>
                <w:sz w:val="24"/>
                <w:szCs w:val="36"/>
              </w:rPr>
            </w:pPr>
            <w:r>
              <w:rPr>
                <w:rFonts w:hint="eastAsia"/>
                <w:bCs/>
                <w:sz w:val="24"/>
                <w:szCs w:val="36"/>
              </w:rPr>
              <w:t>烧结空心砖生产工艺流程及产污环节分析：</w:t>
            </w:r>
          </w:p>
          <w:p w14:paraId="565EB881">
            <w:pPr>
              <w:spacing w:line="480" w:lineRule="exact"/>
              <w:ind w:firstLine="477" w:firstLineChars="199"/>
              <w:rPr>
                <w:rFonts w:hint="eastAsia"/>
                <w:bCs/>
                <w:sz w:val="24"/>
                <w:szCs w:val="36"/>
              </w:rPr>
            </w:pPr>
          </w:p>
          <w:p w14:paraId="3EAFD55D">
            <w:pPr>
              <w:spacing w:line="480" w:lineRule="exact"/>
              <w:ind w:firstLine="477" w:firstLineChars="199"/>
              <w:rPr>
                <w:rFonts w:hint="eastAsia"/>
                <w:bCs/>
                <w:sz w:val="24"/>
                <w:szCs w:val="36"/>
              </w:rPr>
            </w:pPr>
          </w:p>
          <w:p w14:paraId="0BE2094F">
            <w:pPr>
              <w:spacing w:line="480" w:lineRule="exact"/>
              <w:ind w:firstLine="477" w:firstLineChars="199"/>
              <w:rPr>
                <w:rFonts w:hint="eastAsia"/>
                <w:bCs/>
                <w:sz w:val="24"/>
                <w:szCs w:val="36"/>
              </w:rPr>
            </w:pPr>
          </w:p>
          <w:p w14:paraId="4D771DA7">
            <w:pPr>
              <w:spacing w:line="480" w:lineRule="exact"/>
              <w:ind w:firstLine="477" w:firstLineChars="199"/>
              <w:rPr>
                <w:rFonts w:hint="eastAsia"/>
                <w:bCs/>
                <w:sz w:val="24"/>
                <w:szCs w:val="36"/>
              </w:rPr>
            </w:pPr>
          </w:p>
          <w:p w14:paraId="1F436A93">
            <w:pPr>
              <w:spacing w:line="480" w:lineRule="exact"/>
              <w:ind w:firstLine="477" w:firstLineChars="199"/>
              <w:rPr>
                <w:rFonts w:hint="eastAsia"/>
                <w:bCs/>
                <w:sz w:val="24"/>
                <w:szCs w:val="36"/>
              </w:rPr>
            </w:pPr>
          </w:p>
          <w:p w14:paraId="00D47940">
            <w:pPr>
              <w:spacing w:line="480" w:lineRule="exact"/>
              <w:ind w:firstLine="477" w:firstLineChars="199"/>
              <w:rPr>
                <w:rFonts w:hint="eastAsia"/>
                <w:bCs/>
                <w:sz w:val="24"/>
                <w:szCs w:val="36"/>
              </w:rPr>
            </w:pPr>
          </w:p>
          <w:p w14:paraId="711688BF">
            <w:pPr>
              <w:spacing w:line="480" w:lineRule="exact"/>
              <w:ind w:firstLine="477" w:firstLineChars="199"/>
              <w:rPr>
                <w:rFonts w:hint="eastAsia"/>
                <w:bCs/>
                <w:sz w:val="24"/>
                <w:szCs w:val="36"/>
              </w:rPr>
            </w:pPr>
          </w:p>
          <w:p w14:paraId="5B6F4013">
            <w:pPr>
              <w:spacing w:line="480" w:lineRule="exact"/>
              <w:ind w:firstLine="477" w:firstLineChars="199"/>
              <w:rPr>
                <w:rFonts w:hint="eastAsia"/>
                <w:bCs/>
                <w:sz w:val="24"/>
                <w:szCs w:val="36"/>
              </w:rPr>
            </w:pPr>
          </w:p>
          <w:p w14:paraId="2A74F2E7">
            <w:pPr>
              <w:spacing w:line="480" w:lineRule="exact"/>
              <w:ind w:firstLine="477" w:firstLineChars="199"/>
              <w:rPr>
                <w:rFonts w:hint="eastAsia"/>
                <w:bCs/>
                <w:sz w:val="24"/>
                <w:szCs w:val="36"/>
              </w:rPr>
            </w:pPr>
          </w:p>
          <w:p w14:paraId="1CB09266">
            <w:pPr>
              <w:spacing w:line="480" w:lineRule="exact"/>
              <w:ind w:firstLine="477" w:firstLineChars="199"/>
              <w:rPr>
                <w:rFonts w:hint="eastAsia"/>
                <w:bCs/>
                <w:sz w:val="24"/>
                <w:szCs w:val="36"/>
              </w:rPr>
            </w:pPr>
          </w:p>
          <w:p w14:paraId="2729E174">
            <w:pPr>
              <w:spacing w:line="480" w:lineRule="exact"/>
              <w:ind w:firstLine="477" w:firstLineChars="199"/>
              <w:rPr>
                <w:rFonts w:hint="eastAsia"/>
                <w:bCs/>
                <w:sz w:val="24"/>
                <w:szCs w:val="36"/>
              </w:rPr>
            </w:pPr>
          </w:p>
          <w:p w14:paraId="36E16F66">
            <w:pPr>
              <w:spacing w:line="480" w:lineRule="exact"/>
              <w:ind w:firstLine="477" w:firstLineChars="199"/>
              <w:rPr>
                <w:rFonts w:hint="eastAsia"/>
                <w:bCs/>
                <w:sz w:val="24"/>
                <w:szCs w:val="36"/>
              </w:rPr>
            </w:pPr>
          </w:p>
          <w:p w14:paraId="0B3DF993">
            <w:pPr>
              <w:spacing w:line="480" w:lineRule="exact"/>
              <w:ind w:firstLine="477" w:firstLineChars="199"/>
              <w:rPr>
                <w:rFonts w:hint="eastAsia"/>
                <w:bCs/>
                <w:sz w:val="24"/>
                <w:szCs w:val="36"/>
              </w:rPr>
            </w:pPr>
          </w:p>
          <w:p w14:paraId="30620964">
            <w:pPr>
              <w:spacing w:line="480" w:lineRule="exact"/>
              <w:ind w:firstLine="477" w:firstLineChars="199"/>
              <w:rPr>
                <w:rFonts w:hint="eastAsia"/>
                <w:bCs/>
                <w:sz w:val="24"/>
                <w:szCs w:val="36"/>
              </w:rPr>
            </w:pPr>
          </w:p>
          <w:p w14:paraId="447AC182">
            <w:pPr>
              <w:spacing w:line="480" w:lineRule="exact"/>
              <w:ind w:firstLine="477" w:firstLineChars="199"/>
              <w:rPr>
                <w:rFonts w:hint="eastAsia"/>
                <w:bCs/>
                <w:sz w:val="24"/>
                <w:szCs w:val="36"/>
              </w:rPr>
            </w:pPr>
          </w:p>
          <w:p w14:paraId="2D48C2DF">
            <w:pPr>
              <w:spacing w:line="480" w:lineRule="exact"/>
              <w:ind w:firstLine="477" w:firstLineChars="199"/>
              <w:rPr>
                <w:rFonts w:hint="eastAsia"/>
                <w:bCs/>
                <w:sz w:val="24"/>
                <w:szCs w:val="36"/>
              </w:rPr>
            </w:pPr>
          </w:p>
          <w:p w14:paraId="21ECDFB6">
            <w:pPr>
              <w:spacing w:line="480" w:lineRule="exact"/>
              <w:ind w:firstLine="477" w:firstLineChars="199"/>
              <w:rPr>
                <w:rFonts w:hint="eastAsia"/>
                <w:bCs/>
                <w:sz w:val="24"/>
                <w:szCs w:val="36"/>
              </w:rPr>
            </w:pPr>
          </w:p>
          <w:p w14:paraId="195B7D12">
            <w:pPr>
              <w:spacing w:line="480" w:lineRule="exact"/>
              <w:ind w:firstLine="477" w:firstLineChars="199"/>
              <w:rPr>
                <w:rFonts w:hint="eastAsia"/>
                <w:bCs/>
                <w:sz w:val="24"/>
                <w:szCs w:val="36"/>
              </w:rPr>
            </w:pPr>
          </w:p>
          <w:p w14:paraId="5FEFA720">
            <w:pPr>
              <w:spacing w:line="480" w:lineRule="exact"/>
              <w:ind w:firstLine="477" w:firstLineChars="199"/>
              <w:rPr>
                <w:rFonts w:hint="eastAsia"/>
                <w:bCs/>
                <w:sz w:val="24"/>
                <w:szCs w:val="36"/>
              </w:rPr>
            </w:pPr>
          </w:p>
          <w:p w14:paraId="4A26BB57">
            <w:pPr>
              <w:spacing w:line="480" w:lineRule="exact"/>
              <w:ind w:firstLine="477" w:firstLineChars="199"/>
              <w:rPr>
                <w:rFonts w:hint="eastAsia"/>
                <w:bCs/>
                <w:sz w:val="24"/>
                <w:szCs w:val="36"/>
              </w:rPr>
            </w:pPr>
          </w:p>
          <w:p w14:paraId="5D4E66B0">
            <w:pPr>
              <w:spacing w:line="480" w:lineRule="exact"/>
              <w:ind w:firstLine="477" w:firstLineChars="199"/>
              <w:rPr>
                <w:bCs/>
                <w:sz w:val="24"/>
                <w:szCs w:val="36"/>
              </w:rPr>
            </w:pPr>
          </w:p>
          <w:p w14:paraId="16773181">
            <w:pPr>
              <w:spacing w:line="360" w:lineRule="auto"/>
              <w:rPr>
                <w:b/>
                <w:szCs w:val="28"/>
              </w:rPr>
            </w:pPr>
            <w:r>
              <w:rPr>
                <w:b/>
                <w:szCs w:val="28"/>
              </w:rPr>
              <mc:AlternateContent>
                <mc:Choice Requires="wpc">
                  <w:drawing>
                    <wp:inline distT="0" distB="0" distL="114300" distR="114300">
                      <wp:extent cx="5357495" cy="7890510"/>
                      <wp:effectExtent l="0" t="0" r="0" b="0"/>
                      <wp:docPr id="170" name="画布 9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1" name="矩形 908"/>
                              <wps:cNvSpPr/>
                              <wps:spPr>
                                <a:xfrm>
                                  <a:off x="476885" y="344833"/>
                                  <a:ext cx="1071245" cy="311810"/>
                                </a:xfrm>
                                <a:prstGeom prst="rect">
                                  <a:avLst/>
                                </a:prstGeom>
                                <a:noFill/>
                                <a:ln>
                                  <a:noFill/>
                                </a:ln>
                              </wps:spPr>
                              <wps:txbx>
                                <w:txbxContent>
                                  <w:p w14:paraId="3C176A97">
                                    <w:pPr>
                                      <w:jc w:val="center"/>
                                      <w:rPr>
                                        <w:rFonts w:eastAsia="黑体"/>
                                        <w:sz w:val="18"/>
                                        <w:szCs w:val="18"/>
                                      </w:rPr>
                                    </w:pPr>
                                    <w:r>
                                      <w:rPr>
                                        <w:rFonts w:hAnsi="黑体" w:eastAsia="黑体"/>
                                        <w:sz w:val="18"/>
                                        <w:szCs w:val="18"/>
                                      </w:rPr>
                                      <w:t>外购煤矸石</w:t>
                                    </w:r>
                                  </w:p>
                                </w:txbxContent>
                              </wps:txbx>
                              <wps:bodyPr wrap="square" anchor="ctr" anchorCtr="0" upright="1"/>
                            </wps:wsp>
                            <wps:wsp>
                              <wps:cNvPr id="112" name="矩形 909"/>
                              <wps:cNvSpPr/>
                              <wps:spPr>
                                <a:xfrm>
                                  <a:off x="476885" y="939241"/>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256E24">
                                    <w:pPr>
                                      <w:jc w:val="center"/>
                                      <w:rPr>
                                        <w:rFonts w:eastAsia="黑体"/>
                                        <w:sz w:val="18"/>
                                        <w:szCs w:val="18"/>
                                      </w:rPr>
                                    </w:pPr>
                                    <w:r>
                                      <w:rPr>
                                        <w:rFonts w:hAnsi="黑体" w:eastAsia="黑体"/>
                                        <w:sz w:val="18"/>
                                        <w:szCs w:val="18"/>
                                      </w:rPr>
                                      <w:t>卸料</w:t>
                                    </w:r>
                                  </w:p>
                                </w:txbxContent>
                              </wps:txbx>
                              <wps:bodyPr wrap="square" anchor="ctr" anchorCtr="0" upright="1"/>
                            </wps:wsp>
                            <wps:wsp>
                              <wps:cNvPr id="113" name="自选图形 910"/>
                              <wps:cNvCnPr/>
                              <wps:spPr>
                                <a:xfrm>
                                  <a:off x="1012825" y="648387"/>
                                  <a:ext cx="635" cy="289583"/>
                                </a:xfrm>
                                <a:prstGeom prst="straightConnector1">
                                  <a:avLst/>
                                </a:prstGeom>
                                <a:ln w="9525" cap="flat" cmpd="sng">
                                  <a:solidFill>
                                    <a:srgbClr val="000000"/>
                                  </a:solidFill>
                                  <a:prstDash val="solid"/>
                                  <a:headEnd type="none" w="med" len="med"/>
                                  <a:tailEnd type="triangle" w="sm" len="med"/>
                                </a:ln>
                              </wps:spPr>
                              <wps:bodyPr wrap="square" upright="1"/>
                            </wps:wsp>
                            <wps:wsp>
                              <wps:cNvPr id="114" name="矩形 911"/>
                              <wps:cNvSpPr/>
                              <wps:spPr>
                                <a:xfrm>
                                  <a:off x="476885" y="2310316"/>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261803">
                                    <w:pPr>
                                      <w:jc w:val="center"/>
                                      <w:rPr>
                                        <w:rFonts w:eastAsia="黑体"/>
                                        <w:sz w:val="18"/>
                                        <w:szCs w:val="18"/>
                                      </w:rPr>
                                    </w:pPr>
                                    <w:r>
                                      <w:rPr>
                                        <w:rFonts w:hAnsi="黑体" w:eastAsia="黑体"/>
                                        <w:sz w:val="18"/>
                                        <w:szCs w:val="18"/>
                                      </w:rPr>
                                      <w:t>破碎</w:t>
                                    </w:r>
                                  </w:p>
                                </w:txbxContent>
                              </wps:txbx>
                              <wps:bodyPr wrap="square" anchor="ctr" anchorCtr="0" upright="1"/>
                            </wps:wsp>
                            <wps:wsp>
                              <wps:cNvPr id="115" name="自选图形 912"/>
                              <wps:cNvCnPr/>
                              <wps:spPr>
                                <a:xfrm>
                                  <a:off x="1012190" y="1945797"/>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16" name="矩形 913"/>
                              <wps:cNvSpPr/>
                              <wps:spPr>
                                <a:xfrm>
                                  <a:off x="476885" y="2987280"/>
                                  <a:ext cx="1071245" cy="312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EC0C78">
                                    <w:pPr>
                                      <w:jc w:val="center"/>
                                      <w:rPr>
                                        <w:rFonts w:eastAsia="黑体"/>
                                        <w:sz w:val="18"/>
                                        <w:szCs w:val="18"/>
                                      </w:rPr>
                                    </w:pPr>
                                    <w:r>
                                      <w:rPr>
                                        <w:rFonts w:hAnsi="黑体" w:eastAsia="黑体"/>
                                        <w:sz w:val="18"/>
                                        <w:szCs w:val="18"/>
                                      </w:rPr>
                                      <w:t>筛分</w:t>
                                    </w:r>
                                  </w:p>
                                </w:txbxContent>
                              </wps:txbx>
                              <wps:bodyPr wrap="square" anchor="ctr" anchorCtr="0" upright="1"/>
                            </wps:wsp>
                            <wps:wsp>
                              <wps:cNvPr id="117" name="自选图形 914"/>
                              <wps:cNvCnPr/>
                              <wps:spPr>
                                <a:xfrm>
                                  <a:off x="1012190" y="2631017"/>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18" name="Rectangle 3227"/>
                              <wps:cNvSpPr/>
                              <wps:spPr>
                                <a:xfrm>
                                  <a:off x="1502410" y="607109"/>
                                  <a:ext cx="868680" cy="290853"/>
                                </a:xfrm>
                                <a:prstGeom prst="rect">
                                  <a:avLst/>
                                </a:prstGeom>
                                <a:noFill/>
                                <a:ln>
                                  <a:noFill/>
                                </a:ln>
                              </wps:spPr>
                              <wps:txbx>
                                <w:txbxContent>
                                  <w:p w14:paraId="30A7D208">
                                    <w:pPr>
                                      <w:jc w:val="center"/>
                                      <w:rPr>
                                        <w:rFonts w:eastAsia="黑体"/>
                                        <w:sz w:val="18"/>
                                        <w:szCs w:val="18"/>
                                      </w:rPr>
                                    </w:pPr>
                                    <w:r>
                                      <w:rPr>
                                        <w:rFonts w:eastAsia="黑体"/>
                                        <w:sz w:val="18"/>
                                        <w:szCs w:val="18"/>
                                      </w:rPr>
                                      <w:t>G</w:t>
                                    </w:r>
                                    <w:r>
                                      <w:rPr>
                                        <w:rFonts w:eastAsia="黑体"/>
                                        <w:sz w:val="18"/>
                                        <w:szCs w:val="18"/>
                                        <w:vertAlign w:val="subscript"/>
                                      </w:rPr>
                                      <w:t>1</w:t>
                                    </w:r>
                                    <w:r>
                                      <w:rPr>
                                        <w:rFonts w:hAnsi="黑体" w:eastAsia="黑体"/>
                                        <w:sz w:val="18"/>
                                        <w:szCs w:val="18"/>
                                      </w:rPr>
                                      <w:t>：卸料粉尘</w:t>
                                    </w:r>
                                  </w:p>
                                </w:txbxContent>
                              </wps:txbx>
                              <wps:bodyPr wrap="square" anchor="ctr" anchorCtr="0" upright="1"/>
                            </wps:wsp>
                            <wps:wsp>
                              <wps:cNvPr id="119" name="Freeform 7175"/>
                              <wps:cNvSpPr/>
                              <wps:spPr>
                                <a:xfrm rot="-155643">
                                  <a:off x="1173480" y="733484"/>
                                  <a:ext cx="318135" cy="204486"/>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20" name="Rectangle 3227"/>
                              <wps:cNvSpPr/>
                              <wps:spPr>
                                <a:xfrm>
                                  <a:off x="1454150" y="1970564"/>
                                  <a:ext cx="869315" cy="291488"/>
                                </a:xfrm>
                                <a:prstGeom prst="rect">
                                  <a:avLst/>
                                </a:prstGeom>
                                <a:noFill/>
                                <a:ln>
                                  <a:noFill/>
                                </a:ln>
                              </wps:spPr>
                              <wps:txbx>
                                <w:txbxContent>
                                  <w:p w14:paraId="03BD90B6">
                                    <w:pPr>
                                      <w:jc w:val="center"/>
                                      <w:rPr>
                                        <w:rFonts w:eastAsia="黑体"/>
                                        <w:sz w:val="18"/>
                                        <w:szCs w:val="18"/>
                                      </w:rPr>
                                    </w:pPr>
                                    <w:r>
                                      <w:rPr>
                                        <w:rFonts w:eastAsia="黑体"/>
                                        <w:sz w:val="18"/>
                                        <w:szCs w:val="18"/>
                                      </w:rPr>
                                      <w:t>G</w:t>
                                    </w:r>
                                    <w:r>
                                      <w:rPr>
                                        <w:rFonts w:hint="eastAsia" w:eastAsia="黑体"/>
                                        <w:sz w:val="18"/>
                                        <w:szCs w:val="18"/>
                                        <w:vertAlign w:val="subscript"/>
                                      </w:rPr>
                                      <w:t>3</w:t>
                                    </w:r>
                                    <w:r>
                                      <w:rPr>
                                        <w:rFonts w:hAnsi="黑体" w:eastAsia="黑体"/>
                                        <w:sz w:val="18"/>
                                        <w:szCs w:val="18"/>
                                      </w:rPr>
                                      <w:t>：破碎粉尘</w:t>
                                    </w:r>
                                  </w:p>
                                </w:txbxContent>
                              </wps:txbx>
                              <wps:bodyPr wrap="square" anchor="ctr" anchorCtr="0" upright="1"/>
                            </wps:wsp>
                            <wps:wsp>
                              <wps:cNvPr id="121" name="Freeform 7175"/>
                              <wps:cNvSpPr/>
                              <wps:spPr>
                                <a:xfrm rot="-155643">
                                  <a:off x="1125855" y="2096939"/>
                                  <a:ext cx="317500" cy="205122"/>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22" name="Rectangle 3227"/>
                              <wps:cNvSpPr/>
                              <wps:spPr>
                                <a:xfrm>
                                  <a:off x="1465580" y="2647528"/>
                                  <a:ext cx="868680" cy="291488"/>
                                </a:xfrm>
                                <a:prstGeom prst="rect">
                                  <a:avLst/>
                                </a:prstGeom>
                                <a:noFill/>
                                <a:ln>
                                  <a:noFill/>
                                </a:ln>
                              </wps:spPr>
                              <wps:txbx>
                                <w:txbxContent>
                                  <w:p w14:paraId="34501C7D">
                                    <w:pPr>
                                      <w:jc w:val="center"/>
                                      <w:rPr>
                                        <w:rFonts w:eastAsia="黑体"/>
                                        <w:sz w:val="18"/>
                                        <w:szCs w:val="18"/>
                                      </w:rPr>
                                    </w:pPr>
                                    <w:r>
                                      <w:rPr>
                                        <w:rFonts w:eastAsia="黑体"/>
                                        <w:sz w:val="18"/>
                                        <w:szCs w:val="18"/>
                                      </w:rPr>
                                      <w:t>G</w:t>
                                    </w:r>
                                    <w:r>
                                      <w:rPr>
                                        <w:rFonts w:hint="eastAsia" w:eastAsia="黑体"/>
                                        <w:sz w:val="18"/>
                                        <w:szCs w:val="18"/>
                                        <w:vertAlign w:val="subscript"/>
                                      </w:rPr>
                                      <w:t>4</w:t>
                                    </w:r>
                                    <w:r>
                                      <w:rPr>
                                        <w:rFonts w:hAnsi="黑体" w:eastAsia="黑体"/>
                                        <w:sz w:val="18"/>
                                        <w:szCs w:val="18"/>
                                      </w:rPr>
                                      <w:t>：筛分粉尘</w:t>
                                    </w:r>
                                  </w:p>
                                </w:txbxContent>
                              </wps:txbx>
                              <wps:bodyPr wrap="square" anchor="ctr" anchorCtr="0" upright="1"/>
                            </wps:wsp>
                            <wps:wsp>
                              <wps:cNvPr id="123" name="Freeform 7175"/>
                              <wps:cNvSpPr/>
                              <wps:spPr>
                                <a:xfrm rot="-155643">
                                  <a:off x="1136650" y="2773903"/>
                                  <a:ext cx="317500" cy="205122"/>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24" name="矩形 921"/>
                              <wps:cNvSpPr/>
                              <wps:spPr>
                                <a:xfrm>
                                  <a:off x="2925445" y="374680"/>
                                  <a:ext cx="1071245" cy="311810"/>
                                </a:xfrm>
                                <a:prstGeom prst="rect">
                                  <a:avLst/>
                                </a:prstGeom>
                                <a:noFill/>
                                <a:ln>
                                  <a:noFill/>
                                </a:ln>
                              </wps:spPr>
                              <wps:txbx>
                                <w:txbxContent>
                                  <w:p w14:paraId="5CBDB9AB">
                                    <w:pPr>
                                      <w:jc w:val="center"/>
                                      <w:rPr>
                                        <w:rFonts w:eastAsia="黑体"/>
                                        <w:sz w:val="18"/>
                                        <w:szCs w:val="18"/>
                                      </w:rPr>
                                    </w:pPr>
                                    <w:r>
                                      <w:rPr>
                                        <w:rFonts w:hAnsi="黑体" w:eastAsia="黑体"/>
                                        <w:sz w:val="18"/>
                                        <w:szCs w:val="18"/>
                                      </w:rPr>
                                      <w:t>外购建筑</w:t>
                                    </w:r>
                                    <w:r>
                                      <w:rPr>
                                        <w:rFonts w:hint="eastAsia" w:hAnsi="黑体" w:eastAsia="黑体"/>
                                        <w:sz w:val="18"/>
                                        <w:szCs w:val="18"/>
                                      </w:rPr>
                                      <w:t>渣</w:t>
                                    </w:r>
                                    <w:r>
                                      <w:rPr>
                                        <w:rFonts w:hAnsi="黑体" w:eastAsia="黑体"/>
                                        <w:sz w:val="18"/>
                                        <w:szCs w:val="18"/>
                                      </w:rPr>
                                      <w:t>土</w:t>
                                    </w:r>
                                  </w:p>
                                </w:txbxContent>
                              </wps:txbx>
                              <wps:bodyPr wrap="square" anchor="ctr" anchorCtr="0" upright="1"/>
                            </wps:wsp>
                            <wps:wsp>
                              <wps:cNvPr id="125" name="矩形 922"/>
                              <wps:cNvSpPr/>
                              <wps:spPr>
                                <a:xfrm>
                                  <a:off x="2925445" y="969088"/>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EC0EC9">
                                    <w:pPr>
                                      <w:jc w:val="center"/>
                                      <w:rPr>
                                        <w:rFonts w:eastAsia="黑体"/>
                                        <w:sz w:val="18"/>
                                        <w:szCs w:val="18"/>
                                      </w:rPr>
                                    </w:pPr>
                                    <w:r>
                                      <w:rPr>
                                        <w:rFonts w:hAnsi="黑体" w:eastAsia="黑体"/>
                                        <w:sz w:val="18"/>
                                        <w:szCs w:val="18"/>
                                      </w:rPr>
                                      <w:t>卸料</w:t>
                                    </w:r>
                                  </w:p>
                                </w:txbxContent>
                              </wps:txbx>
                              <wps:bodyPr wrap="square" anchor="ctr" anchorCtr="0" upright="1"/>
                            </wps:wsp>
                            <wps:wsp>
                              <wps:cNvPr id="126" name="自选图形 923"/>
                              <wps:cNvCnPr/>
                              <wps:spPr>
                                <a:xfrm>
                                  <a:off x="3479800" y="678235"/>
                                  <a:ext cx="635" cy="289583"/>
                                </a:xfrm>
                                <a:prstGeom prst="straightConnector1">
                                  <a:avLst/>
                                </a:prstGeom>
                                <a:ln w="9525" cap="flat" cmpd="sng">
                                  <a:solidFill>
                                    <a:srgbClr val="000000"/>
                                  </a:solidFill>
                                  <a:prstDash val="solid"/>
                                  <a:headEnd type="none" w="med" len="med"/>
                                  <a:tailEnd type="triangle" w="sm" len="med"/>
                                </a:ln>
                              </wps:spPr>
                              <wps:bodyPr wrap="square" upright="1"/>
                            </wps:wsp>
                            <wps:wsp>
                              <wps:cNvPr id="127" name="Rectangle 3227"/>
                              <wps:cNvSpPr/>
                              <wps:spPr>
                                <a:xfrm>
                                  <a:off x="3950970" y="636321"/>
                                  <a:ext cx="868680" cy="291488"/>
                                </a:xfrm>
                                <a:prstGeom prst="rect">
                                  <a:avLst/>
                                </a:prstGeom>
                                <a:noFill/>
                                <a:ln>
                                  <a:noFill/>
                                </a:ln>
                              </wps:spPr>
                              <wps:txbx>
                                <w:txbxContent>
                                  <w:p w14:paraId="04547F6B">
                                    <w:pPr>
                                      <w:jc w:val="center"/>
                                      <w:rPr>
                                        <w:rFonts w:eastAsia="黑体"/>
                                        <w:sz w:val="18"/>
                                        <w:szCs w:val="18"/>
                                      </w:rPr>
                                    </w:pPr>
                                    <w:r>
                                      <w:rPr>
                                        <w:rFonts w:eastAsia="黑体"/>
                                        <w:sz w:val="18"/>
                                        <w:szCs w:val="18"/>
                                      </w:rPr>
                                      <w:t>G</w:t>
                                    </w:r>
                                    <w:r>
                                      <w:rPr>
                                        <w:rFonts w:eastAsia="黑体"/>
                                        <w:sz w:val="18"/>
                                        <w:szCs w:val="18"/>
                                        <w:vertAlign w:val="subscript"/>
                                      </w:rPr>
                                      <w:t>1</w:t>
                                    </w:r>
                                    <w:r>
                                      <w:rPr>
                                        <w:rFonts w:hAnsi="黑体" w:eastAsia="黑体"/>
                                        <w:sz w:val="18"/>
                                        <w:szCs w:val="18"/>
                                      </w:rPr>
                                      <w:t>：卸料粉尘</w:t>
                                    </w:r>
                                  </w:p>
                                </w:txbxContent>
                              </wps:txbx>
                              <wps:bodyPr wrap="square" anchor="ctr" anchorCtr="0" upright="1"/>
                            </wps:wsp>
                            <wps:wsp>
                              <wps:cNvPr id="128" name="Freeform 7175"/>
                              <wps:cNvSpPr/>
                              <wps:spPr>
                                <a:xfrm rot="-155643">
                                  <a:off x="3622040" y="763331"/>
                                  <a:ext cx="318135" cy="204486"/>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29" name="自选图形 926"/>
                              <wps:cNvCnPr/>
                              <wps:spPr>
                                <a:xfrm flipV="1">
                                  <a:off x="1556385" y="3057136"/>
                                  <a:ext cx="136779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30" name="矩形 927"/>
                              <wps:cNvSpPr/>
                              <wps:spPr>
                                <a:xfrm>
                                  <a:off x="2925445" y="4309457"/>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B48C0D">
                                    <w:pPr>
                                      <w:jc w:val="center"/>
                                      <w:rPr>
                                        <w:rFonts w:eastAsia="黑体"/>
                                        <w:sz w:val="18"/>
                                        <w:szCs w:val="18"/>
                                      </w:rPr>
                                    </w:pPr>
                                    <w:r>
                                      <w:rPr>
                                        <w:rFonts w:hAnsi="黑体" w:eastAsia="黑体"/>
                                        <w:sz w:val="18"/>
                                        <w:szCs w:val="18"/>
                                      </w:rPr>
                                      <w:t>陈化</w:t>
                                    </w:r>
                                  </w:p>
                                </w:txbxContent>
                              </wps:txbx>
                              <wps:bodyPr wrap="square" anchor="ctr" anchorCtr="0" upright="1"/>
                            </wps:wsp>
                            <wps:wsp>
                              <wps:cNvPr id="131" name="矩形 928"/>
                              <wps:cNvSpPr/>
                              <wps:spPr>
                                <a:xfrm>
                                  <a:off x="2925445" y="4978166"/>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949740">
                                    <w:pPr>
                                      <w:jc w:val="center"/>
                                      <w:rPr>
                                        <w:rFonts w:eastAsia="黑体"/>
                                        <w:sz w:val="18"/>
                                        <w:szCs w:val="18"/>
                                      </w:rPr>
                                    </w:pPr>
                                    <w:r>
                                      <w:rPr>
                                        <w:rFonts w:hAnsi="黑体" w:eastAsia="黑体"/>
                                        <w:sz w:val="18"/>
                                        <w:szCs w:val="18"/>
                                      </w:rPr>
                                      <w:t>搅拌</w:t>
                                    </w:r>
                                  </w:p>
                                </w:txbxContent>
                              </wps:txbx>
                              <wps:bodyPr wrap="square" anchor="ctr" anchorCtr="0" upright="1"/>
                            </wps:wsp>
                            <wps:wsp>
                              <wps:cNvPr id="132" name="自选图形 929"/>
                              <wps:cNvCnPr/>
                              <wps:spPr>
                                <a:xfrm>
                                  <a:off x="3460115" y="4621267"/>
                                  <a:ext cx="635" cy="362614"/>
                                </a:xfrm>
                                <a:prstGeom prst="straightConnector1">
                                  <a:avLst/>
                                </a:prstGeom>
                                <a:ln w="9525" cap="flat" cmpd="sng">
                                  <a:solidFill>
                                    <a:srgbClr val="000000"/>
                                  </a:solidFill>
                                  <a:prstDash val="solid"/>
                                  <a:headEnd type="none" w="med" len="med"/>
                                  <a:tailEnd type="triangle" w="sm" len="med"/>
                                </a:ln>
                              </wps:spPr>
                              <wps:bodyPr wrap="square" upright="1"/>
                            </wps:wsp>
                            <wps:wsp>
                              <wps:cNvPr id="133" name="矩形 930"/>
                              <wps:cNvSpPr/>
                              <wps:spPr>
                                <a:xfrm>
                                  <a:off x="2925445" y="5646239"/>
                                  <a:ext cx="1071245" cy="312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9C0BFC">
                                    <w:pPr>
                                      <w:jc w:val="center"/>
                                      <w:rPr>
                                        <w:rFonts w:eastAsia="黑体"/>
                                        <w:sz w:val="18"/>
                                        <w:szCs w:val="18"/>
                                      </w:rPr>
                                    </w:pPr>
                                    <w:r>
                                      <w:rPr>
                                        <w:rFonts w:hAnsi="黑体" w:eastAsia="黑体"/>
                                        <w:sz w:val="18"/>
                                        <w:szCs w:val="18"/>
                                      </w:rPr>
                                      <w:t>挤出成型</w:t>
                                    </w:r>
                                  </w:p>
                                </w:txbxContent>
                              </wps:txbx>
                              <wps:bodyPr wrap="square" anchor="ctr" anchorCtr="0" upright="1"/>
                            </wps:wsp>
                            <wps:wsp>
                              <wps:cNvPr id="134" name="自选图形 931"/>
                              <wps:cNvCnPr/>
                              <wps:spPr>
                                <a:xfrm>
                                  <a:off x="3460115" y="5289976"/>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35" name="矩形 932"/>
                              <wps:cNvSpPr/>
                              <wps:spPr>
                                <a:xfrm>
                                  <a:off x="2925445" y="6314948"/>
                                  <a:ext cx="1071245" cy="312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E21993">
                                    <w:pPr>
                                      <w:jc w:val="center"/>
                                      <w:rPr>
                                        <w:rFonts w:eastAsia="黑体"/>
                                        <w:sz w:val="18"/>
                                        <w:szCs w:val="18"/>
                                      </w:rPr>
                                    </w:pPr>
                                    <w:r>
                                      <w:rPr>
                                        <w:rFonts w:hAnsi="黑体" w:eastAsia="黑体"/>
                                        <w:sz w:val="18"/>
                                        <w:szCs w:val="18"/>
                                      </w:rPr>
                                      <w:t>切坯、码坯</w:t>
                                    </w:r>
                                  </w:p>
                                </w:txbxContent>
                              </wps:txbx>
                              <wps:bodyPr wrap="square" anchor="ctr" anchorCtr="0" upright="1"/>
                            </wps:wsp>
                            <wps:wsp>
                              <wps:cNvPr id="136" name="自选图形 933"/>
                              <wps:cNvCnPr/>
                              <wps:spPr>
                                <a:xfrm>
                                  <a:off x="3460115" y="5958685"/>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37" name="矩形 934"/>
                              <wps:cNvSpPr/>
                              <wps:spPr>
                                <a:xfrm>
                                  <a:off x="2925445" y="6983657"/>
                                  <a:ext cx="1071245" cy="312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AC26DF">
                                    <w:pPr>
                                      <w:jc w:val="center"/>
                                      <w:rPr>
                                        <w:rFonts w:eastAsia="黑体"/>
                                        <w:sz w:val="18"/>
                                        <w:szCs w:val="18"/>
                                      </w:rPr>
                                    </w:pPr>
                                    <w:r>
                                      <w:rPr>
                                        <w:rFonts w:hAnsi="黑体" w:eastAsia="黑体"/>
                                        <w:sz w:val="18"/>
                                        <w:szCs w:val="18"/>
                                      </w:rPr>
                                      <w:t>干燥、焙烧</w:t>
                                    </w:r>
                                  </w:p>
                                </w:txbxContent>
                              </wps:txbx>
                              <wps:bodyPr wrap="square" anchor="ctr" anchorCtr="0" upright="1"/>
                            </wps:wsp>
                            <wps:wsp>
                              <wps:cNvPr id="138" name="自选图形 935"/>
                              <wps:cNvCnPr/>
                              <wps:spPr>
                                <a:xfrm>
                                  <a:off x="3460115" y="6627393"/>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39" name="矩形 936"/>
                              <wps:cNvSpPr/>
                              <wps:spPr>
                                <a:xfrm>
                                  <a:off x="2934335" y="7590131"/>
                                  <a:ext cx="1071245" cy="311810"/>
                                </a:xfrm>
                                <a:prstGeom prst="rect">
                                  <a:avLst/>
                                </a:prstGeom>
                                <a:noFill/>
                                <a:ln>
                                  <a:noFill/>
                                </a:ln>
                              </wps:spPr>
                              <wps:txbx>
                                <w:txbxContent>
                                  <w:p w14:paraId="640142BA">
                                    <w:pPr>
                                      <w:jc w:val="center"/>
                                      <w:rPr>
                                        <w:rFonts w:eastAsia="黑体"/>
                                        <w:sz w:val="18"/>
                                        <w:szCs w:val="18"/>
                                      </w:rPr>
                                    </w:pPr>
                                    <w:r>
                                      <w:rPr>
                                        <w:rFonts w:hAnsi="黑体" w:eastAsia="黑体"/>
                                        <w:sz w:val="18"/>
                                        <w:szCs w:val="18"/>
                                      </w:rPr>
                                      <w:t>成品烧结砖</w:t>
                                    </w:r>
                                  </w:p>
                                </w:txbxContent>
                              </wps:txbx>
                              <wps:bodyPr wrap="square" anchor="ctr" anchorCtr="0" upright="1"/>
                            </wps:wsp>
                            <wps:wsp>
                              <wps:cNvPr id="140" name="自选图形 937"/>
                              <wps:cNvCnPr/>
                              <wps:spPr>
                                <a:xfrm>
                                  <a:off x="3460115" y="7296102"/>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41" name="Rectangle 3227"/>
                              <wps:cNvSpPr/>
                              <wps:spPr>
                                <a:xfrm>
                                  <a:off x="4018280" y="6627393"/>
                                  <a:ext cx="1086485" cy="290853"/>
                                </a:xfrm>
                                <a:prstGeom prst="rect">
                                  <a:avLst/>
                                </a:prstGeom>
                                <a:noFill/>
                                <a:ln>
                                  <a:noFill/>
                                </a:ln>
                              </wps:spPr>
                              <wps:txbx>
                                <w:txbxContent>
                                  <w:p w14:paraId="77DAC13B">
                                    <w:pPr>
                                      <w:jc w:val="center"/>
                                      <w:rPr>
                                        <w:rFonts w:eastAsia="黑体"/>
                                        <w:sz w:val="18"/>
                                        <w:szCs w:val="18"/>
                                      </w:rPr>
                                    </w:pPr>
                                    <w:r>
                                      <w:rPr>
                                        <w:rFonts w:eastAsia="黑体"/>
                                        <w:sz w:val="18"/>
                                        <w:szCs w:val="18"/>
                                      </w:rPr>
                                      <w:t>G</w:t>
                                    </w:r>
                                    <w:r>
                                      <w:rPr>
                                        <w:rFonts w:hint="eastAsia" w:eastAsia="黑体"/>
                                        <w:sz w:val="18"/>
                                        <w:szCs w:val="18"/>
                                        <w:vertAlign w:val="subscript"/>
                                      </w:rPr>
                                      <w:t>5</w:t>
                                    </w:r>
                                    <w:r>
                                      <w:rPr>
                                        <w:rFonts w:hAnsi="黑体" w:eastAsia="黑体"/>
                                        <w:sz w:val="18"/>
                                        <w:szCs w:val="18"/>
                                      </w:rPr>
                                      <w:t>：干燥焙烧废气</w:t>
                                    </w:r>
                                  </w:p>
                                </w:txbxContent>
                              </wps:txbx>
                              <wps:bodyPr wrap="square" anchor="ctr" anchorCtr="0" upright="1"/>
                            </wps:wsp>
                            <wps:wsp>
                              <wps:cNvPr id="142" name="Freeform 7175"/>
                              <wps:cNvSpPr/>
                              <wps:spPr>
                                <a:xfrm rot="-155643">
                                  <a:off x="3689350" y="6753769"/>
                                  <a:ext cx="318135" cy="205122"/>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43" name="AutoShape 3230"/>
                              <wps:cNvCnPr/>
                              <wps:spPr>
                                <a:xfrm>
                                  <a:off x="3996690" y="6467996"/>
                                  <a:ext cx="306705"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44" name="Rectangle 3212"/>
                              <wps:cNvSpPr/>
                              <wps:spPr>
                                <a:xfrm>
                                  <a:off x="4303395" y="6309868"/>
                                  <a:ext cx="943610" cy="239414"/>
                                </a:xfrm>
                                <a:prstGeom prst="rect">
                                  <a:avLst/>
                                </a:prstGeom>
                                <a:noFill/>
                                <a:ln>
                                  <a:noFill/>
                                </a:ln>
                              </wps:spPr>
                              <wps:txbx>
                                <w:txbxContent>
                                  <w:p w14:paraId="204378C7">
                                    <w:pPr>
                                      <w:jc w:val="center"/>
                                      <w:rPr>
                                        <w:rFonts w:eastAsia="黑体"/>
                                        <w:sz w:val="18"/>
                                        <w:szCs w:val="18"/>
                                      </w:rPr>
                                    </w:pPr>
                                    <w:r>
                                      <w:rPr>
                                        <w:rFonts w:eastAsia="黑体"/>
                                        <w:sz w:val="18"/>
                                        <w:szCs w:val="18"/>
                                      </w:rPr>
                                      <w:t>S</w:t>
                                    </w:r>
                                    <w:r>
                                      <w:rPr>
                                        <w:rFonts w:eastAsia="黑体"/>
                                        <w:sz w:val="18"/>
                                        <w:szCs w:val="18"/>
                                        <w:vertAlign w:val="subscript"/>
                                      </w:rPr>
                                      <w:t>2</w:t>
                                    </w:r>
                                    <w:r>
                                      <w:rPr>
                                        <w:rFonts w:eastAsia="黑体"/>
                                        <w:sz w:val="18"/>
                                        <w:szCs w:val="18"/>
                                      </w:rPr>
                                      <w:t>:</w:t>
                                    </w:r>
                                    <w:r>
                                      <w:rPr>
                                        <w:rFonts w:hAnsi="黑体" w:eastAsia="黑体"/>
                                        <w:sz w:val="18"/>
                                        <w:szCs w:val="18"/>
                                      </w:rPr>
                                      <w:t>不合格产品</w:t>
                                    </w:r>
                                  </w:p>
                                </w:txbxContent>
                              </wps:txbx>
                              <wps:bodyPr wrap="square" anchor="ctr" anchorCtr="0" upright="1">
                                <a:spAutoFit/>
                              </wps:bodyPr>
                            </wps:wsp>
                            <wps:wsp>
                              <wps:cNvPr id="145" name="矩形 942"/>
                              <wps:cNvSpPr/>
                              <wps:spPr>
                                <a:xfrm>
                                  <a:off x="2926715" y="3647099"/>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9D3A9C">
                                    <w:pPr>
                                      <w:jc w:val="center"/>
                                      <w:rPr>
                                        <w:rFonts w:hint="eastAsia" w:eastAsia="黑体"/>
                                        <w:sz w:val="18"/>
                                        <w:szCs w:val="18"/>
                                      </w:rPr>
                                    </w:pPr>
                                    <w:r>
                                      <w:rPr>
                                        <w:rFonts w:hint="eastAsia" w:hAnsi="黑体" w:eastAsia="黑体"/>
                                        <w:sz w:val="18"/>
                                        <w:szCs w:val="18"/>
                                      </w:rPr>
                                      <w:t>对辊</w:t>
                                    </w:r>
                                  </w:p>
                                </w:txbxContent>
                              </wps:txbx>
                              <wps:bodyPr wrap="square" anchor="ctr" anchorCtr="0" upright="1"/>
                            </wps:wsp>
                            <wps:wsp>
                              <wps:cNvPr id="146" name="自选图形 943"/>
                              <wps:cNvCnPr/>
                              <wps:spPr>
                                <a:xfrm rot="-10800000" flipH="1">
                                  <a:off x="476885" y="2466538"/>
                                  <a:ext cx="635" cy="676964"/>
                                </a:xfrm>
                                <a:prstGeom prst="bentConnector3">
                                  <a:avLst>
                                    <a:gd name="adj1" fmla="val -36000000"/>
                                  </a:avLst>
                                </a:prstGeom>
                                <a:ln w="9525" cap="flat" cmpd="sng">
                                  <a:solidFill>
                                    <a:srgbClr val="000000"/>
                                  </a:solidFill>
                                  <a:prstDash val="solid"/>
                                  <a:miter/>
                                  <a:headEnd type="none" w="med" len="med"/>
                                  <a:tailEnd type="triangle" w="sm" len="med"/>
                                </a:ln>
                              </wps:spPr>
                              <wps:bodyPr wrap="square" upright="1"/>
                            </wps:wsp>
                            <wps:wsp>
                              <wps:cNvPr id="147" name="自选图形 944"/>
                              <wps:cNvCnPr/>
                              <wps:spPr>
                                <a:xfrm>
                                  <a:off x="3459480" y="3945573"/>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48" name="自选图形 945"/>
                              <wps:cNvCnPr/>
                              <wps:spPr>
                                <a:xfrm>
                                  <a:off x="3458845" y="1278358"/>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49" name="矩形 946"/>
                              <wps:cNvSpPr/>
                              <wps:spPr>
                                <a:xfrm>
                                  <a:off x="2925445" y="1652403"/>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3E21A3">
                                    <w:pPr>
                                      <w:jc w:val="center"/>
                                      <w:rPr>
                                        <w:rFonts w:eastAsia="黑体"/>
                                        <w:sz w:val="18"/>
                                        <w:szCs w:val="18"/>
                                      </w:rPr>
                                    </w:pPr>
                                    <w:r>
                                      <w:rPr>
                                        <w:rFonts w:hint="eastAsia" w:hAnsi="黑体" w:eastAsia="黑体"/>
                                        <w:sz w:val="18"/>
                                        <w:szCs w:val="18"/>
                                      </w:rPr>
                                      <w:t>上料</w:t>
                                    </w:r>
                                  </w:p>
                                </w:txbxContent>
                              </wps:txbx>
                              <wps:bodyPr wrap="square" anchor="ctr" anchorCtr="0" upright="1"/>
                            </wps:wsp>
                            <wps:wsp>
                              <wps:cNvPr id="150" name="AutoShape 3230"/>
                              <wps:cNvCnPr/>
                              <wps:spPr>
                                <a:xfrm>
                                  <a:off x="1548130" y="2469079"/>
                                  <a:ext cx="306705"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51" name="Rectangle 3212"/>
                              <wps:cNvSpPr/>
                              <wps:spPr>
                                <a:xfrm>
                                  <a:off x="1854835" y="2310951"/>
                                  <a:ext cx="943610" cy="239414"/>
                                </a:xfrm>
                                <a:prstGeom prst="rect">
                                  <a:avLst/>
                                </a:prstGeom>
                                <a:noFill/>
                                <a:ln>
                                  <a:noFill/>
                                </a:ln>
                              </wps:spPr>
                              <wps:txbx>
                                <w:txbxContent>
                                  <w:p w14:paraId="67447808">
                                    <w:pPr>
                                      <w:jc w:val="center"/>
                                      <w:rPr>
                                        <w:rFonts w:eastAsia="黑体"/>
                                        <w:sz w:val="18"/>
                                        <w:szCs w:val="18"/>
                                      </w:rPr>
                                    </w:pPr>
                                    <w:r>
                                      <w:rPr>
                                        <w:rFonts w:eastAsia="黑体"/>
                                        <w:sz w:val="18"/>
                                        <w:szCs w:val="18"/>
                                      </w:rPr>
                                      <w:t>S</w:t>
                                    </w:r>
                                    <w:r>
                                      <w:rPr>
                                        <w:rFonts w:eastAsia="黑体"/>
                                        <w:sz w:val="18"/>
                                        <w:szCs w:val="18"/>
                                        <w:vertAlign w:val="subscript"/>
                                      </w:rPr>
                                      <w:t>1</w:t>
                                    </w:r>
                                    <w:r>
                                      <w:rPr>
                                        <w:rFonts w:eastAsia="黑体"/>
                                        <w:sz w:val="18"/>
                                        <w:szCs w:val="18"/>
                                      </w:rPr>
                                      <w:t>:</w:t>
                                    </w:r>
                                    <w:r>
                                      <w:rPr>
                                        <w:rFonts w:hAnsi="黑体" w:eastAsia="黑体"/>
                                        <w:sz w:val="18"/>
                                        <w:szCs w:val="18"/>
                                      </w:rPr>
                                      <w:t>磁选废物</w:t>
                                    </w:r>
                                  </w:p>
                                </w:txbxContent>
                              </wps:txbx>
                              <wps:bodyPr wrap="square" anchor="ctr" anchorCtr="0" upright="1">
                                <a:spAutoFit/>
                              </wps:bodyPr>
                            </wps:wsp>
                            <wps:wsp>
                              <wps:cNvPr id="152" name="自选图形 949"/>
                              <wps:cNvCnPr/>
                              <wps:spPr>
                                <a:xfrm>
                                  <a:off x="3458210" y="1959133"/>
                                  <a:ext cx="635" cy="1044024"/>
                                </a:xfrm>
                                <a:prstGeom prst="straightConnector1">
                                  <a:avLst/>
                                </a:prstGeom>
                                <a:ln w="9525" cap="flat" cmpd="sng">
                                  <a:solidFill>
                                    <a:srgbClr val="000000"/>
                                  </a:solidFill>
                                  <a:prstDash val="solid"/>
                                  <a:headEnd type="none" w="med" len="med"/>
                                  <a:tailEnd type="triangle" w="sm" len="med"/>
                                </a:ln>
                              </wps:spPr>
                              <wps:bodyPr wrap="square" upright="1"/>
                            </wps:wsp>
                            <wps:wsp>
                              <wps:cNvPr id="153" name="自选图形 950"/>
                              <wps:cNvCnPr/>
                              <wps:spPr>
                                <a:xfrm>
                                  <a:off x="1010285" y="1251051"/>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54" name="矩形 951"/>
                              <wps:cNvSpPr/>
                              <wps:spPr>
                                <a:xfrm>
                                  <a:off x="476885" y="1625096"/>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6C08ED">
                                    <w:pPr>
                                      <w:jc w:val="center"/>
                                      <w:rPr>
                                        <w:rFonts w:eastAsia="黑体"/>
                                        <w:sz w:val="18"/>
                                        <w:szCs w:val="18"/>
                                      </w:rPr>
                                    </w:pPr>
                                    <w:r>
                                      <w:rPr>
                                        <w:rFonts w:hint="eastAsia" w:hAnsi="黑体" w:eastAsia="黑体"/>
                                        <w:sz w:val="18"/>
                                        <w:szCs w:val="18"/>
                                      </w:rPr>
                                      <w:t>上料</w:t>
                                    </w:r>
                                  </w:p>
                                </w:txbxContent>
                              </wps:txbx>
                              <wps:bodyPr wrap="square" anchor="ctr" anchorCtr="0" upright="1"/>
                            </wps:wsp>
                            <wps:wsp>
                              <wps:cNvPr id="155" name="矩形 952"/>
                              <wps:cNvSpPr/>
                              <wps:spPr>
                                <a:xfrm>
                                  <a:off x="2924175" y="2992996"/>
                                  <a:ext cx="1071245" cy="3118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AAFE31">
                                    <w:pPr>
                                      <w:jc w:val="center"/>
                                      <w:rPr>
                                        <w:rFonts w:hint="eastAsia" w:eastAsia="黑体"/>
                                        <w:sz w:val="18"/>
                                        <w:szCs w:val="18"/>
                                      </w:rPr>
                                    </w:pPr>
                                    <w:r>
                                      <w:rPr>
                                        <w:rFonts w:hint="eastAsia" w:hAnsi="黑体" w:eastAsia="黑体"/>
                                        <w:sz w:val="18"/>
                                        <w:szCs w:val="18"/>
                                      </w:rPr>
                                      <w:t>搅拌</w:t>
                                    </w:r>
                                  </w:p>
                                </w:txbxContent>
                              </wps:txbx>
                              <wps:bodyPr wrap="square" anchor="ctr" anchorCtr="0" upright="1"/>
                            </wps:wsp>
                            <wps:wsp>
                              <wps:cNvPr id="156" name="自选图形 953"/>
                              <wps:cNvCnPr/>
                              <wps:spPr>
                                <a:xfrm>
                                  <a:off x="3456940" y="3299726"/>
                                  <a:ext cx="635" cy="361979"/>
                                </a:xfrm>
                                <a:prstGeom prst="straightConnector1">
                                  <a:avLst/>
                                </a:prstGeom>
                                <a:ln w="9525" cap="flat" cmpd="sng">
                                  <a:solidFill>
                                    <a:srgbClr val="000000"/>
                                  </a:solidFill>
                                  <a:prstDash val="solid"/>
                                  <a:headEnd type="none" w="med" len="med"/>
                                  <a:tailEnd type="triangle" w="sm" len="med"/>
                                </a:ln>
                              </wps:spPr>
                              <wps:bodyPr wrap="square" upright="1"/>
                            </wps:wsp>
                            <wps:wsp>
                              <wps:cNvPr id="157" name="Rectangle 3227"/>
                              <wps:cNvSpPr/>
                              <wps:spPr>
                                <a:xfrm>
                                  <a:off x="1513205" y="1251051"/>
                                  <a:ext cx="868680" cy="290853"/>
                                </a:xfrm>
                                <a:prstGeom prst="rect">
                                  <a:avLst/>
                                </a:prstGeom>
                                <a:noFill/>
                                <a:ln>
                                  <a:noFill/>
                                </a:ln>
                              </wps:spPr>
                              <wps:txbx>
                                <w:txbxContent>
                                  <w:p w14:paraId="2D83C192">
                                    <w:pPr>
                                      <w:jc w:val="center"/>
                                      <w:rPr>
                                        <w:rFonts w:eastAsia="黑体"/>
                                        <w:sz w:val="18"/>
                                        <w:szCs w:val="18"/>
                                      </w:rPr>
                                    </w:pPr>
                                    <w:r>
                                      <w:rPr>
                                        <w:rFonts w:eastAsia="黑体"/>
                                        <w:sz w:val="18"/>
                                        <w:szCs w:val="18"/>
                                      </w:rPr>
                                      <w:t>G</w:t>
                                    </w:r>
                                    <w:r>
                                      <w:rPr>
                                        <w:rFonts w:hint="eastAsia" w:eastAsia="黑体"/>
                                        <w:sz w:val="18"/>
                                        <w:szCs w:val="18"/>
                                        <w:vertAlign w:val="subscript"/>
                                      </w:rPr>
                                      <w:t>2</w:t>
                                    </w:r>
                                    <w:r>
                                      <w:rPr>
                                        <w:rFonts w:hAnsi="黑体" w:eastAsia="黑体"/>
                                        <w:sz w:val="18"/>
                                        <w:szCs w:val="18"/>
                                      </w:rPr>
                                      <w:t>：</w:t>
                                    </w:r>
                                    <w:r>
                                      <w:rPr>
                                        <w:rFonts w:hint="eastAsia" w:hAnsi="黑体" w:eastAsia="黑体"/>
                                        <w:sz w:val="18"/>
                                        <w:szCs w:val="18"/>
                                      </w:rPr>
                                      <w:t>上料</w:t>
                                    </w:r>
                                    <w:r>
                                      <w:rPr>
                                        <w:rFonts w:hAnsi="黑体" w:eastAsia="黑体"/>
                                        <w:sz w:val="18"/>
                                        <w:szCs w:val="18"/>
                                      </w:rPr>
                                      <w:t>粉尘</w:t>
                                    </w:r>
                                  </w:p>
                                </w:txbxContent>
                              </wps:txbx>
                              <wps:bodyPr wrap="square" anchor="ctr" anchorCtr="0" upright="1"/>
                            </wps:wsp>
                            <wps:wsp>
                              <wps:cNvPr id="158" name="Freeform 7175"/>
                              <wps:cNvSpPr/>
                              <wps:spPr>
                                <a:xfrm rot="-155643">
                                  <a:off x="1184275" y="1377426"/>
                                  <a:ext cx="318135" cy="204486"/>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59" name="Rectangle 3227"/>
                              <wps:cNvSpPr/>
                              <wps:spPr>
                                <a:xfrm>
                                  <a:off x="3950970" y="1294234"/>
                                  <a:ext cx="868680" cy="290853"/>
                                </a:xfrm>
                                <a:prstGeom prst="rect">
                                  <a:avLst/>
                                </a:prstGeom>
                                <a:noFill/>
                                <a:ln>
                                  <a:noFill/>
                                </a:ln>
                              </wps:spPr>
                              <wps:txbx>
                                <w:txbxContent>
                                  <w:p w14:paraId="5E30CB72">
                                    <w:pPr>
                                      <w:jc w:val="center"/>
                                      <w:rPr>
                                        <w:rFonts w:eastAsia="黑体"/>
                                        <w:sz w:val="18"/>
                                        <w:szCs w:val="18"/>
                                      </w:rPr>
                                    </w:pPr>
                                    <w:r>
                                      <w:rPr>
                                        <w:rFonts w:eastAsia="黑体"/>
                                        <w:sz w:val="18"/>
                                        <w:szCs w:val="18"/>
                                      </w:rPr>
                                      <w:t>G</w:t>
                                    </w:r>
                                    <w:r>
                                      <w:rPr>
                                        <w:rFonts w:hint="eastAsia" w:eastAsia="黑体"/>
                                        <w:sz w:val="18"/>
                                        <w:szCs w:val="18"/>
                                        <w:vertAlign w:val="subscript"/>
                                      </w:rPr>
                                      <w:t>2</w:t>
                                    </w:r>
                                    <w:r>
                                      <w:rPr>
                                        <w:rFonts w:hAnsi="黑体" w:eastAsia="黑体"/>
                                        <w:sz w:val="18"/>
                                        <w:szCs w:val="18"/>
                                      </w:rPr>
                                      <w:t>：</w:t>
                                    </w:r>
                                    <w:r>
                                      <w:rPr>
                                        <w:rFonts w:hint="eastAsia" w:hAnsi="黑体" w:eastAsia="黑体"/>
                                        <w:sz w:val="18"/>
                                        <w:szCs w:val="18"/>
                                      </w:rPr>
                                      <w:t>上料</w:t>
                                    </w:r>
                                    <w:r>
                                      <w:rPr>
                                        <w:rFonts w:hAnsi="黑体" w:eastAsia="黑体"/>
                                        <w:sz w:val="18"/>
                                        <w:szCs w:val="18"/>
                                      </w:rPr>
                                      <w:t>粉尘</w:t>
                                    </w:r>
                                  </w:p>
                                </w:txbxContent>
                              </wps:txbx>
                              <wps:bodyPr wrap="square" anchor="ctr" anchorCtr="0" upright="1"/>
                            </wps:wsp>
                            <wps:wsp>
                              <wps:cNvPr id="160" name="Freeform 7175"/>
                              <wps:cNvSpPr/>
                              <wps:spPr>
                                <a:xfrm rot="-155643">
                                  <a:off x="3622040" y="1420609"/>
                                  <a:ext cx="318135" cy="204486"/>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61" name="矩形 960"/>
                              <wps:cNvSpPr/>
                              <wps:spPr>
                                <a:xfrm>
                                  <a:off x="1779270" y="3131437"/>
                                  <a:ext cx="751205" cy="311175"/>
                                </a:xfrm>
                                <a:prstGeom prst="rect">
                                  <a:avLst/>
                                </a:prstGeom>
                                <a:noFill/>
                                <a:ln>
                                  <a:noFill/>
                                </a:ln>
                              </wps:spPr>
                              <wps:txbx>
                                <w:txbxContent>
                                  <w:p w14:paraId="5407BAAA">
                                    <w:pPr>
                                      <w:jc w:val="center"/>
                                      <w:rPr>
                                        <w:rFonts w:eastAsia="黑体"/>
                                        <w:sz w:val="18"/>
                                        <w:szCs w:val="18"/>
                                      </w:rPr>
                                    </w:pPr>
                                    <w:r>
                                      <w:rPr>
                                        <w:rFonts w:hint="eastAsia" w:hAnsi="黑体" w:eastAsia="黑体"/>
                                        <w:sz w:val="18"/>
                                        <w:szCs w:val="18"/>
                                      </w:rPr>
                                      <w:t>新鲜水</w:t>
                                    </w:r>
                                  </w:p>
                                </w:txbxContent>
                              </wps:txbx>
                              <wps:bodyPr wrap="square" anchor="ctr" anchorCtr="0" upright="1"/>
                            </wps:wsp>
                            <wps:wsp>
                              <wps:cNvPr id="162" name="自选图形 961"/>
                              <wps:cNvCnPr/>
                              <wps:spPr>
                                <a:xfrm>
                                  <a:off x="2436495" y="3226695"/>
                                  <a:ext cx="48133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63" name="矩形 962"/>
                              <wps:cNvSpPr/>
                              <wps:spPr>
                                <a:xfrm>
                                  <a:off x="1727200" y="4978166"/>
                                  <a:ext cx="1071245" cy="311810"/>
                                </a:xfrm>
                                <a:prstGeom prst="rect">
                                  <a:avLst/>
                                </a:prstGeom>
                                <a:noFill/>
                                <a:ln>
                                  <a:noFill/>
                                </a:ln>
                              </wps:spPr>
                              <wps:txbx>
                                <w:txbxContent>
                                  <w:p w14:paraId="7C8D5C10">
                                    <w:pPr>
                                      <w:jc w:val="center"/>
                                      <w:rPr>
                                        <w:rFonts w:eastAsia="黑体"/>
                                        <w:sz w:val="18"/>
                                        <w:szCs w:val="18"/>
                                      </w:rPr>
                                    </w:pPr>
                                    <w:r>
                                      <w:rPr>
                                        <w:rFonts w:hint="eastAsia" w:hAnsi="黑体" w:eastAsia="黑体"/>
                                        <w:sz w:val="18"/>
                                        <w:szCs w:val="18"/>
                                      </w:rPr>
                                      <w:t>新鲜水</w:t>
                                    </w:r>
                                  </w:p>
                                </w:txbxContent>
                              </wps:txbx>
                              <wps:bodyPr wrap="square" anchor="ctr" anchorCtr="0" upright="1"/>
                            </wps:wsp>
                            <wps:wsp>
                              <wps:cNvPr id="164" name="自选图形 963"/>
                              <wps:cNvCnPr/>
                              <wps:spPr>
                                <a:xfrm>
                                  <a:off x="2434590" y="5134388"/>
                                  <a:ext cx="48133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65" name="矩形 2883"/>
                              <wps:cNvSpPr/>
                              <wps:spPr>
                                <a:xfrm>
                                  <a:off x="1727200" y="6958890"/>
                                  <a:ext cx="1071245" cy="311810"/>
                                </a:xfrm>
                                <a:prstGeom prst="rect">
                                  <a:avLst/>
                                </a:prstGeom>
                                <a:noFill/>
                                <a:ln>
                                  <a:noFill/>
                                </a:ln>
                              </wps:spPr>
                              <wps:txbx>
                                <w:txbxContent>
                                  <w:p w14:paraId="772FCC32">
                                    <w:pPr>
                                      <w:jc w:val="center"/>
                                      <w:rPr>
                                        <w:rFonts w:eastAsia="黑体"/>
                                        <w:sz w:val="18"/>
                                        <w:szCs w:val="18"/>
                                      </w:rPr>
                                    </w:pPr>
                                    <w:r>
                                      <w:rPr>
                                        <w:rFonts w:hint="eastAsia" w:hAnsi="黑体" w:eastAsia="黑体"/>
                                        <w:sz w:val="18"/>
                                        <w:szCs w:val="18"/>
                                      </w:rPr>
                                      <w:t>生物质颗粒</w:t>
                                    </w:r>
                                  </w:p>
                                </w:txbxContent>
                              </wps:txbx>
                              <wps:bodyPr wrap="square" anchor="ctr" anchorCtr="0" upright="1"/>
                            </wps:wsp>
                            <wps:wsp>
                              <wps:cNvPr id="166" name="自选图形 2884"/>
                              <wps:cNvCnPr/>
                              <wps:spPr>
                                <a:xfrm>
                                  <a:off x="2434590" y="7115113"/>
                                  <a:ext cx="481330" cy="635"/>
                                </a:xfrm>
                                <a:prstGeom prst="straightConnector1">
                                  <a:avLst/>
                                </a:prstGeom>
                                <a:ln w="9525" cap="flat" cmpd="sng">
                                  <a:solidFill>
                                    <a:srgbClr val="000000"/>
                                  </a:solidFill>
                                  <a:prstDash val="solid"/>
                                  <a:headEnd type="none" w="med" len="med"/>
                                  <a:tailEnd type="triangle" w="sm" len="med"/>
                                </a:ln>
                              </wps:spPr>
                              <wps:bodyPr wrap="square" upright="1"/>
                            </wps:wsp>
                            <wps:wsp>
                              <wps:cNvPr id="167" name="矩形 966"/>
                              <wps:cNvSpPr/>
                              <wps:spPr>
                                <a:xfrm>
                                  <a:off x="2910205" y="2294440"/>
                                  <a:ext cx="1066800" cy="304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9B6939">
                                    <w:pPr>
                                      <w:jc w:val="center"/>
                                      <w:rPr>
                                        <w:rFonts w:hint="eastAsia" w:eastAsia="黑体"/>
                                        <w:sz w:val="18"/>
                                        <w:szCs w:val="18"/>
                                      </w:rPr>
                                    </w:pPr>
                                    <w:r>
                                      <w:rPr>
                                        <w:rFonts w:hAnsi="黑体" w:eastAsia="黑体"/>
                                        <w:sz w:val="18"/>
                                        <w:szCs w:val="18"/>
                                      </w:rPr>
                                      <w:t>破碎</w:t>
                                    </w:r>
                                  </w:p>
                                </w:txbxContent>
                              </wps:txbx>
                              <wps:bodyPr wrap="square" anchor="ctr" anchorCtr="0" upright="1"/>
                            </wps:wsp>
                            <wps:wsp>
                              <wps:cNvPr id="168" name="Freeform 7175"/>
                              <wps:cNvSpPr/>
                              <wps:spPr>
                                <a:xfrm rot="-155643">
                                  <a:off x="3627755" y="2065821"/>
                                  <a:ext cx="317500" cy="203216"/>
                                </a:xfrm>
                                <a:custGeom>
                                  <a:avLst/>
                                  <a:gdLst/>
                                  <a:ahLst/>
                                  <a:cxnLst>
                                    <a:cxn ang="0">
                                      <a:pos x="0" y="130246731"/>
                                    </a:cxn>
                                    <a:cxn ang="0">
                                      <a:pos x="74801044" y="28580990"/>
                                    </a:cxn>
                                    <a:cxn ang="0">
                                      <a:pos x="116001386" y="97990961"/>
                                    </a:cxn>
                                    <a:cxn ang="0">
                                      <a:pos x="200002826" y="0"/>
                                    </a:cxn>
                                  </a:cxnLst>
                                  <a:pathLst>
                                    <a:path w="500" h="319">
                                      <a:moveTo>
                                        <a:pt x="0" y="319"/>
                                      </a:moveTo>
                                      <a:cubicBezTo>
                                        <a:pt x="69" y="201"/>
                                        <a:pt x="139" y="83"/>
                                        <a:pt x="187" y="70"/>
                                      </a:cubicBezTo>
                                      <a:cubicBezTo>
                                        <a:pt x="235" y="57"/>
                                        <a:pt x="238" y="252"/>
                                        <a:pt x="290" y="240"/>
                                      </a:cubicBezTo>
                                      <a:cubicBezTo>
                                        <a:pt x="342" y="228"/>
                                        <a:pt x="421" y="114"/>
                                        <a:pt x="500" y="0"/>
                                      </a:cubicBezTo>
                                    </a:path>
                                  </a:pathLst>
                                </a:custGeom>
                                <a:noFill/>
                                <a:ln w="9525" cap="flat" cmpd="sng">
                                  <a:solidFill>
                                    <a:srgbClr val="000000"/>
                                  </a:solidFill>
                                  <a:prstDash val="dash"/>
                                  <a:headEnd type="none" w="med" len="med"/>
                                  <a:tailEnd type="triangle" w="sm" len="sm"/>
                                </a:ln>
                              </wps:spPr>
                              <wps:bodyPr vert="horz" wrap="square" anchor="t" anchorCtr="0" upright="1"/>
                            </wps:wsp>
                            <wps:wsp>
                              <wps:cNvPr id="169" name="Rectangle 3227"/>
                              <wps:cNvSpPr/>
                              <wps:spPr>
                                <a:xfrm>
                                  <a:off x="3989705" y="1951512"/>
                                  <a:ext cx="863600" cy="279422"/>
                                </a:xfrm>
                                <a:prstGeom prst="rect">
                                  <a:avLst/>
                                </a:prstGeom>
                                <a:noFill/>
                                <a:ln>
                                  <a:noFill/>
                                </a:ln>
                              </wps:spPr>
                              <wps:txbx>
                                <w:txbxContent>
                                  <w:p w14:paraId="6AA96303">
                                    <w:pPr>
                                      <w:jc w:val="center"/>
                                      <w:rPr>
                                        <w:rFonts w:eastAsia="黑体"/>
                                        <w:sz w:val="18"/>
                                        <w:szCs w:val="18"/>
                                      </w:rPr>
                                    </w:pPr>
                                    <w:r>
                                      <w:rPr>
                                        <w:rFonts w:eastAsia="黑体"/>
                                        <w:sz w:val="18"/>
                                        <w:szCs w:val="18"/>
                                      </w:rPr>
                                      <w:t>G</w:t>
                                    </w:r>
                                    <w:r>
                                      <w:rPr>
                                        <w:rFonts w:hint="eastAsia" w:eastAsia="黑体"/>
                                        <w:sz w:val="18"/>
                                        <w:szCs w:val="18"/>
                                        <w:vertAlign w:val="subscript"/>
                                      </w:rPr>
                                      <w:t>3</w:t>
                                    </w:r>
                                    <w:r>
                                      <w:rPr>
                                        <w:rFonts w:hAnsi="黑体" w:eastAsia="黑体"/>
                                        <w:sz w:val="18"/>
                                        <w:szCs w:val="18"/>
                                      </w:rPr>
                                      <w:t>：破碎粉尘</w:t>
                                    </w:r>
                                  </w:p>
                                </w:txbxContent>
                              </wps:txbx>
                              <wps:bodyPr wrap="square" anchor="ctr" anchorCtr="0" upright="1"/>
                            </wps:wsp>
                          </wpc:wpc>
                        </a:graphicData>
                      </a:graphic>
                    </wp:inline>
                  </w:drawing>
                </mc:Choice>
                <mc:Fallback>
                  <w:pict>
                    <v:group id="画布 906" o:spid="_x0000_s1026" o:spt="203" style="height:621.3pt;width:421.85pt;" coordsize="5357495,7890510" editas="canvas" o:gfxdata="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">
                      <o:lock v:ext="edit" aspectratio="f"/>
                      <v:shape id="画布 906" o:spid="_x0000_s1026" style="position:absolute;left:0;top:0;height:7890510;width:5357495;" filled="f" stroked="f" coordsize="21600,21600" o:gfxdata="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">
                        <v:fill on="f" focussize="0,0"/>
                        <v:stroke on="f"/>
                        <v:imagedata o:title=""/>
                        <o:lock v:ext="edit" aspectratio="t"/>
                      </v:shape>
                      <v:rect id="矩形 908" o:spid="_x0000_s1026" o:spt="1" style="position:absolute;left:476885;top:344833;height:311810;width:107124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8HfGPTAAAABgEAAA8AAAAAAAAAAQAgAAAAIgAAAGRycy9kb3ducmV2&#10;LnhtbFBLAQIUABQAAAAIAIdO4kC50GMgyAEAAHgDAAAOAAAAAAAAAAEAIAAAACIBAABkcnMvZTJv&#10;RG9jLnhtbFBLBQYAAAAABgAGAFkBAABcBQAAAAA=&#10;">
                        <v:fill on="f" focussize="0,0"/>
                        <v:stroke on="f"/>
                        <v:imagedata o:title=""/>
                        <o:lock v:ext="edit" aspectratio="f"/>
                        <v:textbox>
                          <w:txbxContent>
                            <w:p w14:paraId="3C176A97">
                              <w:pPr>
                                <w:jc w:val="center"/>
                                <w:rPr>
                                  <w:rFonts w:eastAsia="黑体"/>
                                  <w:sz w:val="18"/>
                                  <w:szCs w:val="18"/>
                                </w:rPr>
                              </w:pPr>
                              <w:r>
                                <w:rPr>
                                  <w:rFonts w:hAnsi="黑体" w:eastAsia="黑体"/>
                                  <w:sz w:val="18"/>
                                  <w:szCs w:val="18"/>
                                </w:rPr>
                                <w:t>外购煤矸石</w:t>
                              </w:r>
                            </w:p>
                          </w:txbxContent>
                        </v:textbox>
                      </v:rect>
                      <v:rect id="矩形 909" o:spid="_x0000_s1026" o:spt="1" style="position:absolute;left:476885;top:939241;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Ox5r1wAAAAYBAAAPAAAAAAAAAAEAIAAAACIAAABkcnMvZG93bnJldi54bWxQSwECFAAUAAAA&#10;CACHTuJAa9iG5CgCAABgBAAADgAAAAAAAAABACAAAAAmAQAAZHJzL2Uyb0RvYy54bWxQSwUGAAAA&#10;AAYABgBZAQAAwAUAAAAA&#10;">
                        <v:fill on="t" focussize="0,0"/>
                        <v:stroke color="#000000" joinstyle="miter"/>
                        <v:imagedata o:title=""/>
                        <o:lock v:ext="edit" aspectratio="f"/>
                        <v:textbox>
                          <w:txbxContent>
                            <w:p w14:paraId="63256E24">
                              <w:pPr>
                                <w:jc w:val="center"/>
                                <w:rPr>
                                  <w:rFonts w:eastAsia="黑体"/>
                                  <w:sz w:val="18"/>
                                  <w:szCs w:val="18"/>
                                </w:rPr>
                              </w:pPr>
                              <w:r>
                                <w:rPr>
                                  <w:rFonts w:hAnsi="黑体" w:eastAsia="黑体"/>
                                  <w:sz w:val="18"/>
                                  <w:szCs w:val="18"/>
                                </w:rPr>
                                <w:t>卸料</w:t>
                              </w:r>
                            </w:p>
                          </w:txbxContent>
                        </v:textbox>
                      </v:rect>
                      <v:shape id="自选图形 910" o:spid="_x0000_s1026" o:spt="32" type="#_x0000_t32" style="position:absolute;left:1012825;top:648387;height:289583;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pPemdcAAAAG&#10;AQAADwAAAAAAAAABACAAAAAiAAAAZHJzL2Rvd25yZXYueG1sUEsBAhQAFAAAAAgAh07iQHM7VUQd&#10;AgAAEAQAAA4AAAAAAAAAAQAgAAAAJgEAAGRycy9lMm9Eb2MueG1sUEsFBgAAAAAGAAYAWQEAALUF&#10;AAAAAA==&#10;">
                        <v:fill on="f" focussize="0,0"/>
                        <v:stroke color="#000000" joinstyle="round" endarrow="block" endarrowwidth="narrow"/>
                        <v:imagedata o:title=""/>
                        <o:lock v:ext="edit" aspectratio="f"/>
                      </v:shape>
                      <v:rect id="矩形 911" o:spid="_x0000_s1026" o:spt="1" style="position:absolute;left:476885;top:2310316;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JDsea9cAAAAGAQAADwAAAAAAAAABACAAAAAiAAAAZHJzL2Rvd25yZXYueG1sUEsBAhQAFAAA&#10;AAgAh07iQO7RlvkpAgAAYQQAAA4AAAAAAAAAAQAgAAAAJgEAAGRycy9lMm9Eb2MueG1sUEsFBgAA&#10;AAAGAAYAWQEAAMEFAAAAAA==&#10;">
                        <v:fill on="t" focussize="0,0"/>
                        <v:stroke color="#000000" joinstyle="miter"/>
                        <v:imagedata o:title=""/>
                        <o:lock v:ext="edit" aspectratio="f"/>
                        <v:textbox>
                          <w:txbxContent>
                            <w:p w14:paraId="55261803">
                              <w:pPr>
                                <w:jc w:val="center"/>
                                <w:rPr>
                                  <w:rFonts w:eastAsia="黑体"/>
                                  <w:sz w:val="18"/>
                                  <w:szCs w:val="18"/>
                                </w:rPr>
                              </w:pPr>
                              <w:r>
                                <w:rPr>
                                  <w:rFonts w:hAnsi="黑体" w:eastAsia="黑体"/>
                                  <w:sz w:val="18"/>
                                  <w:szCs w:val="18"/>
                                </w:rPr>
                                <w:t>破碎</w:t>
                              </w:r>
                            </w:p>
                          </w:txbxContent>
                        </v:textbox>
                      </v:rect>
                      <v:shape id="自选图形 912" o:spid="_x0000_s1026" o:spt="32" type="#_x0000_t32" style="position:absolute;left:1012190;top:1945797;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KT3pnXAAAA&#10;BgEAAA8AAAAAAAAAAQAgAAAAIgAAAGRycy9kb3ducmV2LnhtbFBLAQIUABQAAAAIAIdO4kBPJ6FF&#10;HgIAABEEAAAOAAAAAAAAAAEAIAAAACYBAABkcnMvZTJvRG9jLnhtbFBLBQYAAAAABgAGAFkBAAC2&#10;BQAAAAA=&#10;">
                        <v:fill on="f" focussize="0,0"/>
                        <v:stroke color="#000000" joinstyle="round" endarrow="block" endarrowwidth="narrow"/>
                        <v:imagedata o:title=""/>
                        <o:lock v:ext="edit" aspectratio="f"/>
                      </v:shape>
                      <v:rect id="矩形 913" o:spid="_x0000_s1026" o:spt="1" style="position:absolute;left:476885;top:2987280;height:312445;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Q7&#10;HmvXAAAABgEAAA8AAAAAAAAAAQAgAAAAIgAAAGRycy9kb3ducmV2LnhtbFBLAQIUABQAAAAIAIdO&#10;4kAI7lw+JAIAAGEEAAAOAAAAAAAAAAEAIAAAACYBAABkcnMvZTJvRG9jLnhtbFBLBQYAAAAABgAG&#10;AFkBAAC8BQAAAAA=&#10;">
                        <v:fill on="t" focussize="0,0"/>
                        <v:stroke color="#000000" joinstyle="miter"/>
                        <v:imagedata o:title=""/>
                        <o:lock v:ext="edit" aspectratio="f"/>
                        <v:textbox>
                          <w:txbxContent>
                            <w:p w14:paraId="1FEC0C78">
                              <w:pPr>
                                <w:jc w:val="center"/>
                                <w:rPr>
                                  <w:rFonts w:eastAsia="黑体"/>
                                  <w:sz w:val="18"/>
                                  <w:szCs w:val="18"/>
                                </w:rPr>
                              </w:pPr>
                              <w:r>
                                <w:rPr>
                                  <w:rFonts w:hAnsi="黑体" w:eastAsia="黑体"/>
                                  <w:sz w:val="18"/>
                                  <w:szCs w:val="18"/>
                                </w:rPr>
                                <w:t>筛分</w:t>
                              </w:r>
                            </w:p>
                          </w:txbxContent>
                        </v:textbox>
                      </v:rect>
                      <v:shape id="自选图形 914" o:spid="_x0000_s1026" o:spt="32" type="#_x0000_t32" style="position:absolute;left:1012190;top:2631017;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Ck96Z1wAA&#10;AAYBAAAPAAAAAAAAAAEAIAAAACIAAABkcnMvZG93bnJldi54bWxQSwECFAAUAAAACACHTuJAti4S&#10;9x8CAAARBAAADgAAAAAAAAABACAAAAAmAQAAZHJzL2Uyb0RvYy54bWxQSwUGAAAAAAYABgBZAQAA&#10;twUAAAAA&#10;">
                        <v:fill on="f" focussize="0,0"/>
                        <v:stroke color="#000000" joinstyle="round" endarrow="block" endarrowwidth="narrow"/>
                        <v:imagedata o:title=""/>
                        <o:lock v:ext="edit" aspectratio="f"/>
                      </v:shape>
                      <v:rect id="Rectangle 3227" o:spid="_x0000_s1026" o:spt="1" style="position:absolute;left:1502410;top:607109;height:290853;width:868680;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8HfGPTAAAABgEAAA8AAAAAAAAAAQAgAAAAIgAAAGRycy9kb3ducmV2LnhtbFBLAQIU&#10;ABQAAAAIAIdO4kDArHg3vwEAAHwDAAAOAAAAAAAAAAEAIAAAACIBAABkcnMvZTJvRG9jLnhtbFBL&#10;BQYAAAAABgAGAFkBAABTBQAAAAA=&#10;">
                        <v:fill on="f" focussize="0,0"/>
                        <v:stroke on="f"/>
                        <v:imagedata o:title=""/>
                        <o:lock v:ext="edit" aspectratio="f"/>
                        <v:textbox>
                          <w:txbxContent>
                            <w:p w14:paraId="30A7D208">
                              <w:pPr>
                                <w:jc w:val="center"/>
                                <w:rPr>
                                  <w:rFonts w:eastAsia="黑体"/>
                                  <w:sz w:val="18"/>
                                  <w:szCs w:val="18"/>
                                </w:rPr>
                              </w:pPr>
                              <w:r>
                                <w:rPr>
                                  <w:rFonts w:eastAsia="黑体"/>
                                  <w:sz w:val="18"/>
                                  <w:szCs w:val="18"/>
                                </w:rPr>
                                <w:t>G</w:t>
                              </w:r>
                              <w:r>
                                <w:rPr>
                                  <w:rFonts w:eastAsia="黑体"/>
                                  <w:sz w:val="18"/>
                                  <w:szCs w:val="18"/>
                                  <w:vertAlign w:val="subscript"/>
                                </w:rPr>
                                <w:t>1</w:t>
                              </w:r>
                              <w:r>
                                <w:rPr>
                                  <w:rFonts w:hAnsi="黑体" w:eastAsia="黑体"/>
                                  <w:sz w:val="18"/>
                                  <w:szCs w:val="18"/>
                                </w:rPr>
                                <w:t>：卸料粉尘</w:t>
                              </w:r>
                            </w:p>
                          </w:txbxContent>
                        </v:textbox>
                      </v:rect>
                      <v:shape id="Freeform 7175" o:spid="_x0000_s1026" o:spt="100" style="position:absolute;left:1173480;top:733484;height:204486;width:318135;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DNQCBC1gAAAAYBAAAPAAAA&#10;AAAAAAEAIAAAACIAAABkcnMvZG93bnJldi54bWxQSwECFAAUAAAACACHTuJAhqLfH/sCAAC2BgAA&#10;DgAAAAAAAAABACAAAAAlAQAAZHJzL2Uyb0RvYy54bWxQSwUGAAAAAAYABgBZAQAAkg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3227" o:spid="_x0000_s1026" o:spt="1" style="position:absolute;left:1454150;top:1970564;height:291488;width:86931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fB3xj0wAAAAYBAAAPAAAAAAAAAAEAIAAAACIAAABkcnMvZG93bnJldi54bWxQSwEC&#10;FAAUAAAACACHTuJAWPPF/sABAAB9AwAADgAAAAAAAAABACAAAAAiAQAAZHJzL2Uyb0RvYy54bWxQ&#10;SwUGAAAAAAYABgBZAQAAVAUAAAAA&#10;">
                        <v:fill on="f" focussize="0,0"/>
                        <v:stroke on="f"/>
                        <v:imagedata o:title=""/>
                        <o:lock v:ext="edit" aspectratio="f"/>
                        <v:textbox>
                          <w:txbxContent>
                            <w:p w14:paraId="03BD90B6">
                              <w:pPr>
                                <w:jc w:val="center"/>
                                <w:rPr>
                                  <w:rFonts w:eastAsia="黑体"/>
                                  <w:sz w:val="18"/>
                                  <w:szCs w:val="18"/>
                                </w:rPr>
                              </w:pPr>
                              <w:r>
                                <w:rPr>
                                  <w:rFonts w:eastAsia="黑体"/>
                                  <w:sz w:val="18"/>
                                  <w:szCs w:val="18"/>
                                </w:rPr>
                                <w:t>G</w:t>
                              </w:r>
                              <w:r>
                                <w:rPr>
                                  <w:rFonts w:hint="eastAsia" w:eastAsia="黑体"/>
                                  <w:sz w:val="18"/>
                                  <w:szCs w:val="18"/>
                                  <w:vertAlign w:val="subscript"/>
                                </w:rPr>
                                <w:t>3</w:t>
                              </w:r>
                              <w:r>
                                <w:rPr>
                                  <w:rFonts w:hAnsi="黑体" w:eastAsia="黑体"/>
                                  <w:sz w:val="18"/>
                                  <w:szCs w:val="18"/>
                                </w:rPr>
                                <w:t>：破碎粉尘</w:t>
                              </w:r>
                            </w:p>
                          </w:txbxContent>
                        </v:textbox>
                      </v:rect>
                      <v:shape id="Freeform 7175" o:spid="_x0000_s1026" o:spt="100" style="position:absolute;left:1125855;top:2096939;height:205122;width:317500;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M1AIELWAAAABgEAAA8A&#10;AAAAAAAAAQAgAAAAIgAAAGRycy9kb3ducmV2LnhtbFBLAQIUABQAAAAIAIdO4kAqvW5m/QIAALcG&#10;AAAOAAAAAAAAAAEAIAAAACUBAABkcnMvZTJvRG9jLnhtbFBLBQYAAAAABgAGAFkBAACUBg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3227" o:spid="_x0000_s1026" o:spt="1" style="position:absolute;left:1465580;top:2647528;height:291488;width:868680;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8HfGPTAAAABgEAAA8AAAAAAAAAAQAgAAAAIgAAAGRycy9kb3ducmV2LnhtbFBLAQIU&#10;ABQAAAAIAIdO4kBnqV1DvwEAAH0DAAAOAAAAAAAAAAEAIAAAACIBAABkcnMvZTJvRG9jLnhtbFBL&#10;BQYAAAAABgAGAFkBAABTBQAAAAA=&#10;">
                        <v:fill on="f" focussize="0,0"/>
                        <v:stroke on="f"/>
                        <v:imagedata o:title=""/>
                        <o:lock v:ext="edit" aspectratio="f"/>
                        <v:textbox>
                          <w:txbxContent>
                            <w:p w14:paraId="34501C7D">
                              <w:pPr>
                                <w:jc w:val="center"/>
                                <w:rPr>
                                  <w:rFonts w:eastAsia="黑体"/>
                                  <w:sz w:val="18"/>
                                  <w:szCs w:val="18"/>
                                </w:rPr>
                              </w:pPr>
                              <w:r>
                                <w:rPr>
                                  <w:rFonts w:eastAsia="黑体"/>
                                  <w:sz w:val="18"/>
                                  <w:szCs w:val="18"/>
                                </w:rPr>
                                <w:t>G</w:t>
                              </w:r>
                              <w:r>
                                <w:rPr>
                                  <w:rFonts w:hint="eastAsia" w:eastAsia="黑体"/>
                                  <w:sz w:val="18"/>
                                  <w:szCs w:val="18"/>
                                  <w:vertAlign w:val="subscript"/>
                                </w:rPr>
                                <w:t>4</w:t>
                              </w:r>
                              <w:r>
                                <w:rPr>
                                  <w:rFonts w:hAnsi="黑体" w:eastAsia="黑体"/>
                                  <w:sz w:val="18"/>
                                  <w:szCs w:val="18"/>
                                </w:rPr>
                                <w:t>：筛分粉尘</w:t>
                              </w:r>
                            </w:p>
                          </w:txbxContent>
                        </v:textbox>
                      </v:rect>
                      <v:shape id="Freeform 7175" o:spid="_x0000_s1026" o:spt="100" style="position:absolute;left:1136650;top:2773903;height:205122;width:317500;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DNQCBC1gAAAAYBAAAPAAAA&#10;AAAAAAEAIAAAACIAAABkcnMvZG93bnJldi54bWxQSwECFAAUAAAACACHTuJAqOwvQvsCAAC3BgAA&#10;DgAAAAAAAAABACAAAAAlAQAAZHJzL2Uyb0RvYy54bWxQSwUGAAAAAAYABgBZAQAAkg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矩形 921" o:spid="_x0000_s1026" o:spt="1" style="position:absolute;left:2925445;top:374680;height:311810;width:107124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Hwd8Y9MAAAAGAQAADwAAAAAAAAABACAAAAAiAAAAZHJzL2Rvd25yZXYu&#10;eG1sUEsBAhQAFAAAAAgAh07iQAod/GnHAQAAeQMAAA4AAAAAAAAAAQAgAAAAIgEAAGRycy9lMm9E&#10;b2MueG1sUEsFBgAAAAAGAAYAWQEAAFsFAAAAAA==&#10;">
                        <v:fill on="f" focussize="0,0"/>
                        <v:stroke on="f"/>
                        <v:imagedata o:title=""/>
                        <o:lock v:ext="edit" aspectratio="f"/>
                        <v:textbox>
                          <w:txbxContent>
                            <w:p w14:paraId="5CBDB9AB">
                              <w:pPr>
                                <w:jc w:val="center"/>
                                <w:rPr>
                                  <w:rFonts w:eastAsia="黑体"/>
                                  <w:sz w:val="18"/>
                                  <w:szCs w:val="18"/>
                                </w:rPr>
                              </w:pPr>
                              <w:r>
                                <w:rPr>
                                  <w:rFonts w:hAnsi="黑体" w:eastAsia="黑体"/>
                                  <w:sz w:val="18"/>
                                  <w:szCs w:val="18"/>
                                </w:rPr>
                                <w:t>外购建筑</w:t>
                              </w:r>
                              <w:r>
                                <w:rPr>
                                  <w:rFonts w:hint="eastAsia" w:hAnsi="黑体" w:eastAsia="黑体"/>
                                  <w:sz w:val="18"/>
                                  <w:szCs w:val="18"/>
                                </w:rPr>
                                <w:t>渣</w:t>
                              </w:r>
                              <w:r>
                                <w:rPr>
                                  <w:rFonts w:hAnsi="黑体" w:eastAsia="黑体"/>
                                  <w:sz w:val="18"/>
                                  <w:szCs w:val="18"/>
                                </w:rPr>
                                <w:t>土</w:t>
                              </w:r>
                            </w:p>
                          </w:txbxContent>
                        </v:textbox>
                      </v:rect>
                      <v:rect id="矩形 922" o:spid="_x0000_s1026" o:spt="1" style="position:absolute;left:2925445;top:969088;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Q7HmvXAAAABgEAAA8AAAAAAAAAAQAgAAAAIgAAAGRycy9kb3ducmV2LnhtbFBLAQIUABQAAAAI&#10;AIdO4kDjcRBmJwIAAGEEAAAOAAAAAAAAAAEAIAAAACYBAABkcnMvZTJvRG9jLnhtbFBLBQYAAAAA&#10;BgAGAFkBAAC/BQAAAAA=&#10;">
                        <v:fill on="t" focussize="0,0"/>
                        <v:stroke color="#000000" joinstyle="miter"/>
                        <v:imagedata o:title=""/>
                        <o:lock v:ext="edit" aspectratio="f"/>
                        <v:textbox>
                          <w:txbxContent>
                            <w:p w14:paraId="6BEC0EC9">
                              <w:pPr>
                                <w:jc w:val="center"/>
                                <w:rPr>
                                  <w:rFonts w:eastAsia="黑体"/>
                                  <w:sz w:val="18"/>
                                  <w:szCs w:val="18"/>
                                </w:rPr>
                              </w:pPr>
                              <w:r>
                                <w:rPr>
                                  <w:rFonts w:hAnsi="黑体" w:eastAsia="黑体"/>
                                  <w:sz w:val="18"/>
                                  <w:szCs w:val="18"/>
                                </w:rPr>
                                <w:t>卸料</w:t>
                              </w:r>
                            </w:p>
                          </w:txbxContent>
                        </v:textbox>
                      </v:rect>
                      <v:shape id="自选图形 923" o:spid="_x0000_s1026" o:spt="32" type="#_x0000_t32" style="position:absolute;left:3479800;top:678235;height:289583;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AC&#10;3GasIQIAABAEAAAOAAAAAAAAAAEAIAAAACYBAABkcnMvZTJvRG9jLnhtbFBLBQYAAAAABgAGAFkB&#10;AAC5BQAAAAA=&#10;">
                        <v:fill on="f" focussize="0,0"/>
                        <v:stroke color="#000000" joinstyle="round" endarrow="block" endarrowwidth="narrow"/>
                        <v:imagedata o:title=""/>
                        <o:lock v:ext="edit" aspectratio="f"/>
                      </v:shape>
                      <v:rect id="Rectangle 3227" o:spid="_x0000_s1026" o:spt="1" style="position:absolute;left:3950970;top:636321;height:291488;width:868680;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wd8Y9MAAAAGAQAADwAAAAAAAAABACAAAAAiAAAAZHJzL2Rvd25yZXYueG1sUEsBAhQA&#10;FAAAAAgAh07iQERSZrm+AQAAfAMAAA4AAAAAAAAAAQAgAAAAIgEAAGRycy9lMm9Eb2MueG1sUEsF&#10;BgAAAAAGAAYAWQEAAFIFAAAAAA==&#10;">
                        <v:fill on="f" focussize="0,0"/>
                        <v:stroke on="f"/>
                        <v:imagedata o:title=""/>
                        <o:lock v:ext="edit" aspectratio="f"/>
                        <v:textbox>
                          <w:txbxContent>
                            <w:p w14:paraId="04547F6B">
                              <w:pPr>
                                <w:jc w:val="center"/>
                                <w:rPr>
                                  <w:rFonts w:eastAsia="黑体"/>
                                  <w:sz w:val="18"/>
                                  <w:szCs w:val="18"/>
                                </w:rPr>
                              </w:pPr>
                              <w:r>
                                <w:rPr>
                                  <w:rFonts w:eastAsia="黑体"/>
                                  <w:sz w:val="18"/>
                                  <w:szCs w:val="18"/>
                                </w:rPr>
                                <w:t>G</w:t>
                              </w:r>
                              <w:r>
                                <w:rPr>
                                  <w:rFonts w:eastAsia="黑体"/>
                                  <w:sz w:val="18"/>
                                  <w:szCs w:val="18"/>
                                  <w:vertAlign w:val="subscript"/>
                                </w:rPr>
                                <w:t>1</w:t>
                              </w:r>
                              <w:r>
                                <w:rPr>
                                  <w:rFonts w:hAnsi="黑体" w:eastAsia="黑体"/>
                                  <w:sz w:val="18"/>
                                  <w:szCs w:val="18"/>
                                </w:rPr>
                                <w:t>：卸料粉尘</w:t>
                              </w:r>
                            </w:p>
                          </w:txbxContent>
                        </v:textbox>
                      </v:rect>
                      <v:shape id="Freeform 7175" o:spid="_x0000_s1026" o:spt="100" style="position:absolute;left:3622040;top:763331;height:204486;width:318135;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M1AIELWAAAABgEA&#10;AA8AAAAAAAAAAQAgAAAAIgAAAGRycy9kb3ducmV2LnhtbFBLAQIUABQAAAAIAIdO4kCGH2QXAAMA&#10;ALYGAAAOAAAAAAAAAAEAIAAAACUBAABkcnMvZTJvRG9jLnhtbFBLBQYAAAAABgAGAFkBAACXBgAA&#10;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shape id="自选图形 926" o:spid="_x0000_s1026" o:spt="32" type="#_x0000_t32" style="position:absolute;left:1556385;top:3057136;flip:y;height:635;width:1367790;" filled="f" stroked="t" coordsize="21600,21600" o:gfxdata="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e2qDvXAAAABgEAAA8AAAAAAAAAAQAgAAAAIgAAAGRycy9kb3ducmV2LnhtbFBLAQIUABQAAAAI&#10;AIdO4kBX0ijXJwIAABwEAAAOAAAAAAAAAAEAIAAAACYBAABkcnMvZTJvRG9jLnhtbFBLBQYAAAAA&#10;BgAGAFkBAAC/BQAAAAA=&#10;">
                        <v:fill on="f" focussize="0,0"/>
                        <v:stroke color="#000000" joinstyle="round" endarrow="block" endarrowwidth="narrow"/>
                        <v:imagedata o:title=""/>
                        <o:lock v:ext="edit" aspectratio="f"/>
                      </v:shape>
                      <v:rect id="矩形 927" o:spid="_x0000_s1026" o:spt="1" style="position:absolute;left:2925445;top:4309457;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Q7HmvXAAAABgEAAA8AAAAAAAAAAQAgAAAAIgAAAGRycy9kb3ducmV2LnhtbFBLAQIUABQA&#10;AAAIAIdO4kBOQ7lZKgIAAGIEAAAOAAAAAAAAAAEAIAAAACYBAABkcnMvZTJvRG9jLnhtbFBLBQYA&#10;AAAABgAGAFkBAADCBQAAAAA=&#10;">
                        <v:fill on="t" focussize="0,0"/>
                        <v:stroke color="#000000" joinstyle="miter"/>
                        <v:imagedata o:title=""/>
                        <o:lock v:ext="edit" aspectratio="f"/>
                        <v:textbox>
                          <w:txbxContent>
                            <w:p w14:paraId="69B48C0D">
                              <w:pPr>
                                <w:jc w:val="center"/>
                                <w:rPr>
                                  <w:rFonts w:eastAsia="黑体"/>
                                  <w:sz w:val="18"/>
                                  <w:szCs w:val="18"/>
                                </w:rPr>
                              </w:pPr>
                              <w:r>
                                <w:rPr>
                                  <w:rFonts w:hAnsi="黑体" w:eastAsia="黑体"/>
                                  <w:sz w:val="18"/>
                                  <w:szCs w:val="18"/>
                                </w:rPr>
                                <w:t>陈化</w:t>
                              </w:r>
                            </w:p>
                          </w:txbxContent>
                        </v:textbox>
                      </v:rect>
                      <v:rect id="矩形 928" o:spid="_x0000_s1026" o:spt="1" style="position:absolute;left:2925445;top:4978166;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Q7HmvXAAAABgEAAA8AAAAAAAAAAQAgAAAAIgAAAGRycy9kb3ducmV2LnhtbFBLAQIUABQA&#10;AAAIAIdO4kBHfoKeKgIAAGIEAAAOAAAAAAAAAAEAIAAAACYBAABkcnMvZTJvRG9jLnhtbFBLBQYA&#10;AAAABgAGAFkBAADCBQAAAAA=&#10;">
                        <v:fill on="t" focussize="0,0"/>
                        <v:stroke color="#000000" joinstyle="miter"/>
                        <v:imagedata o:title=""/>
                        <o:lock v:ext="edit" aspectratio="f"/>
                        <v:textbox>
                          <w:txbxContent>
                            <w:p w14:paraId="4B949740">
                              <w:pPr>
                                <w:jc w:val="center"/>
                                <w:rPr>
                                  <w:rFonts w:eastAsia="黑体"/>
                                  <w:sz w:val="18"/>
                                  <w:szCs w:val="18"/>
                                </w:rPr>
                              </w:pPr>
                              <w:r>
                                <w:rPr>
                                  <w:rFonts w:hAnsi="黑体" w:eastAsia="黑体"/>
                                  <w:sz w:val="18"/>
                                  <w:szCs w:val="18"/>
                                </w:rPr>
                                <w:t>搅拌</w:t>
                              </w:r>
                            </w:p>
                          </w:txbxContent>
                        </v:textbox>
                      </v:rect>
                      <v:shape id="自选图形 929" o:spid="_x0000_s1026" o:spt="32" type="#_x0000_t32" style="position:absolute;left:3460115;top:4621267;height:362614;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pPemdcA&#10;AAAGAQAADwAAAAAAAAABACAAAAAiAAAAZHJzL2Rvd25yZXYueG1sUEsBAhQAFAAAAAgAh07iQMX7&#10;xnYgAgAAEQQAAA4AAAAAAAAAAQAgAAAAJgEAAGRycy9lMm9Eb2MueG1sUEsFBgAAAAAGAAYAWQEA&#10;ALgFAAAAAA==&#10;">
                        <v:fill on="f" focussize="0,0"/>
                        <v:stroke color="#000000" joinstyle="round" endarrow="block" endarrowwidth="narrow"/>
                        <v:imagedata o:title=""/>
                        <o:lock v:ext="edit" aspectratio="f"/>
                      </v:shape>
                      <v:rect id="矩形 930" o:spid="_x0000_s1026" o:spt="1" style="position:absolute;left:2925445;top:5646239;height:312445;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k&#10;Ox5r1wAAAAYBAAAPAAAAAAAAAAEAIAAAACIAAABkcnMvZG93bnJldi54bWxQSwECFAAUAAAACACH&#10;TuJAHCpmLiUCAABiBAAADgAAAAAAAAABACAAAAAmAQAAZHJzL2Uyb0RvYy54bWxQSwUGAAAAAAYA&#10;BgBZAQAAvQUAAAAA&#10;">
                        <v:fill on="t" focussize="0,0"/>
                        <v:stroke color="#000000" joinstyle="miter"/>
                        <v:imagedata o:title=""/>
                        <o:lock v:ext="edit" aspectratio="f"/>
                        <v:textbox>
                          <w:txbxContent>
                            <w:p w14:paraId="6B9C0BFC">
                              <w:pPr>
                                <w:jc w:val="center"/>
                                <w:rPr>
                                  <w:rFonts w:eastAsia="黑体"/>
                                  <w:sz w:val="18"/>
                                  <w:szCs w:val="18"/>
                                </w:rPr>
                              </w:pPr>
                              <w:r>
                                <w:rPr>
                                  <w:rFonts w:hAnsi="黑体" w:eastAsia="黑体"/>
                                  <w:sz w:val="18"/>
                                  <w:szCs w:val="18"/>
                                </w:rPr>
                                <w:t>挤出成型</w:t>
                              </w:r>
                            </w:p>
                          </w:txbxContent>
                        </v:textbox>
                      </v:rect>
                      <v:shape id="自选图形 931" o:spid="_x0000_s1026" o:spt="32" type="#_x0000_t32" style="position:absolute;left:3460115;top:5289976;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Db&#10;q+ktIQIAABEEAAAOAAAAAAAAAAEAIAAAACYBAABkcnMvZTJvRG9jLnhtbFBLBQYAAAAABgAGAFkB&#10;AAC5BQAAAAA=&#10;">
                        <v:fill on="f" focussize="0,0"/>
                        <v:stroke color="#000000" joinstyle="round" endarrow="block" endarrowwidth="narrow"/>
                        <v:imagedata o:title=""/>
                        <o:lock v:ext="edit" aspectratio="f"/>
                      </v:shape>
                      <v:rect id="矩形 932" o:spid="_x0000_s1026" o:spt="1" style="position:absolute;left:2925445;top:6314948;height:312445;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k&#10;Ox5r1wAAAAYBAAAPAAAAAAAAAAEAIAAAACIAAABkcnMvZG93bnJldi54bWxQSwECFAAUAAAACACH&#10;TuJAhzPz4yUCAABiBAAADgAAAAAAAAABACAAAAAmAQAAZHJzL2Uyb0RvYy54bWxQSwUGAAAAAAYA&#10;BgBZAQAAvQUAAAAA&#10;">
                        <v:fill on="t" focussize="0,0"/>
                        <v:stroke color="#000000" joinstyle="miter"/>
                        <v:imagedata o:title=""/>
                        <o:lock v:ext="edit" aspectratio="f"/>
                        <v:textbox>
                          <w:txbxContent>
                            <w:p w14:paraId="33E21993">
                              <w:pPr>
                                <w:jc w:val="center"/>
                                <w:rPr>
                                  <w:rFonts w:eastAsia="黑体"/>
                                  <w:sz w:val="18"/>
                                  <w:szCs w:val="18"/>
                                </w:rPr>
                              </w:pPr>
                              <w:r>
                                <w:rPr>
                                  <w:rFonts w:hAnsi="黑体" w:eastAsia="黑体"/>
                                  <w:sz w:val="18"/>
                                  <w:szCs w:val="18"/>
                                </w:rPr>
                                <w:t>切坯、码坯</w:t>
                              </w:r>
                            </w:p>
                          </w:txbxContent>
                        </v:textbox>
                      </v:rect>
                      <v:shape id="自选图形 933" o:spid="_x0000_s1026" o:spt="32" type="#_x0000_t32" style="position:absolute;left:3460115;top:5958685;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Aw&#10;x6d4IQIAABEEAAAOAAAAAAAAAAEAIAAAACYBAABkcnMvZTJvRG9jLnhtbFBLBQYAAAAABgAGAFkB&#10;AAC5BQAAAAA=&#10;">
                        <v:fill on="f" focussize="0,0"/>
                        <v:stroke color="#000000" joinstyle="round" endarrow="block" endarrowwidth="narrow"/>
                        <v:imagedata o:title=""/>
                        <o:lock v:ext="edit" aspectratio="f"/>
                      </v:shape>
                      <v:rect id="矩形 934" o:spid="_x0000_s1026" o:spt="1" style="position:absolute;left:2925445;top:6983657;height:312445;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Dsea9cAAAAGAQAADwAAAAAAAAABACAAAAAiAAAAZHJzL2Rvd25yZXYueG1sUEsBAhQAFAAAAAgA&#10;h07iQIrfT9ImAgAAYgQAAA4AAAAAAAAAAQAgAAAAJgEAAGRycy9lMm9Eb2MueG1sUEsFBgAAAAAG&#10;AAYAWQEAAL4FAAAAAA==&#10;">
                        <v:fill on="t" focussize="0,0"/>
                        <v:stroke color="#000000" joinstyle="miter"/>
                        <v:imagedata o:title=""/>
                        <o:lock v:ext="edit" aspectratio="f"/>
                        <v:textbox>
                          <w:txbxContent>
                            <w:p w14:paraId="6CAC26DF">
                              <w:pPr>
                                <w:jc w:val="center"/>
                                <w:rPr>
                                  <w:rFonts w:eastAsia="黑体"/>
                                  <w:sz w:val="18"/>
                                  <w:szCs w:val="18"/>
                                </w:rPr>
                              </w:pPr>
                              <w:r>
                                <w:rPr>
                                  <w:rFonts w:hAnsi="黑体" w:eastAsia="黑体"/>
                                  <w:sz w:val="18"/>
                                  <w:szCs w:val="18"/>
                                </w:rPr>
                                <w:t>干燥、焙烧</w:t>
                              </w:r>
                            </w:p>
                          </w:txbxContent>
                        </v:textbox>
                      </v:rect>
                      <v:shape id="自选图形 935" o:spid="_x0000_s1026" o:spt="32" type="#_x0000_t32" style="position:absolute;left:3460115;top:6627393;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pPemdcA&#10;AAAGAQAADwAAAAAAAAABACAAAAAiAAAAZHJzL2Rvd25yZXYueG1sUEsBAhQAFAAAAAgAh07iQChq&#10;6oUgAgAAEQQAAA4AAAAAAAAAAQAgAAAAJgEAAGRycy9lMm9Eb2MueG1sUEsFBgAAAAAGAAYAWQEA&#10;ALgFAAAAAA==&#10;">
                        <v:fill on="f" focussize="0,0"/>
                        <v:stroke color="#000000" joinstyle="round" endarrow="block" endarrowwidth="narrow"/>
                        <v:imagedata o:title=""/>
                        <o:lock v:ext="edit" aspectratio="f"/>
                      </v:shape>
                      <v:rect id="矩形 936" o:spid="_x0000_s1026" o:spt="1" style="position:absolute;left:2934335;top:7590131;height:311810;width:107124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8HfGPTAAAABgEAAA8AAAAAAAAAAQAgAAAAIgAAAGRycy9kb3du&#10;cmV2LnhtbFBLAQIUABQAAAAIAIdO4kD0ykaXywEAAHoDAAAOAAAAAAAAAAEAIAAAACIBAABkcnMv&#10;ZTJvRG9jLnhtbFBLBQYAAAAABgAGAFkBAABfBQAAAAA=&#10;">
                        <v:fill on="f" focussize="0,0"/>
                        <v:stroke on="f"/>
                        <v:imagedata o:title=""/>
                        <o:lock v:ext="edit" aspectratio="f"/>
                        <v:textbox>
                          <w:txbxContent>
                            <w:p w14:paraId="640142BA">
                              <w:pPr>
                                <w:jc w:val="center"/>
                                <w:rPr>
                                  <w:rFonts w:eastAsia="黑体"/>
                                  <w:sz w:val="18"/>
                                  <w:szCs w:val="18"/>
                                </w:rPr>
                              </w:pPr>
                              <w:r>
                                <w:rPr>
                                  <w:rFonts w:hAnsi="黑体" w:eastAsia="黑体"/>
                                  <w:sz w:val="18"/>
                                  <w:szCs w:val="18"/>
                                </w:rPr>
                                <w:t>成品烧结砖</w:t>
                              </w:r>
                            </w:p>
                          </w:txbxContent>
                        </v:textbox>
                      </v:rect>
                      <v:shape id="自选图形 937" o:spid="_x0000_s1026" o:spt="32" type="#_x0000_t32" style="position:absolute;left:3460115;top:7296102;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Bg&#10;PEwVIQIAABEEAAAOAAAAAAAAAAEAIAAAACYBAABkcnMvZTJvRG9jLnhtbFBLBQYAAAAABgAGAFkB&#10;AAC5BQAAAAA=&#10;">
                        <v:fill on="f" focussize="0,0"/>
                        <v:stroke color="#000000" joinstyle="round" endarrow="block" endarrowwidth="narrow"/>
                        <v:imagedata o:title=""/>
                        <o:lock v:ext="edit" aspectratio="f"/>
                      </v:shape>
                      <v:rect id="Rectangle 3227" o:spid="_x0000_s1026" o:spt="1" style="position:absolute;left:4018280;top:6627393;height:290853;width:108648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8HfGPTAAAABgEAAA8AAAAAAAAAAQAgAAAAIgAAAGRycy9kb3ducmV2LnhtbFBL&#10;AQIUABQAAAAIAIdO4kBOchrEwgEAAH4DAAAOAAAAAAAAAAEAIAAAACIBAABkcnMvZTJvRG9jLnht&#10;bFBLBQYAAAAABgAGAFkBAABWBQAAAAA=&#10;">
                        <v:fill on="f" focussize="0,0"/>
                        <v:stroke on="f"/>
                        <v:imagedata o:title=""/>
                        <o:lock v:ext="edit" aspectratio="f"/>
                        <v:textbox>
                          <w:txbxContent>
                            <w:p w14:paraId="77DAC13B">
                              <w:pPr>
                                <w:jc w:val="center"/>
                                <w:rPr>
                                  <w:rFonts w:eastAsia="黑体"/>
                                  <w:sz w:val="18"/>
                                  <w:szCs w:val="18"/>
                                </w:rPr>
                              </w:pPr>
                              <w:r>
                                <w:rPr>
                                  <w:rFonts w:eastAsia="黑体"/>
                                  <w:sz w:val="18"/>
                                  <w:szCs w:val="18"/>
                                </w:rPr>
                                <w:t>G</w:t>
                              </w:r>
                              <w:r>
                                <w:rPr>
                                  <w:rFonts w:hint="eastAsia" w:eastAsia="黑体"/>
                                  <w:sz w:val="18"/>
                                  <w:szCs w:val="18"/>
                                  <w:vertAlign w:val="subscript"/>
                                </w:rPr>
                                <w:t>5</w:t>
                              </w:r>
                              <w:r>
                                <w:rPr>
                                  <w:rFonts w:hAnsi="黑体" w:eastAsia="黑体"/>
                                  <w:sz w:val="18"/>
                                  <w:szCs w:val="18"/>
                                </w:rPr>
                                <w:t>：干燥焙烧废气</w:t>
                              </w:r>
                            </w:p>
                          </w:txbxContent>
                        </v:textbox>
                      </v:rect>
                      <v:shape id="Freeform 7175" o:spid="_x0000_s1026" o:spt="100" style="position:absolute;left:3689350;top:6753769;height:205122;width:318135;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DNQCBC1gAAAAYBAAAP&#10;AAAAAAAAAAEAIAAAACIAAABkcnMvZG93bnJldi54bWxQSwECFAAUAAAACACHTuJAKLGDq/4CAAC3&#10;BgAADgAAAAAAAAABACAAAAAlAQAAZHJzL2Uyb0RvYy54bWxQSwUGAAAAAAYABgBZAQAAlQ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shape id="AutoShape 3230" o:spid="_x0000_s1026" o:spt="32" type="#_x0000_t32" style="position:absolute;left:3996690;top:6467996;height:635;width:30670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&#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Ck96Z1wAAAAYBAAAPAAAAAAAAAAEAIAAAACIAAABk&#10;cnMvZG93bnJldi54bWxQSwECFAAUAAAACACHTuJABfWyLAcCAAAPBAAADgAAAAAAAAABACAAAAAm&#10;AQAAZHJzL2Uyb0RvYy54bWxQSwUGAAAAAAYABgBZAQAAnwUAAAAA&#10;">
                        <v:fill on="f" focussize="0,0"/>
                        <v:stroke color="#000000" joinstyle="round" endarrow="block" endarrowwidth="narrow"/>
                        <v:imagedata o:title=""/>
                        <o:lock v:ext="edit" aspectratio="f"/>
                      </v:shape>
                      <v:rect id="Rectangle 3212" o:spid="_x0000_s1026" o:spt="1" style="position:absolute;left:4303395;top:6309868;height:239414;width:943610;v-text-anchor:middle;" filled="f" stroked="f" coordsize="21600,21600" o:gfxdata="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FHftrVAAAABgEAAA8AAAAAAAAAAQAgAAAAIgAAAGRycy9k&#10;b3ducmV2LnhtbFBLAQIUABQAAAAIAIdO4kD4i1wazAEAAJcDAAAOAAAAAAAAAAEAIAAAACQBAABk&#10;cnMvZTJvRG9jLnhtbFBLBQYAAAAABgAGAFkBAABiBQAAAAA=&#10;">
                        <v:fill on="f" focussize="0,0"/>
                        <v:stroke on="f"/>
                        <v:imagedata o:title=""/>
                        <o:lock v:ext="edit" aspectratio="f"/>
                        <v:textbox style="mso-fit-shape-to-text:t;">
                          <w:txbxContent>
                            <w:p w14:paraId="204378C7">
                              <w:pPr>
                                <w:jc w:val="center"/>
                                <w:rPr>
                                  <w:rFonts w:eastAsia="黑体"/>
                                  <w:sz w:val="18"/>
                                  <w:szCs w:val="18"/>
                                </w:rPr>
                              </w:pPr>
                              <w:r>
                                <w:rPr>
                                  <w:rFonts w:eastAsia="黑体"/>
                                  <w:sz w:val="18"/>
                                  <w:szCs w:val="18"/>
                                </w:rPr>
                                <w:t>S</w:t>
                              </w:r>
                              <w:r>
                                <w:rPr>
                                  <w:rFonts w:eastAsia="黑体"/>
                                  <w:sz w:val="18"/>
                                  <w:szCs w:val="18"/>
                                  <w:vertAlign w:val="subscript"/>
                                </w:rPr>
                                <w:t>2</w:t>
                              </w:r>
                              <w:r>
                                <w:rPr>
                                  <w:rFonts w:eastAsia="黑体"/>
                                  <w:sz w:val="18"/>
                                  <w:szCs w:val="18"/>
                                </w:rPr>
                                <w:t>:</w:t>
                              </w:r>
                              <w:r>
                                <w:rPr>
                                  <w:rFonts w:hAnsi="黑体" w:eastAsia="黑体"/>
                                  <w:sz w:val="18"/>
                                  <w:szCs w:val="18"/>
                                </w:rPr>
                                <w:t>不合格产品</w:t>
                              </w:r>
                            </w:p>
                          </w:txbxContent>
                        </v:textbox>
                      </v:rect>
                      <v:rect id="矩形 942" o:spid="_x0000_s1026" o:spt="1" style="position:absolute;left:2926715;top:3647099;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Ox5r1wAAAAYBAAAPAAAAAAAAAAEAIAAAACIAAABkcnMvZG93bnJldi54bWxQSwECFAAUAAAA&#10;CACHTuJA3DSJJigCAABiBAAADgAAAAAAAAABACAAAAAmAQAAZHJzL2Uyb0RvYy54bWxQSwUGAAAA&#10;AAYABgBZAQAAwAUAAAAA&#10;">
                        <v:fill on="t" focussize="0,0"/>
                        <v:stroke color="#000000" joinstyle="miter"/>
                        <v:imagedata o:title=""/>
                        <o:lock v:ext="edit" aspectratio="f"/>
                        <v:textbox>
                          <w:txbxContent>
                            <w:p w14:paraId="789D3A9C">
                              <w:pPr>
                                <w:jc w:val="center"/>
                                <w:rPr>
                                  <w:rFonts w:hint="eastAsia" w:eastAsia="黑体"/>
                                  <w:sz w:val="18"/>
                                  <w:szCs w:val="18"/>
                                </w:rPr>
                              </w:pPr>
                              <w:r>
                                <w:rPr>
                                  <w:rFonts w:hint="eastAsia" w:hAnsi="黑体" w:eastAsia="黑体"/>
                                  <w:sz w:val="18"/>
                                  <w:szCs w:val="18"/>
                                </w:rPr>
                                <w:t>对辊</w:t>
                              </w:r>
                            </w:p>
                          </w:txbxContent>
                        </v:textbox>
                      </v:rect>
                      <v:shape id="自选图形 943" o:spid="_x0000_s1026" o:spt="34" type="#_x0000_t34" style="position:absolute;left:476885;top:2466538;flip:x;height:676964;width:635;rotation:11796480f;" filled="f" stroked="t" coordsize="21600,21600" o:gfxdata="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VLJOLUAAAABgEAAA8AAAAAAAAA&#10;AQAgAAAAIgAAAGRycy9kb3ducmV2LnhtbFBLAQIUABQAAAAIAIdO4kCbbOxfTgIAAGEEAAAOAAAA&#10;AAAAAAEAIAAAACMBAABkcnMvZTJvRG9jLnhtbFBLBQYAAAAABgAGAFkBAADjBQAAAAA=&#10;" adj="-7776000">
                        <v:fill on="f" focussize="0,0"/>
                        <v:stroke color="#000000" joinstyle="miter" endarrow="block" endarrowwidth="narrow"/>
                        <v:imagedata o:title=""/>
                        <o:lock v:ext="edit" aspectratio="f"/>
                      </v:shape>
                      <v:shape id="自选图形 944" o:spid="_x0000_s1026" o:spt="32" type="#_x0000_t32" style="position:absolute;left:3459480;top:3945573;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Ck96Z1wAA&#10;AAYBAAAPAAAAAAAAAAEAIAAAACIAAABkcnMvZG93bnJldi54bWxQSwECFAAUAAAACACHTuJAzz29&#10;mR8CAAARBAAADgAAAAAAAAABACAAAAAmAQAAZHJzL2Uyb0RvYy54bWxQSwUGAAAAAAYABgBZAQAA&#10;twUAAAAA&#10;">
                        <v:fill on="f" focussize="0,0"/>
                        <v:stroke color="#000000" joinstyle="round" endarrow="block" endarrowwidth="narrow"/>
                        <v:imagedata o:title=""/>
                        <o:lock v:ext="edit" aspectratio="f"/>
                      </v:shape>
                      <v:shape id="自选图形 945" o:spid="_x0000_s1026" o:spt="32" type="#_x0000_t32" style="position:absolute;left:3458845;top:1278358;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KT3pnXAAAA&#10;BgEAAA8AAAAAAAAAAQAgAAAAIgAAAGRycy9kb3ducmV2LnhtbFBLAQIUABQAAAAIAIdO4kBNhYEn&#10;HgIAABEEAAAOAAAAAAAAAAEAIAAAACYBAABkcnMvZTJvRG9jLnhtbFBLBQYAAAAABgAGAFkBAAC2&#10;BQAAAAA=&#10;">
                        <v:fill on="f" focussize="0,0"/>
                        <v:stroke color="#000000" joinstyle="round" endarrow="block" endarrowwidth="narrow"/>
                        <v:imagedata o:title=""/>
                        <o:lock v:ext="edit" aspectratio="f"/>
                      </v:shape>
                      <v:rect id="矩形 946" o:spid="_x0000_s1026" o:spt="1" style="position:absolute;left:2925445;top:1652403;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JDsea9cAAAAGAQAADwAAAAAAAAABACAAAAAiAAAAZHJzL2Rvd25yZXYueG1sUEsBAhQAFAAA&#10;AAgAh07iQEi9H4kpAgAAYgQAAA4AAAAAAAAAAQAgAAAAJgEAAGRycy9lMm9Eb2MueG1sUEsFBgAA&#10;AAAGAAYAWQEAAMEFAAAAAA==&#10;">
                        <v:fill on="t" focussize="0,0"/>
                        <v:stroke color="#000000" joinstyle="miter"/>
                        <v:imagedata o:title=""/>
                        <o:lock v:ext="edit" aspectratio="f"/>
                        <v:textbox>
                          <w:txbxContent>
                            <w:p w14:paraId="393E21A3">
                              <w:pPr>
                                <w:jc w:val="center"/>
                                <w:rPr>
                                  <w:rFonts w:eastAsia="黑体"/>
                                  <w:sz w:val="18"/>
                                  <w:szCs w:val="18"/>
                                </w:rPr>
                              </w:pPr>
                              <w:r>
                                <w:rPr>
                                  <w:rFonts w:hint="eastAsia" w:hAnsi="黑体" w:eastAsia="黑体"/>
                                  <w:sz w:val="18"/>
                                  <w:szCs w:val="18"/>
                                </w:rPr>
                                <w:t>上料</w:t>
                              </w:r>
                            </w:p>
                          </w:txbxContent>
                        </v:textbox>
                      </v:rect>
                      <v:shape id="AutoShape 3230" o:spid="_x0000_s1026" o:spt="32" type="#_x0000_t32" style="position:absolute;left:1548130;top:2469079;height:635;width:30670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&#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Ck96Z1wAAAAYBAAAPAAAAAAAAAAEAIAAAACIAAABk&#10;cnMvZG93bnJldi54bWxQSwECFAAUAAAACACHTuJA6U2xzgcCAAAPBAAADgAAAAAAAAABACAAAAAm&#10;AQAAZHJzL2Uyb0RvYy54bWxQSwUGAAAAAAYABgBZAQAAnwUAAAAA&#10;">
                        <v:fill on="f" focussize="0,0"/>
                        <v:stroke color="#000000" joinstyle="round" endarrow="block" endarrowwidth="narrow"/>
                        <v:imagedata o:title=""/>
                        <o:lock v:ext="edit" aspectratio="f"/>
                      </v:shape>
                      <v:rect id="Rectangle 3212" o:spid="_x0000_s1026" o:spt="1" style="position:absolute;left:1854835;top:2310951;height:239414;width:943610;v-text-anchor:middle;" filled="f" stroked="f" coordsize="21600,21600" o:gfxdata="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FHftrVAAAABgEAAA8AAAAAAAAAAQAgAAAAIgAAAGRycy9kb3du&#10;cmV2LnhtbFBLAQIUABQAAAAIAIdO4kCVYrjkyQEAAJcDAAAOAAAAAAAAAAEAIAAAACQBAABkcnMv&#10;ZTJvRG9jLnhtbFBLBQYAAAAABgAGAFkBAABfBQAAAAA=&#10;">
                        <v:fill on="f" focussize="0,0"/>
                        <v:stroke on="f"/>
                        <v:imagedata o:title=""/>
                        <o:lock v:ext="edit" aspectratio="f"/>
                        <v:textbox style="mso-fit-shape-to-text:t;">
                          <w:txbxContent>
                            <w:p w14:paraId="67447808">
                              <w:pPr>
                                <w:jc w:val="center"/>
                                <w:rPr>
                                  <w:rFonts w:eastAsia="黑体"/>
                                  <w:sz w:val="18"/>
                                  <w:szCs w:val="18"/>
                                </w:rPr>
                              </w:pPr>
                              <w:r>
                                <w:rPr>
                                  <w:rFonts w:eastAsia="黑体"/>
                                  <w:sz w:val="18"/>
                                  <w:szCs w:val="18"/>
                                </w:rPr>
                                <w:t>S</w:t>
                              </w:r>
                              <w:r>
                                <w:rPr>
                                  <w:rFonts w:eastAsia="黑体"/>
                                  <w:sz w:val="18"/>
                                  <w:szCs w:val="18"/>
                                  <w:vertAlign w:val="subscript"/>
                                </w:rPr>
                                <w:t>1</w:t>
                              </w:r>
                              <w:r>
                                <w:rPr>
                                  <w:rFonts w:eastAsia="黑体"/>
                                  <w:sz w:val="18"/>
                                  <w:szCs w:val="18"/>
                                </w:rPr>
                                <w:t>:</w:t>
                              </w:r>
                              <w:r>
                                <w:rPr>
                                  <w:rFonts w:hAnsi="黑体" w:eastAsia="黑体"/>
                                  <w:sz w:val="18"/>
                                  <w:szCs w:val="18"/>
                                </w:rPr>
                                <w:t>磁选废物</w:t>
                              </w:r>
                            </w:p>
                          </w:txbxContent>
                        </v:textbox>
                      </v:rect>
                      <v:shape id="自选图形 949" o:spid="_x0000_s1026" o:spt="32" type="#_x0000_t32" style="position:absolute;left:3458210;top:1959133;height:1044024;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pPemdcA&#10;AAAGAQAADwAAAAAAAAABACAAAAAiAAAAZHJzL2Rvd25yZXYueG1sUEsBAhQAFAAAAAgAh07iQPal&#10;VqwgAgAAEgQAAA4AAAAAAAAAAQAgAAAAJgEAAGRycy9lMm9Eb2MueG1sUEsFBgAAAAAGAAYAWQEA&#10;ALgFAAAAAA==&#10;">
                        <v:fill on="f" focussize="0,0"/>
                        <v:stroke color="#000000" joinstyle="round" endarrow="block" endarrowwidth="narrow"/>
                        <v:imagedata o:title=""/>
                        <o:lock v:ext="edit" aspectratio="f"/>
                      </v:shape>
                      <v:shape id="自选图形 950" o:spid="_x0000_s1026" o:spt="32" type="#_x0000_t32" style="position:absolute;left:1010285;top:1251051;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KT3pnXAAAABgEA&#10;AA8AAAAAAAAAAQAgAAAAIgAAAGRycy9kb3ducmV2LnhtbFBLAQIUABQAAAAIAIdO4kAeS7geGwIA&#10;ABEEAAAOAAAAAAAAAAEAIAAAACYBAABkcnMvZTJvRG9jLnhtbFBLBQYAAAAABgAGAFkBAACzBQAA&#10;AAA=&#10;">
                        <v:fill on="f" focussize="0,0"/>
                        <v:stroke color="#000000" joinstyle="round" endarrow="block" endarrowwidth="narrow"/>
                        <v:imagedata o:title=""/>
                        <o:lock v:ext="edit" aspectratio="f"/>
                      </v:shape>
                      <v:rect id="矩形 951" o:spid="_x0000_s1026" o:spt="1" style="position:absolute;left:476885;top:1625096;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Ox5r1wAAAAYBAAAPAAAAAAAAAAEAIAAAACIAAABkcnMvZG93bnJldi54bWxQSwECFAAUAAAA&#10;CACHTuJAPcYbqigCAABhBAAADgAAAAAAAAABACAAAAAmAQAAZHJzL2Uyb0RvYy54bWxQSwUGAAAA&#10;AAYABgBZAQAAwAUAAAAA&#10;">
                        <v:fill on="t" focussize="0,0"/>
                        <v:stroke color="#000000" joinstyle="miter"/>
                        <v:imagedata o:title=""/>
                        <o:lock v:ext="edit" aspectratio="f"/>
                        <v:textbox>
                          <w:txbxContent>
                            <w:p w14:paraId="4A6C08ED">
                              <w:pPr>
                                <w:jc w:val="center"/>
                                <w:rPr>
                                  <w:rFonts w:eastAsia="黑体"/>
                                  <w:sz w:val="18"/>
                                  <w:szCs w:val="18"/>
                                </w:rPr>
                              </w:pPr>
                              <w:r>
                                <w:rPr>
                                  <w:rFonts w:hint="eastAsia" w:hAnsi="黑体" w:eastAsia="黑体"/>
                                  <w:sz w:val="18"/>
                                  <w:szCs w:val="18"/>
                                </w:rPr>
                                <w:t>上料</w:t>
                              </w:r>
                            </w:p>
                          </w:txbxContent>
                        </v:textbox>
                      </v:rect>
                      <v:rect id="矩形 952" o:spid="_x0000_s1026" o:spt="1" style="position:absolute;left:2924175;top:2992996;height:311810;width:1071245;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Dsea9cAAAAGAQAADwAAAAAAAAABACAAAAAiAAAAZHJzL2Rvd25yZXYueG1sUEsBAhQAFAAAAAgA&#10;h07iQFu5IEcmAgAAYgQAAA4AAAAAAAAAAQAgAAAAJgEAAGRycy9lMm9Eb2MueG1sUEsFBgAAAAAG&#10;AAYAWQEAAL4FAAAAAA==&#10;">
                        <v:fill on="t" focussize="0,0"/>
                        <v:stroke color="#000000" joinstyle="miter"/>
                        <v:imagedata o:title=""/>
                        <o:lock v:ext="edit" aspectratio="f"/>
                        <v:textbox>
                          <w:txbxContent>
                            <w:p w14:paraId="65AAFE31">
                              <w:pPr>
                                <w:jc w:val="center"/>
                                <w:rPr>
                                  <w:rFonts w:hint="eastAsia" w:eastAsia="黑体"/>
                                  <w:sz w:val="18"/>
                                  <w:szCs w:val="18"/>
                                </w:rPr>
                              </w:pPr>
                              <w:r>
                                <w:rPr>
                                  <w:rFonts w:hint="eastAsia" w:hAnsi="黑体" w:eastAsia="黑体"/>
                                  <w:sz w:val="18"/>
                                  <w:szCs w:val="18"/>
                                </w:rPr>
                                <w:t>搅拌</w:t>
                              </w:r>
                            </w:p>
                          </w:txbxContent>
                        </v:textbox>
                      </v:rect>
                      <v:shape id="自选图形 953" o:spid="_x0000_s1026" o:spt="32" type="#_x0000_t32" style="position:absolute;left:3456940;top:3299726;height:361979;width:635;"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Ck96Z1wAA&#10;AAYBAAAPAAAAAAAAAAEAIAAAACIAAABkcnMvZG93bnJldi54bWxQSwECFAAUAAAACACHTuJA3YMW&#10;5R8CAAARBAAADgAAAAAAAAABACAAAAAmAQAAZHJzL2Uyb0RvYy54bWxQSwUGAAAAAAYABgBZAQAA&#10;twUAAAAA&#10;">
                        <v:fill on="f" focussize="0,0"/>
                        <v:stroke color="#000000" joinstyle="round" endarrow="block" endarrowwidth="narrow"/>
                        <v:imagedata o:title=""/>
                        <o:lock v:ext="edit" aspectratio="f"/>
                      </v:shape>
                      <v:rect id="Rectangle 3227" o:spid="_x0000_s1026" o:spt="1" style="position:absolute;left:1513205;top:1251051;height:290853;width:868680;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wd8Y9MAAAAGAQAADwAAAAAAAAABACAAAAAiAAAAZHJzL2Rvd25yZXYueG1sUEsBAhQA&#10;FAAAAAgAh07iQDm89nu+AQAAfQMAAA4AAAAAAAAAAQAgAAAAIgEAAGRycy9lMm9Eb2MueG1sUEsF&#10;BgAAAAAGAAYAWQEAAFIFAAAAAA==&#10;">
                        <v:fill on="f" focussize="0,0"/>
                        <v:stroke on="f"/>
                        <v:imagedata o:title=""/>
                        <o:lock v:ext="edit" aspectratio="f"/>
                        <v:textbox>
                          <w:txbxContent>
                            <w:p w14:paraId="2D83C192">
                              <w:pPr>
                                <w:jc w:val="center"/>
                                <w:rPr>
                                  <w:rFonts w:eastAsia="黑体"/>
                                  <w:sz w:val="18"/>
                                  <w:szCs w:val="18"/>
                                </w:rPr>
                              </w:pPr>
                              <w:r>
                                <w:rPr>
                                  <w:rFonts w:eastAsia="黑体"/>
                                  <w:sz w:val="18"/>
                                  <w:szCs w:val="18"/>
                                </w:rPr>
                                <w:t>G</w:t>
                              </w:r>
                              <w:r>
                                <w:rPr>
                                  <w:rFonts w:hint="eastAsia" w:eastAsia="黑体"/>
                                  <w:sz w:val="18"/>
                                  <w:szCs w:val="18"/>
                                  <w:vertAlign w:val="subscript"/>
                                </w:rPr>
                                <w:t>2</w:t>
                              </w:r>
                              <w:r>
                                <w:rPr>
                                  <w:rFonts w:hAnsi="黑体" w:eastAsia="黑体"/>
                                  <w:sz w:val="18"/>
                                  <w:szCs w:val="18"/>
                                </w:rPr>
                                <w:t>：</w:t>
                              </w:r>
                              <w:r>
                                <w:rPr>
                                  <w:rFonts w:hint="eastAsia" w:hAnsi="黑体" w:eastAsia="黑体"/>
                                  <w:sz w:val="18"/>
                                  <w:szCs w:val="18"/>
                                </w:rPr>
                                <w:t>上料</w:t>
                              </w:r>
                              <w:r>
                                <w:rPr>
                                  <w:rFonts w:hAnsi="黑体" w:eastAsia="黑体"/>
                                  <w:sz w:val="18"/>
                                  <w:szCs w:val="18"/>
                                </w:rPr>
                                <w:t>粉尘</w:t>
                              </w:r>
                            </w:p>
                          </w:txbxContent>
                        </v:textbox>
                      </v:rect>
                      <v:shape id="Freeform 7175" o:spid="_x0000_s1026" o:spt="100" style="position:absolute;left:1184275;top:1377426;height:204486;width:318135;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DNQCBC1gAAAAYBAAAPAAAA&#10;AAAAAAEAIAAAACIAAABkcnMvZG93bnJldi54bWxQSwECFAAUAAAACACHTuJAhYAZp/sCAAC3BgAA&#10;DgAAAAAAAAABACAAAAAlAQAAZHJzL2Uyb0RvYy54bWxQSwUGAAAAAAYABgBZAQAAkgY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3227" o:spid="_x0000_s1026" o:spt="1" style="position:absolute;left:3950970;top:1294234;height:290853;width:868680;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Hwd8Y9MAAAAGAQAADwAAAAAAAAABACAAAAAiAAAAZHJzL2Rvd25yZXYueG1sUEsB&#10;AhQAFAAAAAgAh07iQIqWL7zBAQAAfQMAAA4AAAAAAAAAAQAgAAAAIgEAAGRycy9lMm9Eb2MueG1s&#10;UEsFBgAAAAAGAAYAWQEAAFUFAAAAAA==&#10;">
                        <v:fill on="f" focussize="0,0"/>
                        <v:stroke on="f"/>
                        <v:imagedata o:title=""/>
                        <o:lock v:ext="edit" aspectratio="f"/>
                        <v:textbox>
                          <w:txbxContent>
                            <w:p w14:paraId="5E30CB72">
                              <w:pPr>
                                <w:jc w:val="center"/>
                                <w:rPr>
                                  <w:rFonts w:eastAsia="黑体"/>
                                  <w:sz w:val="18"/>
                                  <w:szCs w:val="18"/>
                                </w:rPr>
                              </w:pPr>
                              <w:r>
                                <w:rPr>
                                  <w:rFonts w:eastAsia="黑体"/>
                                  <w:sz w:val="18"/>
                                  <w:szCs w:val="18"/>
                                </w:rPr>
                                <w:t>G</w:t>
                              </w:r>
                              <w:r>
                                <w:rPr>
                                  <w:rFonts w:hint="eastAsia" w:eastAsia="黑体"/>
                                  <w:sz w:val="18"/>
                                  <w:szCs w:val="18"/>
                                  <w:vertAlign w:val="subscript"/>
                                </w:rPr>
                                <w:t>2</w:t>
                              </w:r>
                              <w:r>
                                <w:rPr>
                                  <w:rFonts w:hAnsi="黑体" w:eastAsia="黑体"/>
                                  <w:sz w:val="18"/>
                                  <w:szCs w:val="18"/>
                                </w:rPr>
                                <w:t>：</w:t>
                              </w:r>
                              <w:r>
                                <w:rPr>
                                  <w:rFonts w:hint="eastAsia" w:hAnsi="黑体" w:eastAsia="黑体"/>
                                  <w:sz w:val="18"/>
                                  <w:szCs w:val="18"/>
                                </w:rPr>
                                <w:t>上料</w:t>
                              </w:r>
                              <w:r>
                                <w:rPr>
                                  <w:rFonts w:hAnsi="黑体" w:eastAsia="黑体"/>
                                  <w:sz w:val="18"/>
                                  <w:szCs w:val="18"/>
                                </w:rPr>
                                <w:t>粉尘</w:t>
                              </w:r>
                            </w:p>
                          </w:txbxContent>
                        </v:textbox>
                      </v:rect>
                      <v:shape id="Freeform 7175" o:spid="_x0000_s1026" o:spt="100" style="position:absolute;left:3622040;top:1420609;height:204486;width:318135;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zUAgQtYAAAAGAQAA&#10;DwAAAAAAAAABACAAAAAiAAAAZHJzL2Rvd25yZXYueG1sUEsBAhQAFAAAAAgAh07iQHay6bD/AgAA&#10;twYAAA4AAAAAAAAAAQAgAAAAJQEAAGRycy9lMm9Eb2MueG1sUEsFBgAAAAAGAAYAWQEAAJYGAAAA&#10;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矩形 960" o:spid="_x0000_s1026" o:spt="1" style="position:absolute;left:1779270;top:3131437;height:311175;width:75120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8HfGPTAAAABgEAAA8AAAAAAAAAAQAgAAAAIgAAAGRycy9kb3ducmV2&#10;LnhtbFBLAQIUABQAAAAIAIdO4kAWXpGDyAEAAHkDAAAOAAAAAAAAAAEAIAAAACIBAABkcnMvZTJv&#10;RG9jLnhtbFBLBQYAAAAABgAGAFkBAABcBQAAAAA=&#10;">
                        <v:fill on="f" focussize="0,0"/>
                        <v:stroke on="f"/>
                        <v:imagedata o:title=""/>
                        <o:lock v:ext="edit" aspectratio="f"/>
                        <v:textbox>
                          <w:txbxContent>
                            <w:p w14:paraId="5407BAAA">
                              <w:pPr>
                                <w:jc w:val="center"/>
                                <w:rPr>
                                  <w:rFonts w:eastAsia="黑体"/>
                                  <w:sz w:val="18"/>
                                  <w:szCs w:val="18"/>
                                </w:rPr>
                              </w:pPr>
                              <w:r>
                                <w:rPr>
                                  <w:rFonts w:hint="eastAsia" w:hAnsi="黑体" w:eastAsia="黑体"/>
                                  <w:sz w:val="18"/>
                                  <w:szCs w:val="18"/>
                                </w:rPr>
                                <w:t>新鲜水</w:t>
                              </w:r>
                            </w:p>
                          </w:txbxContent>
                        </v:textbox>
                      </v:rect>
                      <v:shape id="自选图形 961" o:spid="_x0000_s1026" o:spt="32" type="#_x0000_t32" style="position:absolute;left:2436495;top:3226695;height:635;width:481330;"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AQ&#10;1E9+IQIAABEEAAAOAAAAAAAAAAEAIAAAACYBAABkcnMvZTJvRG9jLnhtbFBLBQYAAAAABgAGAFkB&#10;AAC5BQAAAAA=&#10;">
                        <v:fill on="f" focussize="0,0"/>
                        <v:stroke color="#000000" joinstyle="round" endarrow="block" endarrowwidth="narrow"/>
                        <v:imagedata o:title=""/>
                        <o:lock v:ext="edit" aspectratio="f"/>
                      </v:shape>
                      <v:rect id="矩形 962" o:spid="_x0000_s1026" o:spt="1" style="position:absolute;left:1727200;top:4978166;height:311810;width:107124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8HfGPTAAAABgEAAA8AAAAAAAAAAQAgAAAAIgAAAGRycy9kb3du&#10;cmV2LnhtbFBLAQIUABQAAAAIAIdO4kDrCckfywEAAHoDAAAOAAAAAAAAAAEAIAAAACIBAABkcnMv&#10;ZTJvRG9jLnhtbFBLBQYAAAAABgAGAFkBAABfBQAAAAA=&#10;">
                        <v:fill on="f" focussize="0,0"/>
                        <v:stroke on="f"/>
                        <v:imagedata o:title=""/>
                        <o:lock v:ext="edit" aspectratio="f"/>
                        <v:textbox>
                          <w:txbxContent>
                            <w:p w14:paraId="7C8D5C10">
                              <w:pPr>
                                <w:jc w:val="center"/>
                                <w:rPr>
                                  <w:rFonts w:eastAsia="黑体"/>
                                  <w:sz w:val="18"/>
                                  <w:szCs w:val="18"/>
                                </w:rPr>
                              </w:pPr>
                              <w:r>
                                <w:rPr>
                                  <w:rFonts w:hint="eastAsia" w:hAnsi="黑体" w:eastAsia="黑体"/>
                                  <w:sz w:val="18"/>
                                  <w:szCs w:val="18"/>
                                </w:rPr>
                                <w:t>新鲜水</w:t>
                              </w:r>
                            </w:p>
                          </w:txbxContent>
                        </v:textbox>
                      </v:rect>
                      <v:shape id="自选图形 963" o:spid="_x0000_s1026" o:spt="32" type="#_x0000_t32" style="position:absolute;left:2434590;top:5134388;height:635;width:481330;"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CF&#10;fQvIIQIAABEEAAAOAAAAAAAAAAEAIAAAACYBAABkcnMvZTJvRG9jLnhtbFBLBQYAAAAABgAGAFkB&#10;AAC5BQAAAAA=&#10;">
                        <v:fill on="f" focussize="0,0"/>
                        <v:stroke color="#000000" joinstyle="round" endarrow="block" endarrowwidth="narrow"/>
                        <v:imagedata o:title=""/>
                        <o:lock v:ext="edit" aspectratio="f"/>
                      </v:shape>
                      <v:rect id="矩形 2883" o:spid="_x0000_s1026" o:spt="1" style="position:absolute;left:1727200;top:6958890;height:311810;width:1071245;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wd8Y9MAAAAGAQAADwAAAAAAAAABACAAAAAiAAAAZHJzL2Rvd25y&#10;ZXYueG1sUEsBAhQAFAAAAAgAh07iQMb+q/7KAQAAewMAAA4AAAAAAAAAAQAgAAAAIgEAAGRycy9l&#10;Mm9Eb2MueG1sUEsFBgAAAAAGAAYAWQEAAF4FAAAAAA==&#10;">
                        <v:fill on="f" focussize="0,0"/>
                        <v:stroke on="f"/>
                        <v:imagedata o:title=""/>
                        <o:lock v:ext="edit" aspectratio="f"/>
                        <v:textbox>
                          <w:txbxContent>
                            <w:p w14:paraId="772FCC32">
                              <w:pPr>
                                <w:jc w:val="center"/>
                                <w:rPr>
                                  <w:rFonts w:eastAsia="黑体"/>
                                  <w:sz w:val="18"/>
                                  <w:szCs w:val="18"/>
                                </w:rPr>
                              </w:pPr>
                              <w:r>
                                <w:rPr>
                                  <w:rFonts w:hint="eastAsia" w:hAnsi="黑体" w:eastAsia="黑体"/>
                                  <w:sz w:val="18"/>
                                  <w:szCs w:val="18"/>
                                </w:rPr>
                                <w:t>生物质颗粒</w:t>
                              </w:r>
                            </w:p>
                          </w:txbxContent>
                        </v:textbox>
                      </v:rect>
                      <v:shape id="自选图形 2884" o:spid="_x0000_s1026" o:spt="32" type="#_x0000_t32" style="position:absolute;left:2434590;top:7115113;height:635;width:481330;" filled="f" stroked="t" coordsize="21600,21600" o:gfxdata="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KT3pnX&#10;AAAABgEAAA8AAAAAAAAAAQAgAAAAIgAAAGRycy9kb3ducmV2LnhtbFBLAQIUABQAAAAIAIdO4kBP&#10;aCi3IQIAABIEAAAOAAAAAAAAAAEAIAAAACYBAABkcnMvZTJvRG9jLnhtbFBLBQYAAAAABgAGAFkB&#10;AAC5BQAAAAA=&#10;">
                        <v:fill on="f" focussize="0,0"/>
                        <v:stroke color="#000000" joinstyle="round" endarrow="block" endarrowwidth="narrow"/>
                        <v:imagedata o:title=""/>
                        <o:lock v:ext="edit" aspectratio="f"/>
                      </v:shape>
                      <v:rect id="矩形 966" o:spid="_x0000_s1026" o:spt="1" style="position:absolute;left:2910205;top:2294440;height:304825;width:1066800;v-text-anchor:middle;" fillcolor="#FFFFFF" filled="t" stroked="t" coordsize="21600,21600" o:gfxdata="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Dsea9cAAAAGAQAADwAAAAAAAAABACAAAAAiAAAAZHJzL2Rvd25yZXYueG1sUEsBAhQAFAAAAAgA&#10;h07iQANAPtkmAgAAYgQAAA4AAAAAAAAAAQAgAAAAJgEAAGRycy9lMm9Eb2MueG1sUEsFBgAAAAAG&#10;AAYAWQEAAL4FAAAAAA==&#10;">
                        <v:fill on="t" focussize="0,0"/>
                        <v:stroke color="#000000" joinstyle="miter"/>
                        <v:imagedata o:title=""/>
                        <o:lock v:ext="edit" aspectratio="f"/>
                        <v:textbox>
                          <w:txbxContent>
                            <w:p w14:paraId="649B6939">
                              <w:pPr>
                                <w:jc w:val="center"/>
                                <w:rPr>
                                  <w:rFonts w:hint="eastAsia" w:eastAsia="黑体"/>
                                  <w:sz w:val="18"/>
                                  <w:szCs w:val="18"/>
                                </w:rPr>
                              </w:pPr>
                              <w:r>
                                <w:rPr>
                                  <w:rFonts w:hAnsi="黑体" w:eastAsia="黑体"/>
                                  <w:sz w:val="18"/>
                                  <w:szCs w:val="18"/>
                                </w:rPr>
                                <w:t>破碎</w:t>
                              </w:r>
                            </w:p>
                          </w:txbxContent>
                        </v:textbox>
                      </v:rect>
                      <v:shape id="Freeform 7175" o:spid="_x0000_s1026" o:spt="100" style="position:absolute;left:3627755;top:2065821;height:203216;width:317500;rotation:-170004f;" filled="f" stroked="t" coordsize="500,319" o:gfxdata="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zUAgQtYAAAAGAQAADwAAAAAAAAAB&#10;ACAAAAAiAAAAZHJzL2Rvd25yZXYueG1sUEsBAhQAFAAAAAgAh07iQLHlZib2AgAAtwYAAA4AAAAA&#10;AAAAAQAgAAAAJQEAAGRycy9lMm9Eb2MueG1sUEsFBgAAAAAGAAYAWQEAAI0GAAAAAA==&#10;" path="m0,319c69,201,139,83,187,70c235,57,238,252,290,240c342,228,421,114,500,0e">
                        <v:path o:connectlocs="0,130246731;74801044,28580990;116001386,97990961;200002826,0" o:connectangles="0,0,0,0"/>
                        <v:fill on="f" focussize="0,0"/>
                        <v:stroke color="#000000" joinstyle="round" dashstyle="dash" endarrow="block" endarrowwidth="narrow" endarrowlength="short"/>
                        <v:imagedata o:title=""/>
                        <o:lock v:ext="edit" aspectratio="f"/>
                      </v:shape>
                      <v:rect id="Rectangle 3227" o:spid="_x0000_s1026" o:spt="1" style="position:absolute;left:3989705;top:1951512;height:279422;width:863600;v-text-anchor:middle;" filled="f" stroked="f" coordsize="21600,21600" o:gfxdata="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Hwd8Y9MAAAAGAQAADwAAAAAAAAABACAAAAAiAAAAZHJzL2Rvd25yZXYueG1sUEsB&#10;AhQAFAAAAAgAh07iQDBuVMfBAQAAfQMAAA4AAAAAAAAAAQAgAAAAIgEAAGRycy9lMm9Eb2MueG1s&#10;UEsFBgAAAAAGAAYAWQEAAFUFAAAAAA==&#10;">
                        <v:fill on="f" focussize="0,0"/>
                        <v:stroke on="f"/>
                        <v:imagedata o:title=""/>
                        <o:lock v:ext="edit" aspectratio="f"/>
                        <v:textbox>
                          <w:txbxContent>
                            <w:p w14:paraId="6AA96303">
                              <w:pPr>
                                <w:jc w:val="center"/>
                                <w:rPr>
                                  <w:rFonts w:eastAsia="黑体"/>
                                  <w:sz w:val="18"/>
                                  <w:szCs w:val="18"/>
                                </w:rPr>
                              </w:pPr>
                              <w:r>
                                <w:rPr>
                                  <w:rFonts w:eastAsia="黑体"/>
                                  <w:sz w:val="18"/>
                                  <w:szCs w:val="18"/>
                                </w:rPr>
                                <w:t>G</w:t>
                              </w:r>
                              <w:r>
                                <w:rPr>
                                  <w:rFonts w:hint="eastAsia" w:eastAsia="黑体"/>
                                  <w:sz w:val="18"/>
                                  <w:szCs w:val="18"/>
                                  <w:vertAlign w:val="subscript"/>
                                </w:rPr>
                                <w:t>3</w:t>
                              </w:r>
                              <w:r>
                                <w:rPr>
                                  <w:rFonts w:hAnsi="黑体" w:eastAsia="黑体"/>
                                  <w:sz w:val="18"/>
                                  <w:szCs w:val="18"/>
                                </w:rPr>
                                <w:t>：破碎粉尘</w:t>
                              </w:r>
                            </w:p>
                          </w:txbxContent>
                        </v:textbox>
                      </v:rect>
                      <w10:wrap type="none"/>
                      <w10:anchorlock/>
                    </v:group>
                  </w:pict>
                </mc:Fallback>
              </mc:AlternateContent>
            </w:r>
          </w:p>
          <w:p w14:paraId="003F633E">
            <w:pPr>
              <w:spacing w:line="480" w:lineRule="exact"/>
              <w:jc w:val="center"/>
              <w:rPr>
                <w:rFonts w:eastAsia="黑体"/>
                <w:bCs/>
                <w:sz w:val="24"/>
                <w:szCs w:val="32"/>
              </w:rPr>
            </w:pPr>
            <w:r>
              <w:rPr>
                <w:rFonts w:hAnsi="黑体" w:eastAsia="黑体"/>
                <w:bCs/>
                <w:sz w:val="24"/>
                <w:szCs w:val="32"/>
              </w:rPr>
              <w:t>图</w:t>
            </w:r>
            <w:r>
              <w:rPr>
                <w:rFonts w:eastAsia="黑体"/>
                <w:bCs/>
                <w:sz w:val="24"/>
                <w:szCs w:val="32"/>
              </w:rPr>
              <w:t>2-</w:t>
            </w:r>
            <w:r>
              <w:rPr>
                <w:rFonts w:hint="eastAsia" w:eastAsia="黑体"/>
                <w:bCs/>
                <w:sz w:val="24"/>
                <w:szCs w:val="32"/>
              </w:rPr>
              <w:t>4烧结</w:t>
            </w:r>
            <w:r>
              <w:rPr>
                <w:rFonts w:eastAsia="黑体"/>
                <w:bCs/>
                <w:sz w:val="24"/>
                <w:szCs w:val="32"/>
              </w:rPr>
              <w:t>空心砖</w:t>
            </w:r>
            <w:r>
              <w:rPr>
                <w:rFonts w:hAnsi="黑体" w:eastAsia="黑体"/>
                <w:bCs/>
                <w:sz w:val="24"/>
                <w:szCs w:val="32"/>
              </w:rPr>
              <w:t>生产工艺流程图</w:t>
            </w:r>
          </w:p>
          <w:p w14:paraId="5072947C">
            <w:pPr>
              <w:adjustRightInd w:val="0"/>
              <w:snapToGrid w:val="0"/>
              <w:spacing w:line="480" w:lineRule="exact"/>
              <w:ind w:firstLine="470" w:firstLineChars="196"/>
              <w:rPr>
                <w:bCs/>
                <w:sz w:val="24"/>
                <w:szCs w:val="32"/>
              </w:rPr>
            </w:pPr>
            <w:r>
              <w:rPr>
                <w:rFonts w:hint="eastAsia"/>
                <w:bCs/>
                <w:sz w:val="24"/>
                <w:szCs w:val="32"/>
              </w:rPr>
              <w:t>(1)卸料：企业从周边有资质的煤矸石、建筑渣土企业购买煤矸石和建筑渣土，</w:t>
            </w:r>
            <w:r>
              <w:rPr>
                <w:rFonts w:hint="eastAsia"/>
                <w:bCs/>
                <w:sz w:val="24"/>
                <w:szCs w:val="32"/>
                <w:lang w:val="en-US" w:eastAsia="zh-CN"/>
              </w:rPr>
              <w:t>改扩建后项目煤矸石、粘土、建筑渣土配比约为6∶1∶3</w:t>
            </w:r>
            <w:r>
              <w:rPr>
                <w:rFonts w:hint="eastAsia"/>
                <w:bCs/>
                <w:sz w:val="24"/>
                <w:szCs w:val="32"/>
              </w:rPr>
              <w:t>，外购的煤矸石和建筑渣土经自卸车运送至厂区内，自卸车在运输过程中用帆布覆盖，在原料库内自卸，暂存于原料库内。</w:t>
            </w:r>
          </w:p>
          <w:p w14:paraId="2E492B63">
            <w:pPr>
              <w:adjustRightInd w:val="0"/>
              <w:snapToGrid w:val="0"/>
              <w:spacing w:line="480" w:lineRule="exact"/>
              <w:ind w:firstLine="470" w:firstLineChars="196"/>
              <w:rPr>
                <w:bCs/>
                <w:sz w:val="24"/>
                <w:szCs w:val="32"/>
              </w:rPr>
            </w:pPr>
            <w:r>
              <w:rPr>
                <w:rFonts w:hint="eastAsia"/>
                <w:bCs/>
                <w:sz w:val="24"/>
                <w:szCs w:val="36"/>
              </w:rPr>
              <w:t>产污环节分析及治理措施</w:t>
            </w:r>
            <w:r>
              <w:rPr>
                <w:bCs/>
                <w:sz w:val="24"/>
                <w:szCs w:val="36"/>
              </w:rPr>
              <w:t>：</w:t>
            </w:r>
            <w:r>
              <w:rPr>
                <w:rFonts w:hint="eastAsia"/>
                <w:bCs/>
                <w:sz w:val="24"/>
                <w:szCs w:val="32"/>
              </w:rPr>
              <w:t>卸料过程中会产生卸料粉尘(G</w:t>
            </w:r>
            <w:r>
              <w:rPr>
                <w:rFonts w:hint="eastAsia"/>
                <w:bCs/>
                <w:sz w:val="24"/>
                <w:szCs w:val="32"/>
                <w:vertAlign w:val="subscript"/>
              </w:rPr>
              <w:t>1</w:t>
            </w:r>
            <w:r>
              <w:rPr>
                <w:rFonts w:hint="eastAsia"/>
                <w:bCs/>
                <w:sz w:val="24"/>
                <w:szCs w:val="32"/>
              </w:rPr>
              <w:t>)，</w:t>
            </w:r>
            <w:r>
              <w:rPr>
                <w:bCs/>
                <w:sz w:val="24"/>
                <w:szCs w:val="32"/>
              </w:rPr>
              <w:t>主要污染物为颗粒物</w:t>
            </w:r>
            <w:r>
              <w:rPr>
                <w:rFonts w:hint="eastAsia"/>
                <w:bCs/>
                <w:sz w:val="24"/>
                <w:szCs w:val="32"/>
              </w:rPr>
              <w:t>。项目卸料</w:t>
            </w:r>
            <w:r>
              <w:rPr>
                <w:bCs/>
                <w:sz w:val="24"/>
                <w:szCs w:val="32"/>
              </w:rPr>
              <w:t>位于封闭的</w:t>
            </w:r>
            <w:r>
              <w:rPr>
                <w:rFonts w:hint="eastAsia"/>
                <w:bCs/>
                <w:sz w:val="24"/>
                <w:szCs w:val="32"/>
              </w:rPr>
              <w:t>原料库</w:t>
            </w:r>
            <w:r>
              <w:rPr>
                <w:bCs/>
                <w:sz w:val="24"/>
                <w:szCs w:val="32"/>
              </w:rPr>
              <w:t>内</w:t>
            </w:r>
            <w:r>
              <w:rPr>
                <w:rFonts w:hint="eastAsia"/>
                <w:bCs/>
                <w:sz w:val="24"/>
                <w:szCs w:val="32"/>
              </w:rPr>
              <w:t>，产生的粉尘在密闭原料库内无组织排放，通过雾化装置喷雾抑尘。</w:t>
            </w:r>
          </w:p>
          <w:p w14:paraId="3200B17E">
            <w:pPr>
              <w:adjustRightInd w:val="0"/>
              <w:snapToGrid w:val="0"/>
              <w:spacing w:line="480" w:lineRule="exact"/>
              <w:ind w:firstLine="470" w:firstLineChars="196"/>
              <w:rPr>
                <w:bCs/>
                <w:color w:val="000000"/>
                <w:sz w:val="24"/>
                <w:szCs w:val="32"/>
              </w:rPr>
            </w:pPr>
            <w:r>
              <w:rPr>
                <w:rFonts w:hint="eastAsia"/>
                <w:bCs/>
                <w:color w:val="000000"/>
                <w:sz w:val="24"/>
                <w:szCs w:val="32"/>
              </w:rPr>
              <w:t>(2)上料：</w:t>
            </w:r>
            <w:r>
              <w:rPr>
                <w:rFonts w:hint="eastAsia"/>
                <w:bCs/>
                <w:sz w:val="24"/>
                <w:szCs w:val="32"/>
              </w:rPr>
              <w:t>由装载机将厂区原料堆场的煤矸石及建筑渣土送至给料机</w:t>
            </w:r>
            <w:r>
              <w:rPr>
                <w:rFonts w:hint="eastAsia"/>
                <w:bCs/>
                <w:color w:val="000000"/>
                <w:sz w:val="24"/>
                <w:szCs w:val="32"/>
              </w:rPr>
              <w:t>。</w:t>
            </w:r>
          </w:p>
          <w:p w14:paraId="6819C10D">
            <w:pPr>
              <w:adjustRightInd w:val="0"/>
              <w:snapToGrid w:val="0"/>
              <w:spacing w:line="480" w:lineRule="exact"/>
              <w:ind w:firstLine="470" w:firstLineChars="196"/>
              <w:rPr>
                <w:bCs/>
                <w:color w:val="000000"/>
                <w:sz w:val="24"/>
                <w:szCs w:val="32"/>
              </w:rPr>
            </w:pPr>
            <w:r>
              <w:rPr>
                <w:rFonts w:hint="eastAsia"/>
                <w:bCs/>
                <w:color w:val="000000"/>
                <w:sz w:val="24"/>
                <w:szCs w:val="32"/>
              </w:rPr>
              <w:t>产污环节分析及治理措施：上料过程会产生上料粉尘(G</w:t>
            </w:r>
            <w:r>
              <w:rPr>
                <w:rFonts w:hint="eastAsia"/>
                <w:bCs/>
                <w:color w:val="000000"/>
                <w:sz w:val="24"/>
                <w:szCs w:val="32"/>
                <w:vertAlign w:val="subscript"/>
              </w:rPr>
              <w:t>2</w:t>
            </w:r>
            <w:r>
              <w:rPr>
                <w:rFonts w:hint="eastAsia"/>
                <w:bCs/>
                <w:color w:val="000000"/>
                <w:sz w:val="24"/>
                <w:szCs w:val="32"/>
              </w:rPr>
              <w:t>)，</w:t>
            </w:r>
            <w:r>
              <w:rPr>
                <w:bCs/>
                <w:color w:val="000000"/>
                <w:sz w:val="24"/>
                <w:szCs w:val="32"/>
              </w:rPr>
              <w:t>主要污染物为颗粒物</w:t>
            </w:r>
            <w:r>
              <w:rPr>
                <w:rFonts w:hint="eastAsia"/>
                <w:bCs/>
                <w:color w:val="000000"/>
                <w:sz w:val="24"/>
                <w:szCs w:val="32"/>
              </w:rPr>
              <w:t>。项目上料</w:t>
            </w:r>
            <w:r>
              <w:rPr>
                <w:bCs/>
                <w:color w:val="000000"/>
                <w:sz w:val="24"/>
                <w:szCs w:val="32"/>
              </w:rPr>
              <w:t>位于封闭的</w:t>
            </w:r>
            <w:r>
              <w:rPr>
                <w:rFonts w:hint="eastAsia"/>
                <w:bCs/>
                <w:color w:val="000000"/>
                <w:sz w:val="24"/>
                <w:szCs w:val="32"/>
              </w:rPr>
              <w:t>原料库</w:t>
            </w:r>
            <w:r>
              <w:rPr>
                <w:bCs/>
                <w:color w:val="000000"/>
                <w:sz w:val="24"/>
                <w:szCs w:val="32"/>
              </w:rPr>
              <w:t>内</w:t>
            </w:r>
            <w:r>
              <w:rPr>
                <w:rFonts w:hint="eastAsia"/>
                <w:bCs/>
                <w:color w:val="000000"/>
                <w:sz w:val="24"/>
                <w:szCs w:val="32"/>
              </w:rPr>
              <w:t>，产生的粉尘在密闭原料库内无组织排放，通过雾化装置喷雾抑尘。</w:t>
            </w:r>
          </w:p>
          <w:p w14:paraId="0FE17A90">
            <w:pPr>
              <w:adjustRightInd w:val="0"/>
              <w:snapToGrid w:val="0"/>
              <w:spacing w:line="480" w:lineRule="exact"/>
              <w:ind w:firstLine="470" w:firstLineChars="196"/>
              <w:rPr>
                <w:bCs/>
                <w:sz w:val="24"/>
                <w:szCs w:val="32"/>
              </w:rPr>
            </w:pPr>
            <w:r>
              <w:rPr>
                <w:rFonts w:hint="eastAsia"/>
                <w:bCs/>
                <w:sz w:val="24"/>
                <w:szCs w:val="32"/>
              </w:rPr>
              <w:t>(3)破碎筛分：给料机</w:t>
            </w:r>
            <w:r>
              <w:rPr>
                <w:rFonts w:hint="eastAsia"/>
                <w:bCs/>
                <w:sz w:val="24"/>
                <w:szCs w:val="32"/>
                <w:lang w:val="en-US" w:eastAsia="zh-CN"/>
              </w:rPr>
              <w:t>内物料</w:t>
            </w:r>
            <w:r>
              <w:rPr>
                <w:rFonts w:hint="eastAsia"/>
                <w:bCs/>
                <w:sz w:val="24"/>
                <w:szCs w:val="32"/>
              </w:rPr>
              <w:t>通过</w:t>
            </w:r>
            <w:r>
              <w:rPr>
                <w:rFonts w:hint="eastAsia"/>
                <w:bCs/>
                <w:color w:val="000000"/>
                <w:sz w:val="24"/>
                <w:szCs w:val="32"/>
              </w:rPr>
              <w:t>全密闭输送机输送至锤式破碎机中，利用锤式破碎机对其进行破碎，破碎后进入滚筒筛进行筛分，</w:t>
            </w:r>
            <w:r>
              <w:rPr>
                <w:bCs/>
                <w:color w:val="000000"/>
                <w:sz w:val="24"/>
                <w:szCs w:val="32"/>
              </w:rPr>
              <w:t>小于等于</w:t>
            </w:r>
            <w:r>
              <w:rPr>
                <w:rFonts w:hint="eastAsia"/>
                <w:bCs/>
                <w:color w:val="000000"/>
                <w:sz w:val="24"/>
                <w:szCs w:val="32"/>
              </w:rPr>
              <w:t>2.4mm的筛分料进入下一道工序，粗料返回再加工。</w:t>
            </w:r>
          </w:p>
          <w:p w14:paraId="2D7D1FA8">
            <w:pPr>
              <w:adjustRightInd w:val="0"/>
              <w:snapToGrid w:val="0"/>
              <w:spacing w:line="480" w:lineRule="exact"/>
              <w:ind w:firstLine="470" w:firstLineChars="196"/>
              <w:rPr>
                <w:bCs/>
                <w:sz w:val="24"/>
                <w:szCs w:val="32"/>
              </w:rPr>
            </w:pPr>
            <w:bookmarkStart w:id="8" w:name="OLE_LINK6"/>
            <w:r>
              <w:rPr>
                <w:rFonts w:hint="eastAsia"/>
                <w:bCs/>
                <w:sz w:val="24"/>
                <w:szCs w:val="36"/>
              </w:rPr>
              <w:t>产污环节分析及治理措施</w:t>
            </w:r>
            <w:r>
              <w:rPr>
                <w:bCs/>
                <w:sz w:val="24"/>
                <w:szCs w:val="36"/>
              </w:rPr>
              <w:t>：破碎过程会产生破碎粉尘(</w:t>
            </w:r>
            <w:r>
              <w:rPr>
                <w:rFonts w:hint="eastAsia"/>
                <w:bCs/>
                <w:sz w:val="24"/>
                <w:szCs w:val="36"/>
              </w:rPr>
              <w:t>G</w:t>
            </w:r>
            <w:r>
              <w:rPr>
                <w:rFonts w:hint="eastAsia"/>
                <w:bCs/>
                <w:sz w:val="24"/>
                <w:szCs w:val="36"/>
                <w:vertAlign w:val="subscript"/>
              </w:rPr>
              <w:t>3</w:t>
            </w:r>
            <w:r>
              <w:rPr>
                <w:bCs/>
                <w:sz w:val="24"/>
                <w:szCs w:val="36"/>
              </w:rPr>
              <w:t>)，筛分过程会产生筛分粉尘(</w:t>
            </w:r>
            <w:r>
              <w:rPr>
                <w:rFonts w:hint="eastAsia"/>
                <w:bCs/>
                <w:sz w:val="24"/>
                <w:szCs w:val="36"/>
              </w:rPr>
              <w:t>G</w:t>
            </w:r>
            <w:r>
              <w:rPr>
                <w:rFonts w:hint="eastAsia"/>
                <w:bCs/>
                <w:sz w:val="24"/>
                <w:szCs w:val="36"/>
                <w:vertAlign w:val="subscript"/>
              </w:rPr>
              <w:t>4</w:t>
            </w:r>
            <w:r>
              <w:rPr>
                <w:bCs/>
                <w:sz w:val="24"/>
                <w:szCs w:val="36"/>
              </w:rPr>
              <w:t>)，破碎粉尘和筛分粉尘经集气罩收集后进入同一套脉冲式袋除尘器(</w:t>
            </w:r>
            <w:r>
              <w:rPr>
                <w:rFonts w:hint="eastAsia"/>
                <w:bCs/>
                <w:sz w:val="24"/>
                <w:szCs w:val="36"/>
              </w:rPr>
              <w:t>TA001</w:t>
            </w:r>
            <w:r>
              <w:rPr>
                <w:bCs/>
                <w:sz w:val="24"/>
                <w:szCs w:val="36"/>
              </w:rPr>
              <w:t>)处理后通过</w:t>
            </w:r>
            <w:r>
              <w:rPr>
                <w:rFonts w:hint="eastAsia"/>
                <w:bCs/>
                <w:sz w:val="24"/>
                <w:szCs w:val="36"/>
              </w:rPr>
              <w:t>15m高排气筒排放。</w:t>
            </w:r>
            <w:r>
              <w:rPr>
                <w:bCs/>
                <w:sz w:val="24"/>
                <w:szCs w:val="36"/>
              </w:rPr>
              <w:t>会产生磁选废物(</w:t>
            </w:r>
            <w:r>
              <w:rPr>
                <w:rFonts w:hint="eastAsia"/>
                <w:bCs/>
                <w:sz w:val="24"/>
                <w:szCs w:val="36"/>
              </w:rPr>
              <w:t>S1</w:t>
            </w:r>
            <w:r>
              <w:rPr>
                <w:bCs/>
                <w:sz w:val="24"/>
                <w:szCs w:val="36"/>
              </w:rPr>
              <w:t>)，磁选废物经收集后暂存于厂区一般工业固体废物暂存仓库，外售综合利用</w:t>
            </w:r>
            <w:r>
              <w:rPr>
                <w:rFonts w:hint="eastAsia"/>
                <w:bCs/>
                <w:sz w:val="24"/>
                <w:szCs w:val="36"/>
              </w:rPr>
              <w:t>。</w:t>
            </w:r>
          </w:p>
          <w:bookmarkEnd w:id="8"/>
          <w:p w14:paraId="3AA94EDF">
            <w:pPr>
              <w:adjustRightInd w:val="0"/>
              <w:snapToGrid w:val="0"/>
              <w:spacing w:line="480" w:lineRule="exact"/>
              <w:ind w:firstLine="470" w:firstLineChars="196"/>
              <w:rPr>
                <w:bCs/>
                <w:sz w:val="24"/>
                <w:szCs w:val="32"/>
              </w:rPr>
            </w:pPr>
            <w:r>
              <w:rPr>
                <w:rFonts w:hint="eastAsia"/>
                <w:bCs/>
                <w:sz w:val="24"/>
                <w:szCs w:val="32"/>
              </w:rPr>
              <w:t>(4)搅拌、对辊：破碎筛分后的物料通过密闭传送带进入双轴搅拌机内加水搅拌，搅拌机进料口配设加水龙头，注水的同时减少粉尘的产生，搅拌后的物料含水率达到20%左右，由密闭输送机送至对辊机进行进一步研磨，此过程物料含水率较高，不产生粉尘。</w:t>
            </w:r>
          </w:p>
          <w:p w14:paraId="6D2865C6">
            <w:pPr>
              <w:adjustRightInd w:val="0"/>
              <w:snapToGrid w:val="0"/>
              <w:spacing w:line="480" w:lineRule="exact"/>
              <w:ind w:firstLine="470" w:firstLineChars="196"/>
              <w:rPr>
                <w:bCs/>
                <w:sz w:val="24"/>
                <w:szCs w:val="36"/>
              </w:rPr>
            </w:pPr>
            <w:r>
              <w:rPr>
                <w:rFonts w:hint="eastAsia"/>
                <w:bCs/>
                <w:sz w:val="24"/>
                <w:szCs w:val="36"/>
              </w:rPr>
              <w:t>(5)陈化：搅拌对辊均匀的物料通过密闭输送机输送至陈化车间，混合料在陈化车间内，经过2—3天充分陈化后，混合料中水分均匀化程度提高，从而使原料颗粒表面和内部性能更加均匀，提高了混合料的成型性能。</w:t>
            </w:r>
          </w:p>
          <w:p w14:paraId="6E47491C">
            <w:pPr>
              <w:adjustRightInd w:val="0"/>
              <w:snapToGrid w:val="0"/>
              <w:spacing w:line="480" w:lineRule="exact"/>
              <w:ind w:firstLine="470" w:firstLineChars="196"/>
              <w:rPr>
                <w:bCs/>
                <w:sz w:val="24"/>
                <w:szCs w:val="36"/>
              </w:rPr>
            </w:pPr>
            <w:r>
              <w:rPr>
                <w:rFonts w:hint="eastAsia"/>
                <w:bCs/>
                <w:sz w:val="24"/>
                <w:szCs w:val="36"/>
              </w:rPr>
              <w:t>产污环节分析及治理措施</w:t>
            </w:r>
            <w:r>
              <w:rPr>
                <w:bCs/>
                <w:sz w:val="24"/>
                <w:szCs w:val="36"/>
              </w:rPr>
              <w:t>：</w:t>
            </w:r>
            <w:r>
              <w:rPr>
                <w:rFonts w:hint="eastAsia"/>
                <w:bCs/>
                <w:sz w:val="24"/>
                <w:szCs w:val="36"/>
              </w:rPr>
              <w:t>此工序无污染物产生。</w:t>
            </w:r>
          </w:p>
          <w:p w14:paraId="016869E9">
            <w:pPr>
              <w:adjustRightInd w:val="0"/>
              <w:snapToGrid w:val="0"/>
              <w:spacing w:line="480" w:lineRule="exact"/>
              <w:ind w:firstLine="470" w:firstLineChars="196"/>
              <w:rPr>
                <w:bCs/>
                <w:sz w:val="24"/>
                <w:szCs w:val="32"/>
              </w:rPr>
            </w:pPr>
            <w:r>
              <w:rPr>
                <w:rFonts w:hint="eastAsia"/>
                <w:bCs/>
                <w:sz w:val="24"/>
                <w:szCs w:val="32"/>
              </w:rPr>
              <w:t>(6)搅拌：陈化后的混合料送至双轴搅拌机混合均匀，该过程为湿拌，不产生粉尘。</w:t>
            </w:r>
          </w:p>
          <w:p w14:paraId="7A395C7A">
            <w:pPr>
              <w:adjustRightInd w:val="0"/>
              <w:snapToGrid w:val="0"/>
              <w:spacing w:line="480" w:lineRule="exact"/>
              <w:ind w:firstLine="470" w:firstLineChars="196"/>
              <w:rPr>
                <w:bCs/>
                <w:sz w:val="24"/>
                <w:szCs w:val="32"/>
              </w:rPr>
            </w:pPr>
            <w:r>
              <w:rPr>
                <w:rFonts w:hint="eastAsia"/>
                <w:bCs/>
                <w:sz w:val="24"/>
                <w:szCs w:val="36"/>
              </w:rPr>
              <w:t>产污环节分析及治理措施</w:t>
            </w:r>
            <w:r>
              <w:rPr>
                <w:bCs/>
                <w:sz w:val="24"/>
                <w:szCs w:val="36"/>
              </w:rPr>
              <w:t>：此工序污染物产生。</w:t>
            </w:r>
          </w:p>
          <w:p w14:paraId="38D6CD2E">
            <w:pPr>
              <w:adjustRightInd w:val="0"/>
              <w:snapToGrid w:val="0"/>
              <w:spacing w:line="480" w:lineRule="exact"/>
              <w:ind w:firstLine="470" w:firstLineChars="196"/>
              <w:rPr>
                <w:bCs/>
                <w:sz w:val="24"/>
                <w:szCs w:val="32"/>
              </w:rPr>
            </w:pPr>
            <w:r>
              <w:rPr>
                <w:rFonts w:hint="eastAsia"/>
                <w:bCs/>
                <w:sz w:val="24"/>
                <w:szCs w:val="32"/>
              </w:rPr>
              <w:t>(7)挤出成型、切条、码坯：均质后的混合料通过移动布料机均匀布料，经搅拌挤出机或双级真空挤砖机挤出成型，经重型切条、切坯机切割成要求尺寸的砖坯，由运坯皮带输送至码车位，通过码坯机码坯。</w:t>
            </w:r>
          </w:p>
          <w:p w14:paraId="6270ECDA">
            <w:pPr>
              <w:adjustRightInd w:val="0"/>
              <w:snapToGrid w:val="0"/>
              <w:spacing w:line="480" w:lineRule="exact"/>
              <w:ind w:firstLine="470" w:firstLineChars="196"/>
              <w:rPr>
                <w:bCs/>
                <w:sz w:val="24"/>
                <w:szCs w:val="32"/>
              </w:rPr>
            </w:pPr>
            <w:bookmarkStart w:id="9" w:name="OLE_LINK8"/>
            <w:bookmarkStart w:id="10" w:name="OLE_LINK9"/>
            <w:r>
              <w:rPr>
                <w:rFonts w:hint="eastAsia"/>
                <w:bCs/>
                <w:sz w:val="24"/>
                <w:szCs w:val="36"/>
              </w:rPr>
              <w:t>产污环节分析及治理措施</w:t>
            </w:r>
            <w:r>
              <w:rPr>
                <w:bCs/>
                <w:sz w:val="24"/>
                <w:szCs w:val="36"/>
              </w:rPr>
              <w:t>：</w:t>
            </w:r>
            <w:bookmarkEnd w:id="9"/>
            <w:bookmarkEnd w:id="10"/>
            <w:r>
              <w:rPr>
                <w:rFonts w:hint="eastAsia"/>
                <w:bCs/>
                <w:sz w:val="24"/>
                <w:szCs w:val="36"/>
              </w:rPr>
              <w:t>此工序</w:t>
            </w:r>
            <w:r>
              <w:rPr>
                <w:bCs/>
                <w:sz w:val="24"/>
                <w:szCs w:val="36"/>
              </w:rPr>
              <w:t>会产生不合格产品(</w:t>
            </w:r>
            <w:r>
              <w:rPr>
                <w:rFonts w:hint="eastAsia"/>
                <w:bCs/>
                <w:sz w:val="24"/>
                <w:szCs w:val="36"/>
              </w:rPr>
              <w:t>S</w:t>
            </w:r>
            <w:r>
              <w:rPr>
                <w:rFonts w:hint="eastAsia"/>
                <w:bCs/>
                <w:sz w:val="24"/>
                <w:szCs w:val="36"/>
                <w:vertAlign w:val="subscript"/>
              </w:rPr>
              <w:t>2</w:t>
            </w:r>
            <w:r>
              <w:rPr>
                <w:bCs/>
                <w:sz w:val="24"/>
                <w:szCs w:val="36"/>
              </w:rPr>
              <w:t>)，收集后存放于破碎车间，回用于生产。</w:t>
            </w:r>
          </w:p>
          <w:p w14:paraId="7F4BFD3F">
            <w:pPr>
              <w:adjustRightInd w:val="0"/>
              <w:snapToGrid w:val="0"/>
              <w:spacing w:line="480" w:lineRule="exact"/>
              <w:ind w:firstLine="470" w:firstLineChars="196"/>
              <w:rPr>
                <w:bCs/>
                <w:sz w:val="24"/>
                <w:szCs w:val="32"/>
              </w:rPr>
            </w:pPr>
            <w:r>
              <w:rPr>
                <w:rFonts w:hint="eastAsia"/>
                <w:bCs/>
                <w:sz w:val="24"/>
                <w:szCs w:val="32"/>
              </w:rPr>
              <w:t>(8)干燥、焙烧：</w:t>
            </w:r>
          </w:p>
          <w:p w14:paraId="21CAD9C2">
            <w:pPr>
              <w:adjustRightInd w:val="0"/>
              <w:snapToGrid w:val="0"/>
              <w:spacing w:line="480" w:lineRule="exact"/>
              <w:ind w:firstLine="470" w:firstLineChars="196"/>
              <w:rPr>
                <w:bCs/>
                <w:color w:val="000000"/>
                <w:sz w:val="24"/>
                <w:szCs w:val="32"/>
              </w:rPr>
            </w:pPr>
            <w:r>
              <w:rPr>
                <w:bCs/>
                <w:color w:val="000000"/>
                <w:sz w:val="24"/>
                <w:szCs w:val="32"/>
              </w:rPr>
              <w:t>干燥</w:t>
            </w:r>
            <w:r>
              <w:rPr>
                <w:rFonts w:hint="eastAsia"/>
                <w:bCs/>
                <w:color w:val="000000"/>
                <w:sz w:val="24"/>
                <w:szCs w:val="32"/>
              </w:rPr>
              <w:t>、</w:t>
            </w:r>
            <w:r>
              <w:rPr>
                <w:bCs/>
                <w:color w:val="000000"/>
                <w:sz w:val="24"/>
                <w:szCs w:val="32"/>
              </w:rPr>
              <w:t>焙烧是烧结空心砖的重要工序</w:t>
            </w:r>
            <w:r>
              <w:rPr>
                <w:rFonts w:hint="eastAsia"/>
                <w:bCs/>
                <w:color w:val="000000"/>
                <w:sz w:val="24"/>
                <w:szCs w:val="32"/>
              </w:rPr>
              <w:t>。</w:t>
            </w:r>
            <w:r>
              <w:rPr>
                <w:bCs/>
                <w:color w:val="000000"/>
                <w:sz w:val="24"/>
                <w:szCs w:val="32"/>
              </w:rPr>
              <w:t>本项目干燥</w:t>
            </w:r>
            <w:r>
              <w:rPr>
                <w:rFonts w:hint="eastAsia"/>
                <w:bCs/>
                <w:color w:val="000000"/>
                <w:sz w:val="24"/>
                <w:szCs w:val="32"/>
              </w:rPr>
              <w:t>、</w:t>
            </w:r>
            <w:r>
              <w:rPr>
                <w:bCs/>
                <w:color w:val="000000"/>
                <w:sz w:val="24"/>
                <w:szCs w:val="32"/>
              </w:rPr>
              <w:t>焙烧工艺采用</w:t>
            </w:r>
            <w:r>
              <w:rPr>
                <w:rFonts w:hint="eastAsia"/>
                <w:bCs/>
                <w:color w:val="000000"/>
                <w:sz w:val="24"/>
                <w:szCs w:val="32"/>
              </w:rPr>
              <w:t>旋转窑。</w:t>
            </w:r>
          </w:p>
          <w:p w14:paraId="29CEC08B">
            <w:pPr>
              <w:adjustRightInd w:val="0"/>
              <w:snapToGrid w:val="0"/>
              <w:spacing w:line="480" w:lineRule="exact"/>
              <w:ind w:firstLine="470" w:firstLineChars="196"/>
              <w:rPr>
                <w:rFonts w:hint="eastAsia" w:eastAsia="宋体"/>
                <w:bCs/>
                <w:color w:val="000000"/>
                <w:sz w:val="24"/>
                <w:szCs w:val="32"/>
                <w:lang w:eastAsia="zh-CN"/>
              </w:rPr>
            </w:pPr>
            <w:r>
              <w:rPr>
                <w:rFonts w:hint="eastAsia"/>
                <w:bCs/>
                <w:color w:val="000000"/>
                <w:sz w:val="24"/>
                <w:szCs w:val="32"/>
              </w:rPr>
              <w:t>窑体在环形轨道上以每天70米至120米的速度缓慢、连续地向前移动</w:t>
            </w:r>
            <w:r>
              <w:rPr>
                <w:rFonts w:hint="eastAsia"/>
                <w:bCs/>
                <w:color w:val="000000"/>
                <w:sz w:val="24"/>
                <w:szCs w:val="32"/>
                <w:lang w:eastAsia="zh-CN"/>
              </w:rPr>
              <w:t>，</w:t>
            </w:r>
            <w:r>
              <w:rPr>
                <w:rFonts w:hint="eastAsia"/>
                <w:bCs/>
                <w:color w:val="000000"/>
                <w:sz w:val="24"/>
                <w:szCs w:val="32"/>
              </w:rPr>
              <w:t>内部从入口到出口依次划分为几个功能区</w:t>
            </w:r>
            <w:r>
              <w:rPr>
                <w:rFonts w:hint="eastAsia"/>
                <w:bCs/>
                <w:color w:val="000000"/>
                <w:sz w:val="24"/>
                <w:szCs w:val="32"/>
                <w:lang w:eastAsia="zh-CN"/>
              </w:rPr>
              <w:t>：</w:t>
            </w:r>
          </w:p>
          <w:p w14:paraId="23F018F8">
            <w:pPr>
              <w:adjustRightInd w:val="0"/>
              <w:snapToGrid w:val="0"/>
              <w:spacing w:line="480" w:lineRule="exact"/>
              <w:ind w:firstLine="470" w:firstLineChars="196"/>
              <w:rPr>
                <w:rFonts w:hint="eastAsia"/>
                <w:bCs/>
                <w:color w:val="000000"/>
                <w:sz w:val="24"/>
                <w:szCs w:val="32"/>
              </w:rPr>
            </w:pPr>
            <w:r>
              <w:rPr>
                <w:rFonts w:hint="eastAsia"/>
                <w:bCs/>
                <w:color w:val="000000"/>
                <w:sz w:val="24"/>
                <w:szCs w:val="32"/>
              </w:rPr>
              <w:t>干燥段：湿砖坯进入窑体后，首先来到干燥段。这里的热源来自窑体后方冷却段回收的余热，通过风机将热风抽送至此处。热风将砖坯的含水率从约16% 降至2%左右，这个过程通常需要24小时左右。</w:t>
            </w:r>
          </w:p>
          <w:p w14:paraId="47F7CADB">
            <w:pPr>
              <w:adjustRightInd w:val="0"/>
              <w:snapToGrid w:val="0"/>
              <w:spacing w:line="480" w:lineRule="exact"/>
              <w:ind w:firstLine="470" w:firstLineChars="196"/>
              <w:rPr>
                <w:rFonts w:hint="eastAsia"/>
                <w:bCs/>
                <w:color w:val="000000"/>
                <w:sz w:val="24"/>
                <w:szCs w:val="32"/>
              </w:rPr>
            </w:pPr>
            <w:r>
              <w:rPr>
                <w:rFonts w:hint="eastAsia"/>
                <w:bCs/>
                <w:color w:val="000000"/>
                <w:sz w:val="24"/>
                <w:szCs w:val="32"/>
              </w:rPr>
              <w:t>预热段：干燥后的砖坯随窑体移动进入预热段。来自焙烧段的高温烟气在引风机作用下被抽向此处，将砖坯逐步加热到300-350℃。</w:t>
            </w:r>
          </w:p>
          <w:p w14:paraId="5A12BEE6">
            <w:pPr>
              <w:adjustRightInd w:val="0"/>
              <w:snapToGrid w:val="0"/>
              <w:spacing w:line="480" w:lineRule="exact"/>
              <w:ind w:firstLine="470" w:firstLineChars="196"/>
              <w:rPr>
                <w:rFonts w:hint="eastAsia"/>
                <w:bCs/>
                <w:color w:val="000000"/>
                <w:sz w:val="24"/>
                <w:szCs w:val="32"/>
              </w:rPr>
            </w:pPr>
            <w:r>
              <w:rPr>
                <w:rFonts w:hint="eastAsia"/>
                <w:bCs/>
                <w:color w:val="000000"/>
                <w:sz w:val="24"/>
                <w:szCs w:val="32"/>
              </w:rPr>
              <w:t>焙烧段：预热后的砖坯进入焙烧段，温度被提升至850-1050℃。此时，砖坯内部含有的煤矸石等可燃物开始自身燃烧，提供所需热量，这种内燃焙烧工艺极大地节省了外部燃料。</w:t>
            </w:r>
          </w:p>
          <w:p w14:paraId="705CB1C6">
            <w:pPr>
              <w:adjustRightInd w:val="0"/>
              <w:snapToGrid w:val="0"/>
              <w:spacing w:line="480" w:lineRule="exact"/>
              <w:ind w:firstLine="470" w:firstLineChars="196"/>
              <w:rPr>
                <w:rFonts w:hint="eastAsia"/>
                <w:bCs/>
                <w:color w:val="000000"/>
                <w:sz w:val="24"/>
                <w:szCs w:val="32"/>
              </w:rPr>
            </w:pPr>
            <w:r>
              <w:rPr>
                <w:rFonts w:hint="eastAsia"/>
                <w:bCs/>
                <w:color w:val="000000"/>
                <w:sz w:val="24"/>
                <w:szCs w:val="32"/>
              </w:rPr>
              <w:t>保温段：砖坯在最高温度下烧成后，会进入保温段，在此温度下停留一段时间，以完成最终的物理化学</w:t>
            </w:r>
            <w:r>
              <w:rPr>
                <w:rFonts w:hint="eastAsia"/>
                <w:bCs/>
                <w:color w:val="000000"/>
                <w:sz w:val="24"/>
                <w:szCs w:val="32"/>
                <w:lang w:val="en-US" w:eastAsia="zh-CN"/>
              </w:rPr>
              <w:t>变化</w:t>
            </w:r>
            <w:r>
              <w:rPr>
                <w:rFonts w:hint="eastAsia"/>
                <w:bCs/>
                <w:color w:val="000000"/>
                <w:sz w:val="24"/>
                <w:szCs w:val="32"/>
              </w:rPr>
              <w:t>，确保砖块的质量和强度。</w:t>
            </w:r>
          </w:p>
          <w:p w14:paraId="0461DDC8">
            <w:pPr>
              <w:adjustRightInd w:val="0"/>
              <w:snapToGrid w:val="0"/>
              <w:spacing w:line="480" w:lineRule="exact"/>
              <w:ind w:firstLine="470" w:firstLineChars="196"/>
              <w:rPr>
                <w:rFonts w:hint="eastAsia" w:eastAsia="宋体"/>
                <w:bCs/>
                <w:color w:val="000000"/>
                <w:sz w:val="24"/>
                <w:szCs w:val="32"/>
                <w:lang w:eastAsia="zh-CN"/>
              </w:rPr>
            </w:pPr>
            <w:r>
              <w:rPr>
                <w:rFonts w:hint="eastAsia"/>
                <w:bCs/>
                <w:color w:val="000000"/>
                <w:sz w:val="24"/>
                <w:szCs w:val="32"/>
              </w:rPr>
              <w:t>冷却段：烧成的砖块最后进入冷却段。从窑尾鼓入的冷风在此处与热砖块进行热交换，冷风被加热后被抽回用于干燥段的湿砖坯，而砖块自身则被冷却至室温</w:t>
            </w:r>
            <w:r>
              <w:rPr>
                <w:rFonts w:hint="eastAsia"/>
                <w:bCs/>
                <w:color w:val="000000"/>
                <w:sz w:val="24"/>
                <w:szCs w:val="32"/>
                <w:lang w:eastAsia="zh-CN"/>
              </w:rPr>
              <w:t>。</w:t>
            </w:r>
          </w:p>
          <w:p w14:paraId="6880D59A">
            <w:pPr>
              <w:adjustRightInd w:val="0"/>
              <w:snapToGrid w:val="0"/>
              <w:spacing w:line="480" w:lineRule="exact"/>
              <w:ind w:firstLine="470" w:firstLineChars="196"/>
              <w:rPr>
                <w:bCs/>
                <w:sz w:val="24"/>
                <w:szCs w:val="32"/>
              </w:rPr>
            </w:pPr>
            <w:r>
              <w:rPr>
                <w:rFonts w:hint="eastAsia"/>
                <w:bCs/>
                <w:sz w:val="24"/>
                <w:szCs w:val="36"/>
              </w:rPr>
              <w:t>产污环节分析及治理措施</w:t>
            </w:r>
            <w:r>
              <w:rPr>
                <w:bCs/>
                <w:sz w:val="24"/>
                <w:szCs w:val="36"/>
              </w:rPr>
              <w:t>：此工序会产生干燥焙烧废气(</w:t>
            </w:r>
            <w:r>
              <w:rPr>
                <w:rFonts w:hint="eastAsia"/>
                <w:bCs/>
                <w:sz w:val="24"/>
                <w:szCs w:val="36"/>
              </w:rPr>
              <w:t>G</w:t>
            </w:r>
            <w:r>
              <w:rPr>
                <w:rFonts w:hint="eastAsia"/>
                <w:bCs/>
                <w:sz w:val="24"/>
                <w:szCs w:val="36"/>
                <w:vertAlign w:val="subscript"/>
              </w:rPr>
              <w:t>6</w:t>
            </w:r>
            <w:r>
              <w:rPr>
                <w:bCs/>
                <w:sz w:val="24"/>
                <w:szCs w:val="36"/>
              </w:rPr>
              <w:t>)，炉内收集后进入</w:t>
            </w:r>
            <w:r>
              <w:rPr>
                <w:rFonts w:hint="eastAsia"/>
                <w:bCs/>
                <w:sz w:val="24"/>
                <w:szCs w:val="36"/>
              </w:rPr>
              <w:t>石灰石—石膏法脱硫+湿</w:t>
            </w:r>
            <w:r>
              <w:rPr>
                <w:bCs/>
                <w:sz w:val="24"/>
                <w:szCs w:val="36"/>
              </w:rPr>
              <w:t>式静电除尘器</w:t>
            </w:r>
            <w:r>
              <w:rPr>
                <w:rFonts w:hint="eastAsia"/>
                <w:bCs/>
                <w:sz w:val="24"/>
                <w:szCs w:val="36"/>
              </w:rPr>
              <w:t>处理后通过35m高排气筒(DA002)排放。</w:t>
            </w:r>
          </w:p>
          <w:p w14:paraId="6C46DF8F">
            <w:pPr>
              <w:adjustRightInd w:val="0"/>
              <w:snapToGrid w:val="0"/>
              <w:spacing w:line="480" w:lineRule="exact"/>
              <w:ind w:firstLine="470" w:firstLineChars="196"/>
              <w:rPr>
                <w:bCs/>
                <w:sz w:val="24"/>
                <w:szCs w:val="32"/>
              </w:rPr>
            </w:pPr>
            <w:r>
              <w:rPr>
                <w:rFonts w:hint="eastAsia"/>
                <w:bCs/>
                <w:sz w:val="24"/>
                <w:szCs w:val="32"/>
              </w:rPr>
              <w:t>(10)包装：</w:t>
            </w:r>
            <w:r>
              <w:rPr>
                <w:bCs/>
                <w:sz w:val="24"/>
                <w:szCs w:val="32"/>
              </w:rPr>
              <w:t>烧制好的烧结砖冷却后</w:t>
            </w:r>
            <w:r>
              <w:rPr>
                <w:rFonts w:hint="eastAsia"/>
                <w:bCs/>
                <w:sz w:val="24"/>
                <w:szCs w:val="32"/>
              </w:rPr>
              <w:t>，由牵引机</w:t>
            </w:r>
            <w:r>
              <w:rPr>
                <w:bCs/>
                <w:sz w:val="24"/>
                <w:szCs w:val="32"/>
              </w:rPr>
              <w:t>将窑车运到</w:t>
            </w:r>
            <w:r>
              <w:rPr>
                <w:rFonts w:hint="eastAsia"/>
                <w:bCs/>
                <w:sz w:val="24"/>
                <w:szCs w:val="32"/>
              </w:rPr>
              <w:t>成品</w:t>
            </w:r>
            <w:r>
              <w:rPr>
                <w:bCs/>
                <w:sz w:val="24"/>
                <w:szCs w:val="32"/>
              </w:rPr>
              <w:t>堆放区</w:t>
            </w:r>
            <w:r>
              <w:rPr>
                <w:rFonts w:hint="eastAsia"/>
                <w:bCs/>
                <w:sz w:val="24"/>
                <w:szCs w:val="32"/>
              </w:rPr>
              <w:t>卸砖，同时对砖的质量进行检查。</w:t>
            </w:r>
          </w:p>
          <w:p w14:paraId="6F7F5203">
            <w:pPr>
              <w:adjustRightInd w:val="0"/>
              <w:snapToGrid w:val="0"/>
              <w:spacing w:line="480" w:lineRule="exact"/>
              <w:ind w:firstLine="470" w:firstLineChars="196"/>
              <w:rPr>
                <w:bCs/>
                <w:sz w:val="24"/>
                <w:szCs w:val="32"/>
              </w:rPr>
            </w:pPr>
            <w:r>
              <w:rPr>
                <w:rFonts w:hint="eastAsia"/>
                <w:bCs/>
                <w:sz w:val="24"/>
                <w:szCs w:val="36"/>
              </w:rPr>
              <w:t>产污环节分析及治理措施</w:t>
            </w:r>
            <w:r>
              <w:rPr>
                <w:bCs/>
                <w:sz w:val="24"/>
                <w:szCs w:val="36"/>
              </w:rPr>
              <w:t>：</w:t>
            </w:r>
            <w:r>
              <w:rPr>
                <w:rFonts w:hint="eastAsia"/>
                <w:bCs/>
                <w:sz w:val="24"/>
                <w:szCs w:val="32"/>
              </w:rPr>
              <w:t>此工序无污染物产生。</w:t>
            </w:r>
          </w:p>
          <w:p w14:paraId="7AD76194">
            <w:pPr>
              <w:autoSpaceDE w:val="0"/>
              <w:autoSpaceDN w:val="0"/>
              <w:spacing w:line="480" w:lineRule="exact"/>
              <w:jc w:val="center"/>
              <w:rPr>
                <w:rFonts w:hint="eastAsia" w:ascii="黑体" w:hAnsi="黑体" w:eastAsia="黑体" w:cs="黑体"/>
                <w:bCs/>
                <w:sz w:val="24"/>
                <w:szCs w:val="32"/>
              </w:rPr>
            </w:pPr>
          </w:p>
          <w:p w14:paraId="6DBCF2EC">
            <w:pPr>
              <w:autoSpaceDE w:val="0"/>
              <w:autoSpaceDN w:val="0"/>
              <w:spacing w:line="480" w:lineRule="exact"/>
              <w:jc w:val="center"/>
              <w:rPr>
                <w:rFonts w:hint="eastAsia" w:ascii="黑体" w:hAnsi="黑体" w:eastAsia="黑体" w:cs="黑体"/>
                <w:bCs/>
                <w:sz w:val="24"/>
                <w:szCs w:val="32"/>
              </w:rPr>
            </w:pPr>
          </w:p>
          <w:p w14:paraId="0EA36DB7">
            <w:pPr>
              <w:autoSpaceDE w:val="0"/>
              <w:autoSpaceDN w:val="0"/>
              <w:spacing w:line="480" w:lineRule="exact"/>
              <w:jc w:val="center"/>
              <w:rPr>
                <w:rFonts w:hint="eastAsia" w:ascii="黑体" w:hAnsi="黑体" w:eastAsia="黑体" w:cs="黑体"/>
                <w:bCs/>
                <w:sz w:val="24"/>
                <w:szCs w:val="32"/>
              </w:rPr>
            </w:pPr>
          </w:p>
          <w:p w14:paraId="3E1BF09D">
            <w:pPr>
              <w:autoSpaceDE w:val="0"/>
              <w:autoSpaceDN w:val="0"/>
              <w:spacing w:line="480" w:lineRule="exact"/>
              <w:jc w:val="center"/>
              <w:rPr>
                <w:rFonts w:hint="eastAsia" w:ascii="黑体" w:hAnsi="黑体" w:eastAsia="黑体" w:cs="黑体"/>
                <w:sz w:val="24"/>
                <w:szCs w:val="32"/>
              </w:rPr>
            </w:pPr>
            <w:r>
              <w:rPr>
                <w:rFonts w:hint="eastAsia" w:ascii="黑体" w:hAnsi="黑体" w:eastAsia="黑体" w:cs="黑体"/>
                <w:bCs/>
                <w:sz w:val="24"/>
                <w:szCs w:val="32"/>
              </w:rPr>
              <w:t>表2-8  产污环节分析表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889"/>
              <w:gridCol w:w="823"/>
              <w:gridCol w:w="1166"/>
              <w:gridCol w:w="3882"/>
            </w:tblGrid>
            <w:tr w14:paraId="30F5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gridSpan w:val="2"/>
                  <w:noWrap w:val="0"/>
                  <w:vAlign w:val="center"/>
                </w:tcPr>
                <w:p w14:paraId="0FCF25CE">
                  <w:pPr>
                    <w:pStyle w:val="194"/>
                    <w:spacing w:line="320" w:lineRule="exact"/>
                    <w:ind w:firstLine="0" w:firstLineChars="0"/>
                    <w:jc w:val="center"/>
                    <w:rPr>
                      <w:b/>
                      <w:sz w:val="21"/>
                      <w:szCs w:val="21"/>
                    </w:rPr>
                  </w:pPr>
                  <w:r>
                    <w:rPr>
                      <w:rFonts w:hAnsi="宋体"/>
                      <w:b/>
                      <w:sz w:val="21"/>
                      <w:szCs w:val="21"/>
                    </w:rPr>
                    <w:t>种类</w:t>
                  </w:r>
                </w:p>
              </w:tc>
              <w:tc>
                <w:tcPr>
                  <w:tcW w:w="823" w:type="dxa"/>
                  <w:noWrap w:val="0"/>
                  <w:vAlign w:val="center"/>
                </w:tcPr>
                <w:p w14:paraId="248816C4">
                  <w:pPr>
                    <w:pStyle w:val="194"/>
                    <w:spacing w:line="320" w:lineRule="exact"/>
                    <w:ind w:firstLine="0" w:firstLineChars="0"/>
                    <w:jc w:val="center"/>
                    <w:rPr>
                      <w:b/>
                      <w:sz w:val="21"/>
                      <w:szCs w:val="21"/>
                    </w:rPr>
                  </w:pPr>
                  <w:r>
                    <w:rPr>
                      <w:rFonts w:hAnsi="宋体"/>
                      <w:b/>
                      <w:sz w:val="21"/>
                      <w:szCs w:val="21"/>
                    </w:rPr>
                    <w:t>产生工序</w:t>
                  </w:r>
                </w:p>
              </w:tc>
              <w:tc>
                <w:tcPr>
                  <w:tcW w:w="1166" w:type="dxa"/>
                  <w:noWrap w:val="0"/>
                  <w:vAlign w:val="center"/>
                </w:tcPr>
                <w:p w14:paraId="76C71E8A">
                  <w:pPr>
                    <w:pStyle w:val="194"/>
                    <w:spacing w:line="320" w:lineRule="exact"/>
                    <w:ind w:firstLine="0" w:firstLineChars="0"/>
                    <w:jc w:val="center"/>
                    <w:rPr>
                      <w:b/>
                      <w:sz w:val="21"/>
                      <w:szCs w:val="21"/>
                    </w:rPr>
                  </w:pPr>
                  <w:r>
                    <w:rPr>
                      <w:rFonts w:hAnsi="宋体"/>
                      <w:b/>
                      <w:sz w:val="21"/>
                      <w:szCs w:val="21"/>
                    </w:rPr>
                    <w:t>污染物</w:t>
                  </w:r>
                </w:p>
              </w:tc>
              <w:tc>
                <w:tcPr>
                  <w:tcW w:w="3882" w:type="dxa"/>
                  <w:noWrap w:val="0"/>
                  <w:vAlign w:val="center"/>
                </w:tcPr>
                <w:p w14:paraId="7F86A2A9">
                  <w:pPr>
                    <w:pStyle w:val="194"/>
                    <w:spacing w:line="320" w:lineRule="exact"/>
                    <w:ind w:firstLine="0" w:firstLineChars="0"/>
                    <w:jc w:val="center"/>
                    <w:rPr>
                      <w:b/>
                      <w:sz w:val="21"/>
                      <w:szCs w:val="21"/>
                    </w:rPr>
                  </w:pPr>
                  <w:r>
                    <w:rPr>
                      <w:rFonts w:hAnsi="宋体"/>
                      <w:b/>
                      <w:sz w:val="21"/>
                      <w:szCs w:val="21"/>
                    </w:rPr>
                    <w:t>收集方式及治理措施</w:t>
                  </w:r>
                </w:p>
              </w:tc>
            </w:tr>
            <w:tr w14:paraId="248F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dxa"/>
                  <w:vMerge w:val="restart"/>
                  <w:noWrap w:val="0"/>
                  <w:vAlign w:val="center"/>
                </w:tcPr>
                <w:p w14:paraId="69DA25C8">
                  <w:pPr>
                    <w:pStyle w:val="194"/>
                    <w:spacing w:line="320" w:lineRule="exact"/>
                    <w:ind w:firstLine="0" w:firstLineChars="0"/>
                    <w:jc w:val="center"/>
                    <w:rPr>
                      <w:sz w:val="21"/>
                      <w:szCs w:val="21"/>
                    </w:rPr>
                  </w:pPr>
                  <w:r>
                    <w:rPr>
                      <w:rFonts w:hAnsi="宋体"/>
                      <w:sz w:val="21"/>
                      <w:szCs w:val="21"/>
                    </w:rPr>
                    <w:t>废气</w:t>
                  </w:r>
                </w:p>
              </w:tc>
              <w:tc>
                <w:tcPr>
                  <w:tcW w:w="1889" w:type="dxa"/>
                  <w:noWrap w:val="0"/>
                  <w:vAlign w:val="center"/>
                </w:tcPr>
                <w:p w14:paraId="76A954E2">
                  <w:pPr>
                    <w:pStyle w:val="194"/>
                    <w:spacing w:line="320" w:lineRule="exact"/>
                    <w:ind w:firstLine="0" w:firstLineChars="0"/>
                    <w:jc w:val="center"/>
                    <w:rPr>
                      <w:sz w:val="21"/>
                      <w:szCs w:val="21"/>
                    </w:rPr>
                  </w:pPr>
                  <w:r>
                    <w:rPr>
                      <w:rFonts w:hAnsi="宋体"/>
                      <w:sz w:val="21"/>
                      <w:szCs w:val="21"/>
                    </w:rPr>
                    <w:t>卸料粉尘(</w:t>
                  </w:r>
                  <w:r>
                    <w:rPr>
                      <w:sz w:val="21"/>
                      <w:szCs w:val="21"/>
                    </w:rPr>
                    <w:t>G</w:t>
                  </w:r>
                  <w:r>
                    <w:rPr>
                      <w:sz w:val="21"/>
                      <w:szCs w:val="21"/>
                      <w:vertAlign w:val="subscript"/>
                    </w:rPr>
                    <w:t>1</w:t>
                  </w:r>
                  <w:r>
                    <w:rPr>
                      <w:rFonts w:hAnsi="宋体"/>
                      <w:sz w:val="21"/>
                      <w:szCs w:val="21"/>
                    </w:rPr>
                    <w:t>)</w:t>
                  </w:r>
                </w:p>
              </w:tc>
              <w:tc>
                <w:tcPr>
                  <w:tcW w:w="823" w:type="dxa"/>
                  <w:noWrap w:val="0"/>
                  <w:vAlign w:val="center"/>
                </w:tcPr>
                <w:p w14:paraId="3003E8D7">
                  <w:pPr>
                    <w:pStyle w:val="194"/>
                    <w:spacing w:line="320" w:lineRule="exact"/>
                    <w:ind w:firstLine="0" w:firstLineChars="0"/>
                    <w:jc w:val="center"/>
                    <w:rPr>
                      <w:sz w:val="21"/>
                      <w:szCs w:val="21"/>
                    </w:rPr>
                  </w:pPr>
                  <w:r>
                    <w:rPr>
                      <w:rFonts w:hAnsi="宋体"/>
                      <w:sz w:val="21"/>
                      <w:szCs w:val="21"/>
                    </w:rPr>
                    <w:t>卸料</w:t>
                  </w:r>
                </w:p>
              </w:tc>
              <w:tc>
                <w:tcPr>
                  <w:tcW w:w="1166" w:type="dxa"/>
                  <w:noWrap w:val="0"/>
                  <w:vAlign w:val="center"/>
                </w:tcPr>
                <w:p w14:paraId="2F87D188">
                  <w:pPr>
                    <w:pStyle w:val="194"/>
                    <w:spacing w:line="320" w:lineRule="exact"/>
                    <w:ind w:firstLine="0" w:firstLineChars="0"/>
                    <w:jc w:val="center"/>
                    <w:rPr>
                      <w:sz w:val="21"/>
                      <w:szCs w:val="21"/>
                    </w:rPr>
                  </w:pPr>
                  <w:r>
                    <w:rPr>
                      <w:rFonts w:hAnsi="宋体"/>
                      <w:sz w:val="21"/>
                      <w:szCs w:val="21"/>
                    </w:rPr>
                    <w:t>颗粒物</w:t>
                  </w:r>
                </w:p>
              </w:tc>
              <w:tc>
                <w:tcPr>
                  <w:tcW w:w="3882" w:type="dxa"/>
                  <w:noWrap w:val="0"/>
                  <w:vAlign w:val="center"/>
                </w:tcPr>
                <w:p w14:paraId="3D06D92F">
                  <w:pPr>
                    <w:pStyle w:val="194"/>
                    <w:spacing w:line="320" w:lineRule="exact"/>
                    <w:ind w:firstLine="0" w:firstLineChars="0"/>
                    <w:jc w:val="center"/>
                    <w:rPr>
                      <w:sz w:val="21"/>
                      <w:szCs w:val="21"/>
                    </w:rPr>
                  </w:pPr>
                  <w:r>
                    <w:rPr>
                      <w:rFonts w:hAnsi="宋体"/>
                      <w:sz w:val="21"/>
                      <w:szCs w:val="21"/>
                    </w:rPr>
                    <w:t>原料库内无组织排放，雾化装置喷雾抑尘</w:t>
                  </w:r>
                </w:p>
              </w:tc>
            </w:tr>
            <w:tr w14:paraId="7794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dxa"/>
                  <w:vMerge w:val="continue"/>
                  <w:noWrap w:val="0"/>
                  <w:vAlign w:val="center"/>
                </w:tcPr>
                <w:p w14:paraId="7366A346">
                  <w:pPr>
                    <w:pStyle w:val="194"/>
                    <w:spacing w:line="320" w:lineRule="exact"/>
                    <w:ind w:firstLine="420"/>
                    <w:jc w:val="center"/>
                    <w:rPr>
                      <w:sz w:val="21"/>
                      <w:szCs w:val="21"/>
                    </w:rPr>
                  </w:pPr>
                </w:p>
              </w:tc>
              <w:tc>
                <w:tcPr>
                  <w:tcW w:w="1889" w:type="dxa"/>
                  <w:noWrap w:val="0"/>
                  <w:vAlign w:val="center"/>
                </w:tcPr>
                <w:p w14:paraId="32026689">
                  <w:pPr>
                    <w:pStyle w:val="194"/>
                    <w:spacing w:line="320" w:lineRule="exact"/>
                    <w:ind w:firstLine="0" w:firstLineChars="0"/>
                    <w:jc w:val="center"/>
                    <w:rPr>
                      <w:sz w:val="21"/>
                      <w:szCs w:val="21"/>
                    </w:rPr>
                  </w:pPr>
                  <w:r>
                    <w:rPr>
                      <w:rFonts w:hAnsi="宋体"/>
                      <w:sz w:val="21"/>
                      <w:szCs w:val="21"/>
                    </w:rPr>
                    <w:t>上料粉尘(</w:t>
                  </w:r>
                  <w:r>
                    <w:rPr>
                      <w:sz w:val="21"/>
                      <w:szCs w:val="21"/>
                    </w:rPr>
                    <w:t>G</w:t>
                  </w:r>
                  <w:r>
                    <w:rPr>
                      <w:sz w:val="21"/>
                      <w:szCs w:val="21"/>
                      <w:vertAlign w:val="subscript"/>
                    </w:rPr>
                    <w:t>2</w:t>
                  </w:r>
                  <w:r>
                    <w:rPr>
                      <w:rFonts w:hAnsi="宋体"/>
                      <w:sz w:val="21"/>
                      <w:szCs w:val="21"/>
                    </w:rPr>
                    <w:t>)</w:t>
                  </w:r>
                </w:p>
              </w:tc>
              <w:tc>
                <w:tcPr>
                  <w:tcW w:w="823" w:type="dxa"/>
                  <w:noWrap w:val="0"/>
                  <w:vAlign w:val="center"/>
                </w:tcPr>
                <w:p w14:paraId="2D3CE89A">
                  <w:pPr>
                    <w:pStyle w:val="194"/>
                    <w:spacing w:line="320" w:lineRule="exact"/>
                    <w:ind w:firstLine="0" w:firstLineChars="0"/>
                    <w:jc w:val="center"/>
                    <w:rPr>
                      <w:sz w:val="21"/>
                      <w:szCs w:val="21"/>
                    </w:rPr>
                  </w:pPr>
                  <w:r>
                    <w:rPr>
                      <w:rFonts w:hint="eastAsia"/>
                      <w:sz w:val="21"/>
                      <w:szCs w:val="21"/>
                    </w:rPr>
                    <w:t>上料</w:t>
                  </w:r>
                </w:p>
              </w:tc>
              <w:tc>
                <w:tcPr>
                  <w:tcW w:w="1166" w:type="dxa"/>
                  <w:noWrap w:val="0"/>
                  <w:vAlign w:val="center"/>
                </w:tcPr>
                <w:p w14:paraId="23DC4AA2">
                  <w:pPr>
                    <w:pStyle w:val="194"/>
                    <w:spacing w:line="320" w:lineRule="exact"/>
                    <w:ind w:firstLine="0" w:firstLineChars="0"/>
                    <w:jc w:val="center"/>
                    <w:rPr>
                      <w:sz w:val="21"/>
                      <w:szCs w:val="21"/>
                    </w:rPr>
                  </w:pPr>
                  <w:r>
                    <w:rPr>
                      <w:rFonts w:hAnsi="宋体"/>
                      <w:sz w:val="21"/>
                      <w:szCs w:val="21"/>
                    </w:rPr>
                    <w:t>颗粒物</w:t>
                  </w:r>
                </w:p>
              </w:tc>
              <w:tc>
                <w:tcPr>
                  <w:tcW w:w="3882" w:type="dxa"/>
                  <w:noWrap w:val="0"/>
                  <w:vAlign w:val="center"/>
                </w:tcPr>
                <w:p w14:paraId="5323E406">
                  <w:pPr>
                    <w:pStyle w:val="194"/>
                    <w:spacing w:line="320" w:lineRule="exact"/>
                    <w:ind w:firstLine="0" w:firstLineChars="0"/>
                    <w:jc w:val="center"/>
                    <w:rPr>
                      <w:sz w:val="21"/>
                      <w:szCs w:val="21"/>
                    </w:rPr>
                  </w:pPr>
                  <w:r>
                    <w:rPr>
                      <w:rFonts w:hAnsi="宋体"/>
                      <w:sz w:val="21"/>
                      <w:szCs w:val="21"/>
                    </w:rPr>
                    <w:t>集气罩收集，脉冲式布袋除尘器(</w:t>
                  </w:r>
                  <w:r>
                    <w:rPr>
                      <w:sz w:val="21"/>
                      <w:szCs w:val="21"/>
                    </w:rPr>
                    <w:t>TA001</w:t>
                  </w:r>
                  <w:r>
                    <w:rPr>
                      <w:rFonts w:hAnsi="宋体"/>
                      <w:sz w:val="21"/>
                      <w:szCs w:val="21"/>
                    </w:rPr>
                    <w:t>)去除后，</w:t>
                  </w:r>
                  <w:r>
                    <w:rPr>
                      <w:sz w:val="21"/>
                      <w:szCs w:val="21"/>
                    </w:rPr>
                    <w:t>15m</w:t>
                  </w:r>
                  <w:r>
                    <w:rPr>
                      <w:rFonts w:hAnsi="宋体"/>
                      <w:sz w:val="21"/>
                      <w:szCs w:val="21"/>
                    </w:rPr>
                    <w:t>高</w:t>
                  </w:r>
                  <w:r>
                    <w:rPr>
                      <w:sz w:val="21"/>
                      <w:szCs w:val="21"/>
                    </w:rPr>
                    <w:t>DA001</w:t>
                  </w:r>
                  <w:r>
                    <w:rPr>
                      <w:rFonts w:hAnsi="宋体"/>
                      <w:sz w:val="21"/>
                      <w:szCs w:val="21"/>
                    </w:rPr>
                    <w:t>排气筒排放</w:t>
                  </w:r>
                </w:p>
              </w:tc>
            </w:tr>
            <w:tr w14:paraId="1296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dxa"/>
                  <w:vMerge w:val="continue"/>
                  <w:noWrap w:val="0"/>
                  <w:vAlign w:val="center"/>
                </w:tcPr>
                <w:p w14:paraId="01E5C9FC">
                  <w:pPr>
                    <w:pStyle w:val="194"/>
                    <w:spacing w:line="320" w:lineRule="exact"/>
                    <w:ind w:firstLine="420"/>
                    <w:jc w:val="center"/>
                    <w:rPr>
                      <w:sz w:val="21"/>
                      <w:szCs w:val="21"/>
                    </w:rPr>
                  </w:pPr>
                </w:p>
              </w:tc>
              <w:tc>
                <w:tcPr>
                  <w:tcW w:w="1889" w:type="dxa"/>
                  <w:noWrap w:val="0"/>
                  <w:vAlign w:val="center"/>
                </w:tcPr>
                <w:p w14:paraId="055609BA">
                  <w:pPr>
                    <w:pStyle w:val="194"/>
                    <w:spacing w:line="320" w:lineRule="exact"/>
                    <w:ind w:firstLine="0" w:firstLineChars="0"/>
                    <w:jc w:val="center"/>
                    <w:rPr>
                      <w:sz w:val="21"/>
                      <w:szCs w:val="21"/>
                    </w:rPr>
                  </w:pPr>
                  <w:r>
                    <w:rPr>
                      <w:rFonts w:hAnsi="宋体"/>
                      <w:sz w:val="21"/>
                      <w:szCs w:val="21"/>
                    </w:rPr>
                    <w:t>破碎粉尘(</w:t>
                  </w:r>
                  <w:r>
                    <w:rPr>
                      <w:sz w:val="21"/>
                      <w:szCs w:val="21"/>
                    </w:rPr>
                    <w:t>G</w:t>
                  </w:r>
                  <w:r>
                    <w:rPr>
                      <w:sz w:val="21"/>
                      <w:szCs w:val="21"/>
                      <w:vertAlign w:val="subscript"/>
                    </w:rPr>
                    <w:t>3</w:t>
                  </w:r>
                  <w:r>
                    <w:rPr>
                      <w:rFonts w:hAnsi="宋体"/>
                      <w:sz w:val="21"/>
                      <w:szCs w:val="21"/>
                    </w:rPr>
                    <w:t>)</w:t>
                  </w:r>
                </w:p>
              </w:tc>
              <w:tc>
                <w:tcPr>
                  <w:tcW w:w="823" w:type="dxa"/>
                  <w:noWrap w:val="0"/>
                  <w:vAlign w:val="center"/>
                </w:tcPr>
                <w:p w14:paraId="31B633B6">
                  <w:pPr>
                    <w:pStyle w:val="194"/>
                    <w:spacing w:line="320" w:lineRule="exact"/>
                    <w:ind w:firstLine="0" w:firstLineChars="0"/>
                    <w:jc w:val="center"/>
                    <w:rPr>
                      <w:sz w:val="21"/>
                      <w:szCs w:val="21"/>
                    </w:rPr>
                  </w:pPr>
                  <w:r>
                    <w:rPr>
                      <w:rFonts w:hAnsi="宋体"/>
                      <w:sz w:val="21"/>
                      <w:szCs w:val="21"/>
                    </w:rPr>
                    <w:t>破碎</w:t>
                  </w:r>
                </w:p>
              </w:tc>
              <w:tc>
                <w:tcPr>
                  <w:tcW w:w="1166" w:type="dxa"/>
                  <w:noWrap w:val="0"/>
                  <w:vAlign w:val="center"/>
                </w:tcPr>
                <w:p w14:paraId="36A56BBC">
                  <w:pPr>
                    <w:pStyle w:val="194"/>
                    <w:spacing w:line="320" w:lineRule="exact"/>
                    <w:ind w:firstLine="0" w:firstLineChars="0"/>
                    <w:jc w:val="center"/>
                    <w:rPr>
                      <w:sz w:val="21"/>
                      <w:szCs w:val="21"/>
                    </w:rPr>
                  </w:pPr>
                  <w:r>
                    <w:rPr>
                      <w:rFonts w:hAnsi="宋体"/>
                      <w:sz w:val="21"/>
                      <w:szCs w:val="21"/>
                    </w:rPr>
                    <w:t>颗粒物</w:t>
                  </w:r>
                </w:p>
              </w:tc>
              <w:tc>
                <w:tcPr>
                  <w:tcW w:w="3882" w:type="dxa"/>
                  <w:noWrap w:val="0"/>
                  <w:vAlign w:val="center"/>
                </w:tcPr>
                <w:p w14:paraId="3A581D1D">
                  <w:pPr>
                    <w:pStyle w:val="194"/>
                    <w:spacing w:line="320" w:lineRule="exact"/>
                    <w:ind w:firstLine="0" w:firstLineChars="0"/>
                    <w:jc w:val="center"/>
                    <w:rPr>
                      <w:sz w:val="21"/>
                      <w:szCs w:val="21"/>
                    </w:rPr>
                  </w:pPr>
                  <w:r>
                    <w:rPr>
                      <w:rFonts w:hAnsi="宋体"/>
                      <w:sz w:val="21"/>
                      <w:szCs w:val="21"/>
                    </w:rPr>
                    <w:t>集气罩收集，脉冲式布袋除尘器(</w:t>
                  </w:r>
                  <w:r>
                    <w:rPr>
                      <w:sz w:val="21"/>
                      <w:szCs w:val="21"/>
                    </w:rPr>
                    <w:t>TA001</w:t>
                  </w:r>
                  <w:r>
                    <w:rPr>
                      <w:rFonts w:hAnsi="宋体"/>
                      <w:sz w:val="21"/>
                      <w:szCs w:val="21"/>
                    </w:rPr>
                    <w:t>)去除后，</w:t>
                  </w:r>
                  <w:r>
                    <w:rPr>
                      <w:sz w:val="21"/>
                      <w:szCs w:val="21"/>
                    </w:rPr>
                    <w:t>15m</w:t>
                  </w:r>
                  <w:r>
                    <w:rPr>
                      <w:rFonts w:hAnsi="宋体"/>
                      <w:sz w:val="21"/>
                      <w:szCs w:val="21"/>
                    </w:rPr>
                    <w:t>高</w:t>
                  </w:r>
                  <w:r>
                    <w:rPr>
                      <w:sz w:val="21"/>
                      <w:szCs w:val="21"/>
                    </w:rPr>
                    <w:t>DA001</w:t>
                  </w:r>
                  <w:r>
                    <w:rPr>
                      <w:rFonts w:hAnsi="宋体"/>
                      <w:sz w:val="21"/>
                      <w:szCs w:val="21"/>
                    </w:rPr>
                    <w:t>排气筒排放</w:t>
                  </w:r>
                </w:p>
              </w:tc>
            </w:tr>
            <w:tr w14:paraId="2A90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dxa"/>
                  <w:vMerge w:val="continue"/>
                  <w:noWrap w:val="0"/>
                  <w:vAlign w:val="center"/>
                </w:tcPr>
                <w:p w14:paraId="5DFB57D6">
                  <w:pPr>
                    <w:pStyle w:val="194"/>
                    <w:spacing w:line="320" w:lineRule="exact"/>
                    <w:ind w:firstLine="420"/>
                    <w:jc w:val="center"/>
                    <w:rPr>
                      <w:sz w:val="21"/>
                      <w:szCs w:val="21"/>
                    </w:rPr>
                  </w:pPr>
                </w:p>
              </w:tc>
              <w:tc>
                <w:tcPr>
                  <w:tcW w:w="1889" w:type="dxa"/>
                  <w:noWrap w:val="0"/>
                  <w:vAlign w:val="center"/>
                </w:tcPr>
                <w:p w14:paraId="4F0CD460">
                  <w:pPr>
                    <w:pStyle w:val="194"/>
                    <w:spacing w:line="320" w:lineRule="exact"/>
                    <w:ind w:firstLine="0" w:firstLineChars="0"/>
                    <w:jc w:val="center"/>
                    <w:rPr>
                      <w:sz w:val="21"/>
                      <w:szCs w:val="21"/>
                    </w:rPr>
                  </w:pPr>
                  <w:r>
                    <w:rPr>
                      <w:rFonts w:hAnsi="宋体"/>
                      <w:sz w:val="21"/>
                      <w:szCs w:val="21"/>
                    </w:rPr>
                    <w:t>筛分粉尘(</w:t>
                  </w:r>
                  <w:r>
                    <w:rPr>
                      <w:sz w:val="21"/>
                      <w:szCs w:val="21"/>
                    </w:rPr>
                    <w:t>G</w:t>
                  </w:r>
                  <w:r>
                    <w:rPr>
                      <w:sz w:val="21"/>
                      <w:szCs w:val="21"/>
                      <w:vertAlign w:val="subscript"/>
                    </w:rPr>
                    <w:t>4</w:t>
                  </w:r>
                  <w:r>
                    <w:rPr>
                      <w:rFonts w:hAnsi="宋体"/>
                      <w:sz w:val="21"/>
                      <w:szCs w:val="21"/>
                    </w:rPr>
                    <w:t>)</w:t>
                  </w:r>
                </w:p>
              </w:tc>
              <w:tc>
                <w:tcPr>
                  <w:tcW w:w="823" w:type="dxa"/>
                  <w:noWrap w:val="0"/>
                  <w:vAlign w:val="center"/>
                </w:tcPr>
                <w:p w14:paraId="6EB27070">
                  <w:pPr>
                    <w:pStyle w:val="194"/>
                    <w:spacing w:line="320" w:lineRule="exact"/>
                    <w:ind w:firstLine="0" w:firstLineChars="0"/>
                    <w:jc w:val="center"/>
                    <w:rPr>
                      <w:sz w:val="21"/>
                      <w:szCs w:val="21"/>
                    </w:rPr>
                  </w:pPr>
                  <w:r>
                    <w:rPr>
                      <w:rFonts w:hAnsi="宋体"/>
                      <w:sz w:val="21"/>
                      <w:szCs w:val="21"/>
                    </w:rPr>
                    <w:t>筛分</w:t>
                  </w:r>
                </w:p>
              </w:tc>
              <w:tc>
                <w:tcPr>
                  <w:tcW w:w="1166" w:type="dxa"/>
                  <w:noWrap w:val="0"/>
                  <w:vAlign w:val="center"/>
                </w:tcPr>
                <w:p w14:paraId="0B1121DE">
                  <w:pPr>
                    <w:pStyle w:val="194"/>
                    <w:spacing w:line="320" w:lineRule="exact"/>
                    <w:ind w:firstLine="0" w:firstLineChars="0"/>
                    <w:jc w:val="center"/>
                    <w:rPr>
                      <w:sz w:val="21"/>
                      <w:szCs w:val="21"/>
                    </w:rPr>
                  </w:pPr>
                  <w:r>
                    <w:rPr>
                      <w:rFonts w:hAnsi="宋体"/>
                      <w:sz w:val="21"/>
                      <w:szCs w:val="21"/>
                    </w:rPr>
                    <w:t>颗粒物</w:t>
                  </w:r>
                </w:p>
              </w:tc>
              <w:tc>
                <w:tcPr>
                  <w:tcW w:w="3882" w:type="dxa"/>
                  <w:noWrap w:val="0"/>
                  <w:vAlign w:val="center"/>
                </w:tcPr>
                <w:p w14:paraId="2B1A8273">
                  <w:pPr>
                    <w:pStyle w:val="194"/>
                    <w:spacing w:line="320" w:lineRule="exact"/>
                    <w:ind w:firstLine="0" w:firstLineChars="0"/>
                    <w:jc w:val="center"/>
                    <w:rPr>
                      <w:sz w:val="21"/>
                      <w:szCs w:val="21"/>
                    </w:rPr>
                  </w:pPr>
                  <w:r>
                    <w:rPr>
                      <w:rFonts w:hAnsi="宋体"/>
                      <w:sz w:val="21"/>
                      <w:szCs w:val="21"/>
                    </w:rPr>
                    <w:t>集气罩收集，脉冲式布袋除尘器(</w:t>
                  </w:r>
                  <w:r>
                    <w:rPr>
                      <w:sz w:val="21"/>
                      <w:szCs w:val="21"/>
                    </w:rPr>
                    <w:t>TA001</w:t>
                  </w:r>
                  <w:r>
                    <w:rPr>
                      <w:rFonts w:hAnsi="宋体"/>
                      <w:sz w:val="21"/>
                      <w:szCs w:val="21"/>
                    </w:rPr>
                    <w:t>)去除后，</w:t>
                  </w:r>
                  <w:r>
                    <w:rPr>
                      <w:sz w:val="21"/>
                      <w:szCs w:val="21"/>
                    </w:rPr>
                    <w:t>15m</w:t>
                  </w:r>
                  <w:r>
                    <w:rPr>
                      <w:rFonts w:hAnsi="宋体"/>
                      <w:sz w:val="21"/>
                      <w:szCs w:val="21"/>
                    </w:rPr>
                    <w:t>高</w:t>
                  </w:r>
                  <w:r>
                    <w:rPr>
                      <w:sz w:val="21"/>
                      <w:szCs w:val="21"/>
                    </w:rPr>
                    <w:t>DA001</w:t>
                  </w:r>
                  <w:r>
                    <w:rPr>
                      <w:rFonts w:hAnsi="宋体"/>
                      <w:sz w:val="21"/>
                      <w:szCs w:val="21"/>
                    </w:rPr>
                    <w:t>排气筒排放</w:t>
                  </w:r>
                </w:p>
              </w:tc>
            </w:tr>
            <w:tr w14:paraId="1AC4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629" w:type="dxa"/>
                  <w:vMerge w:val="continue"/>
                  <w:noWrap w:val="0"/>
                  <w:vAlign w:val="center"/>
                </w:tcPr>
                <w:p w14:paraId="38F391E6">
                  <w:pPr>
                    <w:pStyle w:val="194"/>
                    <w:spacing w:line="320" w:lineRule="exact"/>
                    <w:ind w:firstLine="420"/>
                    <w:jc w:val="center"/>
                    <w:rPr>
                      <w:sz w:val="21"/>
                      <w:szCs w:val="21"/>
                    </w:rPr>
                  </w:pPr>
                </w:p>
              </w:tc>
              <w:tc>
                <w:tcPr>
                  <w:tcW w:w="1889" w:type="dxa"/>
                  <w:noWrap w:val="0"/>
                  <w:vAlign w:val="center"/>
                </w:tcPr>
                <w:p w14:paraId="2138B498">
                  <w:pPr>
                    <w:pStyle w:val="194"/>
                    <w:spacing w:line="320" w:lineRule="exact"/>
                    <w:ind w:firstLine="0" w:firstLineChars="0"/>
                    <w:jc w:val="center"/>
                    <w:rPr>
                      <w:sz w:val="21"/>
                      <w:szCs w:val="21"/>
                    </w:rPr>
                  </w:pPr>
                  <w:r>
                    <w:rPr>
                      <w:rFonts w:hAnsi="宋体"/>
                      <w:sz w:val="21"/>
                      <w:szCs w:val="21"/>
                    </w:rPr>
                    <w:t>干燥焙烧(</w:t>
                  </w:r>
                  <w:r>
                    <w:rPr>
                      <w:sz w:val="21"/>
                      <w:szCs w:val="21"/>
                    </w:rPr>
                    <w:t>G</w:t>
                  </w:r>
                  <w:r>
                    <w:rPr>
                      <w:rFonts w:hint="eastAsia"/>
                      <w:sz w:val="21"/>
                      <w:szCs w:val="21"/>
                      <w:vertAlign w:val="subscript"/>
                    </w:rPr>
                    <w:t>5</w:t>
                  </w:r>
                  <w:r>
                    <w:rPr>
                      <w:rFonts w:hAnsi="宋体"/>
                      <w:sz w:val="21"/>
                      <w:szCs w:val="21"/>
                    </w:rPr>
                    <w:t>)</w:t>
                  </w:r>
                </w:p>
              </w:tc>
              <w:tc>
                <w:tcPr>
                  <w:tcW w:w="823" w:type="dxa"/>
                  <w:noWrap w:val="0"/>
                  <w:vAlign w:val="center"/>
                </w:tcPr>
                <w:p w14:paraId="161452B2">
                  <w:pPr>
                    <w:pStyle w:val="194"/>
                    <w:spacing w:line="320" w:lineRule="exact"/>
                    <w:ind w:firstLine="0" w:firstLineChars="0"/>
                    <w:jc w:val="center"/>
                    <w:rPr>
                      <w:sz w:val="21"/>
                      <w:szCs w:val="21"/>
                    </w:rPr>
                  </w:pPr>
                  <w:r>
                    <w:rPr>
                      <w:rFonts w:hAnsi="宋体"/>
                      <w:sz w:val="21"/>
                      <w:szCs w:val="21"/>
                    </w:rPr>
                    <w:t>干燥焙烧</w:t>
                  </w:r>
                </w:p>
              </w:tc>
              <w:tc>
                <w:tcPr>
                  <w:tcW w:w="1166" w:type="dxa"/>
                  <w:noWrap w:val="0"/>
                  <w:vAlign w:val="center"/>
                </w:tcPr>
                <w:p w14:paraId="0D394031">
                  <w:pPr>
                    <w:pStyle w:val="194"/>
                    <w:spacing w:line="320" w:lineRule="exact"/>
                    <w:ind w:firstLine="0" w:firstLineChars="0"/>
                    <w:jc w:val="center"/>
                    <w:rPr>
                      <w:sz w:val="21"/>
                      <w:szCs w:val="21"/>
                    </w:rPr>
                  </w:pPr>
                  <w:r>
                    <w:rPr>
                      <w:rFonts w:hAnsi="宋体"/>
                      <w:sz w:val="21"/>
                      <w:szCs w:val="21"/>
                    </w:rPr>
                    <w:t>粉尘、二氧化硫、氟化物、氮氧化物</w:t>
                  </w:r>
                </w:p>
              </w:tc>
              <w:tc>
                <w:tcPr>
                  <w:tcW w:w="3882" w:type="dxa"/>
                  <w:noWrap w:val="0"/>
                  <w:vAlign w:val="center"/>
                </w:tcPr>
                <w:p w14:paraId="56E6130D">
                  <w:pPr>
                    <w:pStyle w:val="194"/>
                    <w:spacing w:line="320" w:lineRule="exact"/>
                    <w:ind w:firstLine="0" w:firstLineChars="0"/>
                    <w:jc w:val="both"/>
                    <w:rPr>
                      <w:sz w:val="21"/>
                      <w:szCs w:val="21"/>
                    </w:rPr>
                  </w:pPr>
                  <w:r>
                    <w:rPr>
                      <w:rFonts w:hint="eastAsia" w:hAnsi="宋体"/>
                      <w:sz w:val="21"/>
                      <w:szCs w:val="21"/>
                      <w:lang w:val="en-US" w:eastAsia="zh-CN"/>
                    </w:rPr>
                    <w:t>负压</w:t>
                  </w:r>
                  <w:r>
                    <w:rPr>
                      <w:rFonts w:hAnsi="宋体"/>
                      <w:sz w:val="21"/>
                      <w:szCs w:val="21"/>
                    </w:rPr>
                    <w:t>收集，</w:t>
                  </w:r>
                  <w:r>
                    <w:rPr>
                      <w:rFonts w:hint="eastAsia" w:hAnsi="宋体"/>
                      <w:sz w:val="21"/>
                      <w:szCs w:val="21"/>
                      <w:lang w:val="en-US" w:eastAsia="zh-CN"/>
                    </w:rPr>
                    <w:t>SNCR+</w:t>
                  </w:r>
                  <w:r>
                    <w:rPr>
                      <w:rFonts w:hint="eastAsia" w:hAnsi="宋体"/>
                      <w:sz w:val="21"/>
                      <w:szCs w:val="21"/>
                    </w:rPr>
                    <w:t>石灰石</w:t>
                  </w:r>
                  <w:r>
                    <w:rPr>
                      <w:rFonts w:hAnsi="宋体"/>
                      <w:sz w:val="21"/>
                      <w:szCs w:val="21"/>
                    </w:rPr>
                    <w:t>—石膏法脱硫</w:t>
                  </w:r>
                  <w:r>
                    <w:rPr>
                      <w:rFonts w:hint="eastAsia" w:hAnsi="宋体"/>
                      <w:sz w:val="21"/>
                      <w:szCs w:val="21"/>
                    </w:rPr>
                    <w:t>+</w:t>
                  </w:r>
                  <w:r>
                    <w:rPr>
                      <w:rFonts w:hAnsi="宋体"/>
                      <w:sz w:val="21"/>
                      <w:szCs w:val="21"/>
                    </w:rPr>
                    <w:t>湿式静电除尘器去除后，</w:t>
                  </w:r>
                  <w:r>
                    <w:rPr>
                      <w:rFonts w:hint="eastAsia"/>
                      <w:sz w:val="21"/>
                      <w:szCs w:val="21"/>
                    </w:rPr>
                    <w:t>35</w:t>
                  </w:r>
                  <w:r>
                    <w:rPr>
                      <w:sz w:val="21"/>
                      <w:szCs w:val="21"/>
                    </w:rPr>
                    <w:t>m</w:t>
                  </w:r>
                  <w:r>
                    <w:rPr>
                      <w:rFonts w:hAnsi="宋体"/>
                      <w:sz w:val="21"/>
                      <w:szCs w:val="21"/>
                    </w:rPr>
                    <w:t>高</w:t>
                  </w:r>
                  <w:r>
                    <w:rPr>
                      <w:sz w:val="21"/>
                      <w:szCs w:val="21"/>
                    </w:rPr>
                    <w:t>DA002</w:t>
                  </w:r>
                  <w:r>
                    <w:rPr>
                      <w:rFonts w:hAnsi="宋体"/>
                      <w:sz w:val="21"/>
                      <w:szCs w:val="21"/>
                    </w:rPr>
                    <w:t>排气筒排放</w:t>
                  </w:r>
                </w:p>
              </w:tc>
            </w:tr>
            <w:tr w14:paraId="4ECA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29" w:type="dxa"/>
                  <w:noWrap w:val="0"/>
                  <w:vAlign w:val="center"/>
                </w:tcPr>
                <w:p w14:paraId="6E3A7350">
                  <w:pPr>
                    <w:pStyle w:val="194"/>
                    <w:spacing w:line="320" w:lineRule="exact"/>
                    <w:ind w:firstLine="0" w:firstLineChars="0"/>
                    <w:jc w:val="center"/>
                    <w:rPr>
                      <w:sz w:val="21"/>
                      <w:szCs w:val="21"/>
                    </w:rPr>
                  </w:pPr>
                  <w:r>
                    <w:rPr>
                      <w:rFonts w:hAnsi="宋体"/>
                      <w:sz w:val="21"/>
                      <w:szCs w:val="21"/>
                    </w:rPr>
                    <w:t>固废</w:t>
                  </w:r>
                </w:p>
              </w:tc>
              <w:tc>
                <w:tcPr>
                  <w:tcW w:w="1889" w:type="dxa"/>
                  <w:noWrap w:val="0"/>
                  <w:vAlign w:val="center"/>
                </w:tcPr>
                <w:p w14:paraId="1F234CB7">
                  <w:pPr>
                    <w:pStyle w:val="194"/>
                    <w:spacing w:line="320" w:lineRule="exact"/>
                    <w:ind w:firstLine="0" w:firstLineChars="0"/>
                    <w:jc w:val="center"/>
                    <w:rPr>
                      <w:sz w:val="21"/>
                      <w:szCs w:val="21"/>
                    </w:rPr>
                  </w:pPr>
                  <w:r>
                    <w:rPr>
                      <w:rFonts w:hAnsi="宋体"/>
                      <w:sz w:val="21"/>
                      <w:szCs w:val="21"/>
                    </w:rPr>
                    <w:t>磁选废物</w:t>
                  </w:r>
                </w:p>
              </w:tc>
              <w:tc>
                <w:tcPr>
                  <w:tcW w:w="823" w:type="dxa"/>
                  <w:noWrap w:val="0"/>
                  <w:vAlign w:val="center"/>
                </w:tcPr>
                <w:p w14:paraId="3B0AC5D5">
                  <w:pPr>
                    <w:pStyle w:val="194"/>
                    <w:spacing w:line="320" w:lineRule="exact"/>
                    <w:ind w:firstLine="0" w:firstLineChars="0"/>
                    <w:jc w:val="center"/>
                    <w:rPr>
                      <w:sz w:val="21"/>
                      <w:szCs w:val="21"/>
                    </w:rPr>
                  </w:pPr>
                  <w:r>
                    <w:rPr>
                      <w:rFonts w:hAnsi="宋体"/>
                      <w:sz w:val="21"/>
                      <w:szCs w:val="21"/>
                    </w:rPr>
                    <w:t>磁选</w:t>
                  </w:r>
                </w:p>
              </w:tc>
              <w:tc>
                <w:tcPr>
                  <w:tcW w:w="1166" w:type="dxa"/>
                  <w:noWrap w:val="0"/>
                  <w:vAlign w:val="center"/>
                </w:tcPr>
                <w:p w14:paraId="60FB4E80">
                  <w:pPr>
                    <w:pStyle w:val="194"/>
                    <w:spacing w:line="320" w:lineRule="exact"/>
                    <w:ind w:firstLine="0" w:firstLineChars="0"/>
                    <w:jc w:val="center"/>
                    <w:rPr>
                      <w:sz w:val="21"/>
                      <w:szCs w:val="21"/>
                    </w:rPr>
                  </w:pPr>
                  <w:r>
                    <w:rPr>
                      <w:rFonts w:hAnsi="宋体"/>
                      <w:sz w:val="21"/>
                      <w:szCs w:val="21"/>
                    </w:rPr>
                    <w:t>铁质</w:t>
                  </w:r>
                </w:p>
              </w:tc>
              <w:tc>
                <w:tcPr>
                  <w:tcW w:w="3882" w:type="dxa"/>
                  <w:noWrap w:val="0"/>
                  <w:vAlign w:val="center"/>
                </w:tcPr>
                <w:p w14:paraId="569E3579">
                  <w:pPr>
                    <w:pStyle w:val="194"/>
                    <w:spacing w:line="320" w:lineRule="exact"/>
                    <w:ind w:firstLine="0" w:firstLineChars="0"/>
                    <w:jc w:val="center"/>
                    <w:rPr>
                      <w:sz w:val="21"/>
                      <w:szCs w:val="21"/>
                    </w:rPr>
                  </w:pPr>
                  <w:r>
                    <w:rPr>
                      <w:rFonts w:hAnsi="宋体"/>
                      <w:sz w:val="21"/>
                      <w:szCs w:val="21"/>
                    </w:rPr>
                    <w:t>收集后外售综合利用</w:t>
                  </w:r>
                </w:p>
              </w:tc>
            </w:tr>
          </w:tbl>
          <w:p w14:paraId="5BEE78CC">
            <w:pPr>
              <w:adjustRightInd w:val="0"/>
              <w:snapToGrid w:val="0"/>
              <w:rPr>
                <w:rFonts w:hint="eastAsia"/>
                <w:bCs/>
                <w:szCs w:val="21"/>
              </w:rPr>
            </w:pPr>
          </w:p>
          <w:p w14:paraId="4BBECA99">
            <w:pPr>
              <w:adjustRightInd w:val="0"/>
              <w:snapToGrid w:val="0"/>
              <w:rPr>
                <w:rFonts w:hint="eastAsia"/>
                <w:bCs/>
                <w:szCs w:val="21"/>
              </w:rPr>
            </w:pPr>
          </w:p>
          <w:p w14:paraId="27BBE7D5">
            <w:pPr>
              <w:adjustRightInd w:val="0"/>
              <w:snapToGrid w:val="0"/>
              <w:rPr>
                <w:rFonts w:hint="eastAsia"/>
                <w:bCs/>
                <w:szCs w:val="21"/>
              </w:rPr>
            </w:pPr>
          </w:p>
          <w:p w14:paraId="3E5CBA6A">
            <w:pPr>
              <w:adjustRightInd w:val="0"/>
              <w:snapToGrid w:val="0"/>
              <w:rPr>
                <w:rFonts w:hint="eastAsia"/>
                <w:bCs/>
                <w:szCs w:val="21"/>
              </w:rPr>
            </w:pPr>
          </w:p>
          <w:p w14:paraId="49C9727F">
            <w:pPr>
              <w:adjustRightInd w:val="0"/>
              <w:snapToGrid w:val="0"/>
              <w:rPr>
                <w:rFonts w:hint="eastAsia"/>
                <w:bCs/>
                <w:szCs w:val="21"/>
              </w:rPr>
            </w:pPr>
          </w:p>
          <w:p w14:paraId="67F437CC">
            <w:pPr>
              <w:adjustRightInd w:val="0"/>
              <w:snapToGrid w:val="0"/>
              <w:rPr>
                <w:rFonts w:hint="eastAsia"/>
                <w:bCs/>
                <w:szCs w:val="21"/>
              </w:rPr>
            </w:pPr>
          </w:p>
          <w:p w14:paraId="359C9D1B">
            <w:pPr>
              <w:adjustRightInd w:val="0"/>
              <w:snapToGrid w:val="0"/>
              <w:rPr>
                <w:rFonts w:hint="eastAsia"/>
                <w:bCs/>
                <w:szCs w:val="21"/>
              </w:rPr>
            </w:pPr>
          </w:p>
          <w:p w14:paraId="0B9F83E9">
            <w:pPr>
              <w:adjustRightInd w:val="0"/>
              <w:snapToGrid w:val="0"/>
              <w:rPr>
                <w:rFonts w:hint="eastAsia"/>
                <w:bCs/>
                <w:szCs w:val="21"/>
              </w:rPr>
            </w:pPr>
          </w:p>
          <w:p w14:paraId="535B9DED">
            <w:pPr>
              <w:adjustRightInd w:val="0"/>
              <w:snapToGrid w:val="0"/>
              <w:rPr>
                <w:rFonts w:hint="eastAsia"/>
                <w:bCs/>
                <w:szCs w:val="21"/>
              </w:rPr>
            </w:pPr>
          </w:p>
          <w:p w14:paraId="27B58AE8">
            <w:pPr>
              <w:adjustRightInd w:val="0"/>
              <w:snapToGrid w:val="0"/>
              <w:rPr>
                <w:rFonts w:hint="eastAsia"/>
                <w:bCs/>
                <w:szCs w:val="21"/>
              </w:rPr>
            </w:pPr>
          </w:p>
          <w:p w14:paraId="248A56F7">
            <w:pPr>
              <w:adjustRightInd w:val="0"/>
              <w:snapToGrid w:val="0"/>
              <w:rPr>
                <w:rFonts w:hint="eastAsia"/>
                <w:bCs/>
                <w:szCs w:val="21"/>
              </w:rPr>
            </w:pPr>
          </w:p>
          <w:p w14:paraId="49E6C3B7">
            <w:pPr>
              <w:adjustRightInd w:val="0"/>
              <w:snapToGrid w:val="0"/>
              <w:rPr>
                <w:rFonts w:hint="eastAsia"/>
                <w:bCs/>
                <w:szCs w:val="21"/>
              </w:rPr>
            </w:pPr>
          </w:p>
          <w:p w14:paraId="2DFEDE36">
            <w:pPr>
              <w:adjustRightInd w:val="0"/>
              <w:snapToGrid w:val="0"/>
              <w:rPr>
                <w:rFonts w:hint="eastAsia"/>
                <w:bCs/>
                <w:szCs w:val="21"/>
              </w:rPr>
            </w:pPr>
          </w:p>
          <w:p w14:paraId="59070DCC">
            <w:pPr>
              <w:adjustRightInd w:val="0"/>
              <w:snapToGrid w:val="0"/>
              <w:rPr>
                <w:rFonts w:hint="eastAsia"/>
                <w:bCs/>
                <w:szCs w:val="21"/>
              </w:rPr>
            </w:pPr>
          </w:p>
          <w:p w14:paraId="1B9FE299">
            <w:pPr>
              <w:adjustRightInd w:val="0"/>
              <w:snapToGrid w:val="0"/>
              <w:rPr>
                <w:rFonts w:hint="eastAsia"/>
                <w:bCs/>
                <w:szCs w:val="21"/>
              </w:rPr>
            </w:pPr>
          </w:p>
          <w:p w14:paraId="79BCD69B">
            <w:pPr>
              <w:adjustRightInd w:val="0"/>
              <w:snapToGrid w:val="0"/>
              <w:rPr>
                <w:rFonts w:hint="eastAsia"/>
                <w:bCs/>
                <w:szCs w:val="21"/>
              </w:rPr>
            </w:pPr>
          </w:p>
          <w:p w14:paraId="00BDD1AE">
            <w:pPr>
              <w:adjustRightInd w:val="0"/>
              <w:snapToGrid w:val="0"/>
              <w:rPr>
                <w:rFonts w:hint="eastAsia"/>
                <w:bCs/>
                <w:szCs w:val="21"/>
              </w:rPr>
            </w:pPr>
          </w:p>
          <w:p w14:paraId="17AA9230">
            <w:pPr>
              <w:adjustRightInd w:val="0"/>
              <w:snapToGrid w:val="0"/>
              <w:rPr>
                <w:rFonts w:hint="eastAsia"/>
                <w:bCs/>
                <w:szCs w:val="21"/>
              </w:rPr>
            </w:pPr>
          </w:p>
          <w:p w14:paraId="6598E59C">
            <w:pPr>
              <w:adjustRightInd w:val="0"/>
              <w:snapToGrid w:val="0"/>
              <w:rPr>
                <w:rFonts w:hint="eastAsia"/>
                <w:bCs/>
                <w:szCs w:val="21"/>
              </w:rPr>
            </w:pPr>
          </w:p>
          <w:p w14:paraId="7E67BEEB">
            <w:pPr>
              <w:adjustRightInd w:val="0"/>
              <w:snapToGrid w:val="0"/>
              <w:rPr>
                <w:rFonts w:hint="eastAsia"/>
                <w:bCs/>
                <w:szCs w:val="21"/>
              </w:rPr>
            </w:pPr>
          </w:p>
          <w:p w14:paraId="4714BB73">
            <w:pPr>
              <w:adjustRightInd w:val="0"/>
              <w:snapToGrid w:val="0"/>
              <w:rPr>
                <w:rFonts w:hint="eastAsia"/>
                <w:bCs/>
                <w:szCs w:val="21"/>
              </w:rPr>
            </w:pPr>
          </w:p>
          <w:p w14:paraId="501994B1">
            <w:pPr>
              <w:adjustRightInd w:val="0"/>
              <w:snapToGrid w:val="0"/>
              <w:rPr>
                <w:rFonts w:hint="eastAsia"/>
                <w:bCs/>
                <w:szCs w:val="21"/>
              </w:rPr>
            </w:pPr>
          </w:p>
          <w:p w14:paraId="509758DA">
            <w:pPr>
              <w:adjustRightInd w:val="0"/>
              <w:snapToGrid w:val="0"/>
              <w:rPr>
                <w:rFonts w:hint="eastAsia"/>
                <w:bCs/>
                <w:szCs w:val="21"/>
              </w:rPr>
            </w:pPr>
          </w:p>
          <w:p w14:paraId="74CCCE43">
            <w:pPr>
              <w:adjustRightInd w:val="0"/>
              <w:snapToGrid w:val="0"/>
              <w:rPr>
                <w:rFonts w:hint="eastAsia"/>
                <w:bCs/>
                <w:szCs w:val="21"/>
              </w:rPr>
            </w:pPr>
          </w:p>
          <w:p w14:paraId="41B76246">
            <w:pPr>
              <w:adjustRightInd w:val="0"/>
              <w:snapToGrid w:val="0"/>
              <w:rPr>
                <w:rFonts w:hint="eastAsia"/>
                <w:bCs/>
                <w:szCs w:val="21"/>
              </w:rPr>
            </w:pPr>
          </w:p>
          <w:p w14:paraId="21607F7C">
            <w:pPr>
              <w:adjustRightInd w:val="0"/>
              <w:snapToGrid w:val="0"/>
              <w:rPr>
                <w:rFonts w:hint="eastAsia"/>
                <w:bCs/>
                <w:szCs w:val="21"/>
              </w:rPr>
            </w:pPr>
          </w:p>
          <w:p w14:paraId="69ACDCDA">
            <w:pPr>
              <w:adjustRightInd w:val="0"/>
              <w:snapToGrid w:val="0"/>
              <w:rPr>
                <w:rFonts w:hint="eastAsia"/>
                <w:bCs/>
                <w:szCs w:val="21"/>
              </w:rPr>
            </w:pPr>
          </w:p>
          <w:p w14:paraId="653890D8">
            <w:pPr>
              <w:adjustRightInd w:val="0"/>
              <w:snapToGrid w:val="0"/>
              <w:rPr>
                <w:rFonts w:hint="eastAsia"/>
                <w:bCs/>
                <w:szCs w:val="21"/>
              </w:rPr>
            </w:pPr>
          </w:p>
          <w:p w14:paraId="529D4E12">
            <w:pPr>
              <w:adjustRightInd w:val="0"/>
              <w:snapToGrid w:val="0"/>
              <w:rPr>
                <w:rFonts w:hint="eastAsia"/>
                <w:bCs/>
                <w:szCs w:val="21"/>
              </w:rPr>
            </w:pPr>
          </w:p>
          <w:p w14:paraId="5DC5D22C">
            <w:pPr>
              <w:adjustRightInd w:val="0"/>
              <w:snapToGrid w:val="0"/>
              <w:rPr>
                <w:rFonts w:hint="eastAsia"/>
                <w:bCs/>
                <w:szCs w:val="21"/>
              </w:rPr>
            </w:pPr>
          </w:p>
          <w:p w14:paraId="7BEDCB50">
            <w:pPr>
              <w:adjustRightInd w:val="0"/>
              <w:snapToGrid w:val="0"/>
              <w:rPr>
                <w:rFonts w:hint="eastAsia"/>
                <w:bCs/>
                <w:szCs w:val="21"/>
              </w:rPr>
            </w:pPr>
          </w:p>
          <w:p w14:paraId="7A5CE8F5">
            <w:pPr>
              <w:adjustRightInd w:val="0"/>
              <w:snapToGrid w:val="0"/>
              <w:rPr>
                <w:rFonts w:hint="eastAsia"/>
                <w:bCs/>
                <w:szCs w:val="21"/>
              </w:rPr>
            </w:pPr>
          </w:p>
        </w:tc>
      </w:tr>
      <w:tr w14:paraId="597B7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23" w:type="dxa"/>
            <w:noWrap w:val="0"/>
            <w:vAlign w:val="center"/>
          </w:tcPr>
          <w:p w14:paraId="52A3ADE5">
            <w:pPr>
              <w:adjustRightInd w:val="0"/>
              <w:spacing w:line="440" w:lineRule="exact"/>
              <w:jc w:val="center"/>
              <w:rPr>
                <w:sz w:val="24"/>
              </w:rPr>
            </w:pPr>
            <w:r>
              <w:rPr>
                <w:kern w:val="0"/>
                <w:sz w:val="24"/>
              </w:rPr>
              <w:t>与项目有关的原有环境污染问题</w:t>
            </w:r>
          </w:p>
        </w:tc>
        <w:tc>
          <w:tcPr>
            <w:tcW w:w="8694" w:type="dxa"/>
            <w:noWrap w:val="0"/>
            <w:vAlign w:val="top"/>
          </w:tcPr>
          <w:p w14:paraId="6B2FD97B">
            <w:pPr>
              <w:autoSpaceDE w:val="0"/>
              <w:autoSpaceDN w:val="0"/>
              <w:adjustRightInd w:val="0"/>
              <w:spacing w:line="480" w:lineRule="exact"/>
              <w:ind w:firstLine="420" w:firstLineChars="200"/>
              <w:rPr>
                <w:sz w:val="24"/>
              </w:rPr>
            </w:pPr>
            <w:r>
              <w:t>1、</w:t>
            </w:r>
            <w:r>
              <w:rPr>
                <w:sz w:val="24"/>
                <w:lang w:bidi="ar"/>
              </w:rPr>
              <w:t>现有工程基本情况</w:t>
            </w:r>
          </w:p>
          <w:p w14:paraId="6A6390F0">
            <w:pPr>
              <w:autoSpaceDE w:val="0"/>
              <w:autoSpaceDN w:val="0"/>
              <w:adjustRightInd w:val="0"/>
              <w:snapToGrid w:val="0"/>
              <w:spacing w:line="480" w:lineRule="exact"/>
              <w:ind w:firstLine="480" w:firstLineChars="200"/>
              <w:rPr>
                <w:sz w:val="24"/>
              </w:rPr>
            </w:pPr>
            <w:r>
              <w:rPr>
                <w:sz w:val="24"/>
              </w:rPr>
              <w:t>凤台县粹彬墙体材料有限公司位于淮南市凤台县古店乡北芹村，2016年投资1500万元建设“年产9000万块煤矸石烧结砖生产线建设项目”；2016年11月13日，该项目取得批复，文号：凤环表批[2016]48号。2017年9月30日，取得原凤台县环境保护局对该项目验收合格的函，文号：凤环函[2017]60号。</w:t>
            </w:r>
          </w:p>
          <w:p w14:paraId="15700D62">
            <w:pPr>
              <w:pStyle w:val="10"/>
              <w:spacing w:line="480" w:lineRule="exact"/>
              <w:ind w:firstLine="480" w:firstLineChars="200"/>
              <w:rPr>
                <w:rFonts w:hint="eastAsia" w:ascii="宋体" w:hAnsi="宋体" w:cs="宋体"/>
                <w:szCs w:val="24"/>
              </w:rPr>
            </w:pPr>
            <w:r>
              <w:rPr>
                <w:rFonts w:hint="eastAsia"/>
              </w:rPr>
              <w:t>(1)</w:t>
            </w:r>
            <w:r>
              <w:t>现有</w:t>
            </w:r>
            <w:r>
              <w:rPr>
                <w:rFonts w:hint="eastAsia"/>
              </w:rPr>
              <w:t>工程环保手续履行</w:t>
            </w:r>
            <w:r>
              <w:t>情况</w:t>
            </w:r>
          </w:p>
          <w:p w14:paraId="1358E12D">
            <w:pPr>
              <w:adjustRightInd w:val="0"/>
              <w:snapToGrid w:val="0"/>
              <w:spacing w:line="480" w:lineRule="exact"/>
              <w:jc w:val="center"/>
              <w:rPr>
                <w:rFonts w:hint="eastAsia" w:ascii="黑体" w:hAnsi="黑体" w:eastAsia="黑体" w:cs="黑体"/>
                <w:bCs/>
                <w:sz w:val="24"/>
              </w:rPr>
            </w:pPr>
            <w:r>
              <w:rPr>
                <w:rFonts w:hint="eastAsia" w:ascii="黑体" w:hAnsi="黑体" w:eastAsia="黑体" w:cs="黑体"/>
                <w:bCs/>
                <w:sz w:val="24"/>
              </w:rPr>
              <w:t>表2-9 现有项目环保履行情况表</w:t>
            </w:r>
          </w:p>
          <w:tbl>
            <w:tblPr>
              <w:tblStyle w:val="38"/>
              <w:tblW w:w="5000" w:type="pct"/>
              <w:tblInd w:w="0" w:type="dxa"/>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2977"/>
              <w:gridCol w:w="1704"/>
              <w:gridCol w:w="1915"/>
            </w:tblGrid>
            <w:tr w14:paraId="575B5D0B">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c>
                <w:tcPr>
                  <w:tcW w:w="1105" w:type="pct"/>
                  <w:tcBorders>
                    <w:top w:val="single" w:color="000000" w:sz="4" w:space="0"/>
                    <w:left w:val="single" w:color="000000" w:sz="4" w:space="0"/>
                    <w:bottom w:val="single" w:color="auto" w:sz="4" w:space="0"/>
                    <w:right w:val="single" w:color="auto" w:sz="4" w:space="0"/>
                  </w:tcBorders>
                  <w:noWrap w:val="0"/>
                  <w:vAlign w:val="center"/>
                </w:tcPr>
                <w:p w14:paraId="0CB4ACBC">
                  <w:pPr>
                    <w:adjustRightInd w:val="0"/>
                    <w:snapToGrid w:val="0"/>
                    <w:jc w:val="center"/>
                    <w:rPr>
                      <w:bCs/>
                      <w:szCs w:val="21"/>
                    </w:rPr>
                  </w:pPr>
                  <w:r>
                    <w:rPr>
                      <w:bCs/>
                      <w:szCs w:val="21"/>
                    </w:rPr>
                    <w:t>项目名称</w:t>
                  </w:r>
                </w:p>
              </w:tc>
              <w:tc>
                <w:tcPr>
                  <w:tcW w:w="1757" w:type="pct"/>
                  <w:tcBorders>
                    <w:top w:val="single" w:color="000000" w:sz="4" w:space="0"/>
                    <w:left w:val="single" w:color="auto" w:sz="4" w:space="0"/>
                    <w:bottom w:val="single" w:color="auto" w:sz="4" w:space="0"/>
                    <w:right w:val="single" w:color="auto" w:sz="4" w:space="0"/>
                  </w:tcBorders>
                  <w:noWrap w:val="0"/>
                  <w:vAlign w:val="center"/>
                </w:tcPr>
                <w:p w14:paraId="6B691927">
                  <w:pPr>
                    <w:adjustRightInd w:val="0"/>
                    <w:snapToGrid w:val="0"/>
                    <w:jc w:val="center"/>
                    <w:rPr>
                      <w:bCs/>
                      <w:szCs w:val="21"/>
                    </w:rPr>
                  </w:pPr>
                  <w:r>
                    <w:rPr>
                      <w:bCs/>
                      <w:szCs w:val="21"/>
                    </w:rPr>
                    <w:t>环评批复及日期</w:t>
                  </w:r>
                </w:p>
              </w:tc>
              <w:tc>
                <w:tcPr>
                  <w:tcW w:w="1006" w:type="pct"/>
                  <w:tcBorders>
                    <w:top w:val="single" w:color="000000" w:sz="4" w:space="0"/>
                    <w:left w:val="single" w:color="auto" w:sz="4" w:space="0"/>
                    <w:bottom w:val="single" w:color="auto" w:sz="4" w:space="0"/>
                    <w:right w:val="single" w:color="auto" w:sz="4" w:space="0"/>
                  </w:tcBorders>
                  <w:noWrap w:val="0"/>
                  <w:vAlign w:val="center"/>
                </w:tcPr>
                <w:p w14:paraId="13884570">
                  <w:pPr>
                    <w:adjustRightInd w:val="0"/>
                    <w:snapToGrid w:val="0"/>
                    <w:jc w:val="center"/>
                    <w:rPr>
                      <w:bCs/>
                      <w:szCs w:val="21"/>
                    </w:rPr>
                  </w:pPr>
                  <w:r>
                    <w:rPr>
                      <w:rFonts w:hint="eastAsia"/>
                      <w:bCs/>
                      <w:szCs w:val="21"/>
                    </w:rPr>
                    <w:t>建设运行情况</w:t>
                  </w:r>
                </w:p>
              </w:tc>
              <w:tc>
                <w:tcPr>
                  <w:tcW w:w="1130" w:type="pct"/>
                  <w:tcBorders>
                    <w:top w:val="single" w:color="000000" w:sz="4" w:space="0"/>
                    <w:left w:val="single" w:color="auto" w:sz="4" w:space="0"/>
                    <w:bottom w:val="single" w:color="auto" w:sz="4" w:space="0"/>
                    <w:right w:val="single" w:color="000000" w:sz="4" w:space="0"/>
                  </w:tcBorders>
                  <w:noWrap w:val="0"/>
                  <w:vAlign w:val="center"/>
                </w:tcPr>
                <w:p w14:paraId="79D615B2">
                  <w:pPr>
                    <w:adjustRightInd w:val="0"/>
                    <w:snapToGrid w:val="0"/>
                    <w:jc w:val="center"/>
                    <w:rPr>
                      <w:rFonts w:hint="eastAsia"/>
                      <w:bCs/>
                      <w:szCs w:val="21"/>
                    </w:rPr>
                  </w:pPr>
                  <w:r>
                    <w:rPr>
                      <w:bCs/>
                      <w:szCs w:val="21"/>
                    </w:rPr>
                    <w:t>验收</w:t>
                  </w:r>
                  <w:r>
                    <w:rPr>
                      <w:rFonts w:hint="eastAsia"/>
                      <w:bCs/>
                      <w:szCs w:val="21"/>
                    </w:rPr>
                    <w:t>情况</w:t>
                  </w:r>
                </w:p>
              </w:tc>
            </w:tr>
            <w:tr w14:paraId="75975F08">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c>
                <w:tcPr>
                  <w:tcW w:w="1105" w:type="pct"/>
                  <w:tcBorders>
                    <w:top w:val="single" w:color="auto" w:sz="4" w:space="0"/>
                    <w:left w:val="single" w:color="000000" w:sz="4" w:space="0"/>
                    <w:bottom w:val="single" w:color="auto" w:sz="4" w:space="0"/>
                    <w:right w:val="single" w:color="auto" w:sz="4" w:space="0"/>
                  </w:tcBorders>
                  <w:noWrap w:val="0"/>
                  <w:vAlign w:val="center"/>
                </w:tcPr>
                <w:p w14:paraId="3B88F191">
                  <w:pPr>
                    <w:adjustRightInd w:val="0"/>
                    <w:snapToGrid w:val="0"/>
                    <w:jc w:val="center"/>
                    <w:rPr>
                      <w:bCs/>
                      <w:szCs w:val="21"/>
                    </w:rPr>
                  </w:pPr>
                  <w:r>
                    <w:rPr>
                      <w:rFonts w:hint="eastAsia"/>
                      <w:bCs/>
                      <w:szCs w:val="21"/>
                    </w:rPr>
                    <w:t>年产9000万块煤矸石烧结砖生产线建设项目</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374170D3">
                  <w:pPr>
                    <w:adjustRightInd w:val="0"/>
                    <w:snapToGrid w:val="0"/>
                    <w:jc w:val="center"/>
                    <w:rPr>
                      <w:rFonts w:hint="eastAsia"/>
                      <w:bCs/>
                      <w:szCs w:val="21"/>
                    </w:rPr>
                  </w:pPr>
                  <w:r>
                    <w:rPr>
                      <w:rFonts w:hint="eastAsia"/>
                      <w:bCs/>
                      <w:szCs w:val="21"/>
                    </w:rPr>
                    <w:t>凤环表批[2016]48号</w:t>
                  </w:r>
                </w:p>
                <w:p w14:paraId="0E2962E4">
                  <w:pPr>
                    <w:adjustRightInd w:val="0"/>
                    <w:snapToGrid w:val="0"/>
                    <w:jc w:val="center"/>
                    <w:rPr>
                      <w:bCs/>
                      <w:szCs w:val="21"/>
                    </w:rPr>
                  </w:pPr>
                  <w:r>
                    <w:rPr>
                      <w:rFonts w:hint="eastAsia"/>
                      <w:bCs/>
                      <w:szCs w:val="21"/>
                    </w:rPr>
                    <w:t>2016年11月</w:t>
                  </w:r>
                </w:p>
                <w:p w14:paraId="77D4D965">
                  <w:pPr>
                    <w:adjustRightInd w:val="0"/>
                    <w:snapToGrid w:val="0"/>
                    <w:jc w:val="center"/>
                    <w:rPr>
                      <w:bCs/>
                      <w:szCs w:val="21"/>
                    </w:rPr>
                  </w:pPr>
                  <w:r>
                    <w:rPr>
                      <w:rFonts w:hint="eastAsia"/>
                      <w:bCs/>
                      <w:szCs w:val="21"/>
                    </w:rPr>
                    <w:t>凤台县环境保护局</w:t>
                  </w:r>
                </w:p>
              </w:tc>
              <w:tc>
                <w:tcPr>
                  <w:tcW w:w="1006" w:type="pct"/>
                  <w:tcBorders>
                    <w:top w:val="single" w:color="auto" w:sz="4" w:space="0"/>
                    <w:left w:val="single" w:color="auto" w:sz="4" w:space="0"/>
                    <w:bottom w:val="single" w:color="auto" w:sz="4" w:space="0"/>
                    <w:right w:val="single" w:color="auto" w:sz="4" w:space="0"/>
                  </w:tcBorders>
                  <w:noWrap w:val="0"/>
                  <w:vAlign w:val="center"/>
                </w:tcPr>
                <w:p w14:paraId="34052BFD">
                  <w:pPr>
                    <w:adjustRightInd w:val="0"/>
                    <w:snapToGrid w:val="0"/>
                    <w:jc w:val="center"/>
                    <w:rPr>
                      <w:bCs/>
                      <w:szCs w:val="21"/>
                    </w:rPr>
                  </w:pPr>
                  <w:r>
                    <w:rPr>
                      <w:rFonts w:hint="eastAsia"/>
                      <w:bCs/>
                      <w:szCs w:val="21"/>
                    </w:rPr>
                    <w:t>建成并投产</w:t>
                  </w:r>
                </w:p>
              </w:tc>
              <w:tc>
                <w:tcPr>
                  <w:tcW w:w="1130" w:type="pct"/>
                  <w:tcBorders>
                    <w:top w:val="single" w:color="auto" w:sz="4" w:space="0"/>
                    <w:left w:val="single" w:color="auto" w:sz="4" w:space="0"/>
                    <w:bottom w:val="single" w:color="auto" w:sz="4" w:space="0"/>
                    <w:right w:val="single" w:color="000000" w:sz="4" w:space="0"/>
                  </w:tcBorders>
                  <w:noWrap w:val="0"/>
                  <w:vAlign w:val="center"/>
                </w:tcPr>
                <w:p w14:paraId="23F8E336">
                  <w:pPr>
                    <w:adjustRightInd w:val="0"/>
                    <w:snapToGrid w:val="0"/>
                    <w:jc w:val="center"/>
                    <w:rPr>
                      <w:bCs/>
                      <w:szCs w:val="21"/>
                    </w:rPr>
                  </w:pPr>
                  <w:r>
                    <w:rPr>
                      <w:rFonts w:hint="eastAsia"/>
                      <w:bCs/>
                      <w:szCs w:val="21"/>
                    </w:rPr>
                    <w:t>凤环函[2017]60号2017年9月</w:t>
                  </w:r>
                </w:p>
                <w:p w14:paraId="27502C23">
                  <w:pPr>
                    <w:adjustRightInd w:val="0"/>
                    <w:snapToGrid w:val="0"/>
                    <w:jc w:val="center"/>
                    <w:rPr>
                      <w:bCs/>
                      <w:szCs w:val="21"/>
                    </w:rPr>
                  </w:pPr>
                  <w:r>
                    <w:rPr>
                      <w:rFonts w:hint="eastAsia"/>
                      <w:bCs/>
                      <w:szCs w:val="21"/>
                    </w:rPr>
                    <w:t>凤台县环境保护局</w:t>
                  </w:r>
                </w:p>
              </w:tc>
            </w:tr>
          </w:tbl>
          <w:p w14:paraId="29B1FBF3">
            <w:pPr>
              <w:adjustRightInd w:val="0"/>
              <w:snapToGrid w:val="0"/>
              <w:spacing w:line="480" w:lineRule="exact"/>
              <w:ind w:left="480" w:hanging="480" w:hangingChars="200"/>
              <w:rPr>
                <w:bCs/>
                <w:sz w:val="24"/>
              </w:rPr>
            </w:pPr>
            <w:r>
              <w:rPr>
                <w:sz w:val="24"/>
              </w:rPr>
              <w:br w:type="textWrapping"/>
            </w:r>
            <w:r>
              <w:rPr>
                <w:sz w:val="24"/>
              </w:rPr>
              <w:t>(2)</w:t>
            </w:r>
            <w:r>
              <w:rPr>
                <w:bCs/>
                <w:sz w:val="24"/>
              </w:rPr>
              <w:t>其他环保手续履行情况</w:t>
            </w:r>
          </w:p>
          <w:p w14:paraId="20446E88">
            <w:pPr>
              <w:adjustRightInd w:val="0"/>
              <w:snapToGrid w:val="0"/>
              <w:spacing w:line="480" w:lineRule="exact"/>
              <w:ind w:firstLine="480" w:firstLineChars="200"/>
              <w:rPr>
                <w:bCs/>
                <w:sz w:val="24"/>
              </w:rPr>
            </w:pPr>
            <w:r>
              <w:rPr>
                <w:bCs/>
                <w:sz w:val="24"/>
              </w:rPr>
              <w:t>建设单位于202</w:t>
            </w:r>
            <w:r>
              <w:rPr>
                <w:rFonts w:hint="eastAsia"/>
                <w:bCs/>
                <w:sz w:val="24"/>
              </w:rPr>
              <w:t>5</w:t>
            </w:r>
            <w:r>
              <w:rPr>
                <w:bCs/>
                <w:sz w:val="24"/>
              </w:rPr>
              <w:t>年</w:t>
            </w:r>
            <w:r>
              <w:rPr>
                <w:rFonts w:hint="eastAsia"/>
                <w:bCs/>
                <w:sz w:val="24"/>
              </w:rPr>
              <w:t>12</w:t>
            </w:r>
            <w:r>
              <w:rPr>
                <w:bCs/>
                <w:sz w:val="24"/>
              </w:rPr>
              <w:t>月取得排污许可证(</w:t>
            </w:r>
            <w:r>
              <w:rPr>
                <w:rFonts w:hint="eastAsia"/>
                <w:bCs/>
                <w:sz w:val="24"/>
              </w:rPr>
              <w:t>重点</w:t>
            </w:r>
            <w:r>
              <w:rPr>
                <w:bCs/>
                <w:sz w:val="24"/>
              </w:rPr>
              <w:t>管理)，证书编号为91340421MA2RJ4PW02001V。</w:t>
            </w:r>
          </w:p>
          <w:p w14:paraId="596176D8">
            <w:pPr>
              <w:pStyle w:val="10"/>
              <w:spacing w:line="480" w:lineRule="exact"/>
              <w:ind w:firstLine="480" w:firstLineChars="200"/>
              <w:rPr>
                <w:color w:val="000000"/>
                <w:szCs w:val="24"/>
                <w:highlight w:val="none"/>
              </w:rPr>
            </w:pPr>
            <w:r>
              <w:rPr>
                <w:color w:val="000000"/>
                <w:szCs w:val="24"/>
                <w:highlight w:val="none"/>
              </w:rPr>
              <w:t>2、项目原有污染排放及达标情况</w:t>
            </w:r>
          </w:p>
          <w:p w14:paraId="1CC6D97F">
            <w:pPr>
              <w:pStyle w:val="10"/>
              <w:spacing w:line="480" w:lineRule="exact"/>
              <w:ind w:firstLine="480" w:firstLineChars="200"/>
              <w:rPr>
                <w:color w:val="000000"/>
                <w:szCs w:val="24"/>
                <w:highlight w:val="none"/>
              </w:rPr>
            </w:pPr>
            <w:r>
              <w:rPr>
                <w:color w:val="000000"/>
                <w:szCs w:val="24"/>
                <w:highlight w:val="none"/>
              </w:rPr>
              <w:t>①废气</w:t>
            </w:r>
          </w:p>
          <w:p w14:paraId="470BBE8B">
            <w:pPr>
              <w:autoSpaceDE w:val="0"/>
              <w:autoSpaceDN w:val="0"/>
              <w:adjustRightInd w:val="0"/>
              <w:snapToGrid w:val="0"/>
              <w:spacing w:line="480" w:lineRule="exact"/>
              <w:ind w:firstLine="480" w:firstLineChars="200"/>
              <w:jc w:val="left"/>
              <w:rPr>
                <w:color w:val="000000"/>
                <w:sz w:val="24"/>
                <w:highlight w:val="none"/>
              </w:rPr>
            </w:pPr>
            <w:r>
              <w:rPr>
                <w:color w:val="000000"/>
                <w:sz w:val="24"/>
                <w:highlight w:val="none"/>
              </w:rPr>
              <w:t>现有项目破碎筛分粉尘经集气罩收集后通过布袋除尘器(TA001)处理，最终经15m高排气筒(DA001)排放；</w:t>
            </w:r>
            <w:r>
              <w:rPr>
                <w:rFonts w:hint="eastAsia"/>
                <w:color w:val="000000"/>
                <w:sz w:val="24"/>
                <w:highlight w:val="none"/>
                <w:lang w:val="en-US" w:eastAsia="zh-CN"/>
              </w:rPr>
              <w:t>干燥焙烧</w:t>
            </w:r>
            <w:r>
              <w:rPr>
                <w:color w:val="000000"/>
                <w:sz w:val="24"/>
                <w:highlight w:val="none"/>
              </w:rPr>
              <w:t>废气经管道收集后通过“石灰石-石膏法+湿电除尘”(TA002)脱硫除尘后，最终经35m高排气筒(DA002)排放。</w:t>
            </w:r>
          </w:p>
          <w:p w14:paraId="1C09541C">
            <w:pPr>
              <w:autoSpaceDE w:val="0"/>
              <w:autoSpaceDN w:val="0"/>
              <w:adjustRightInd w:val="0"/>
              <w:snapToGrid w:val="0"/>
              <w:spacing w:line="480" w:lineRule="exact"/>
              <w:ind w:firstLine="480" w:firstLineChars="200"/>
              <w:jc w:val="both"/>
              <w:rPr>
                <w:b/>
                <w:bCs/>
                <w:color w:val="000000"/>
                <w:szCs w:val="21"/>
                <w:highlight w:val="none"/>
              </w:rPr>
            </w:pPr>
            <w:r>
              <w:rPr>
                <w:rFonts w:hint="eastAsia"/>
                <w:color w:val="000000"/>
                <w:sz w:val="24"/>
                <w:highlight w:val="none"/>
                <w:lang w:val="en-US" w:eastAsia="zh-CN"/>
              </w:rPr>
              <w:t>根据合肥钧佳检测技术有限公司2025年10月出具的检测报告（报告编号：HJ250805-003），</w:t>
            </w:r>
            <w:r>
              <w:rPr>
                <w:color w:val="000000"/>
                <w:sz w:val="24"/>
                <w:szCs w:val="24"/>
                <w:highlight w:val="none"/>
              </w:rPr>
              <w:t>项目现有工程</w:t>
            </w:r>
            <w:r>
              <w:rPr>
                <w:bCs/>
                <w:sz w:val="24"/>
                <w:szCs w:val="24"/>
              </w:rPr>
              <w:t>DA001破碎筛分废气</w:t>
            </w:r>
            <w:r>
              <w:rPr>
                <w:rFonts w:hint="eastAsia"/>
                <w:bCs/>
                <w:sz w:val="24"/>
                <w:szCs w:val="24"/>
                <w:lang w:eastAsia="zh-CN"/>
              </w:rPr>
              <w:t>、</w:t>
            </w:r>
            <w:r>
              <w:rPr>
                <w:rFonts w:hint="eastAsia"/>
                <w:bCs/>
                <w:sz w:val="24"/>
                <w:szCs w:val="24"/>
                <w:lang w:val="en-US" w:eastAsia="zh-CN"/>
              </w:rPr>
              <w:t>DA002燥焙烧</w:t>
            </w:r>
            <w:r>
              <w:rPr>
                <w:rFonts w:hint="eastAsia"/>
                <w:bCs/>
                <w:sz w:val="24"/>
                <w:szCs w:val="24"/>
              </w:rPr>
              <w:t>废气</w:t>
            </w:r>
            <w:r>
              <w:rPr>
                <w:rFonts w:hint="eastAsia"/>
                <w:bCs/>
                <w:sz w:val="24"/>
                <w:szCs w:val="24"/>
                <w:lang w:val="en-US" w:eastAsia="zh-CN"/>
              </w:rPr>
              <w:t>中氟化物</w:t>
            </w:r>
            <w:r>
              <w:rPr>
                <w:color w:val="000000"/>
                <w:sz w:val="24"/>
                <w:szCs w:val="24"/>
                <w:highlight w:val="none"/>
              </w:rPr>
              <w:t>排放情况见下表所示：</w:t>
            </w:r>
          </w:p>
          <w:p w14:paraId="3E8CAB74">
            <w:pPr>
              <w:autoSpaceDE w:val="0"/>
              <w:autoSpaceDN w:val="0"/>
              <w:spacing w:line="480" w:lineRule="exact"/>
              <w:jc w:val="center"/>
              <w:rPr>
                <w:rFonts w:hint="eastAsia" w:ascii="黑体" w:hAnsi="黑体" w:eastAsia="黑体" w:cs="黑体"/>
                <w:sz w:val="24"/>
                <w:szCs w:val="32"/>
              </w:rPr>
            </w:pPr>
            <w:r>
              <w:rPr>
                <w:rFonts w:hint="eastAsia" w:ascii="黑体" w:hAnsi="黑体" w:eastAsia="黑体" w:cs="黑体"/>
                <w:bCs/>
                <w:sz w:val="24"/>
                <w:szCs w:val="32"/>
              </w:rPr>
              <w:t>表2-10  有组织废气检测结果统计表(DA001)</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181"/>
              <w:gridCol w:w="701"/>
              <w:gridCol w:w="1281"/>
              <w:gridCol w:w="1320"/>
              <w:gridCol w:w="1339"/>
              <w:gridCol w:w="1317"/>
            </w:tblGrid>
            <w:tr w14:paraId="4D90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29" w:type="dxa"/>
                  <w:vMerge w:val="restart"/>
                  <w:noWrap w:val="0"/>
                  <w:vAlign w:val="center"/>
                </w:tcPr>
                <w:p w14:paraId="175C7ACA">
                  <w:pPr>
                    <w:spacing w:line="276" w:lineRule="auto"/>
                    <w:jc w:val="center"/>
                    <w:rPr>
                      <w:bCs/>
                      <w:szCs w:val="21"/>
                    </w:rPr>
                  </w:pPr>
                  <w:r>
                    <w:rPr>
                      <w:bCs/>
                      <w:szCs w:val="21"/>
                    </w:rPr>
                    <w:t>监测点位</w:t>
                  </w:r>
                </w:p>
              </w:tc>
              <w:tc>
                <w:tcPr>
                  <w:tcW w:w="1181" w:type="dxa"/>
                  <w:vMerge w:val="restart"/>
                  <w:noWrap w:val="0"/>
                  <w:vAlign w:val="center"/>
                </w:tcPr>
                <w:p w14:paraId="34C867D4">
                  <w:pPr>
                    <w:spacing w:line="276" w:lineRule="auto"/>
                    <w:jc w:val="center"/>
                    <w:rPr>
                      <w:bCs/>
                      <w:szCs w:val="21"/>
                    </w:rPr>
                  </w:pPr>
                  <w:r>
                    <w:rPr>
                      <w:bCs/>
                      <w:szCs w:val="21"/>
                    </w:rPr>
                    <w:t>监测因子</w:t>
                  </w:r>
                </w:p>
              </w:tc>
              <w:tc>
                <w:tcPr>
                  <w:tcW w:w="701" w:type="dxa"/>
                  <w:vMerge w:val="restart"/>
                  <w:noWrap w:val="0"/>
                  <w:vAlign w:val="center"/>
                </w:tcPr>
                <w:p w14:paraId="65CF7200">
                  <w:pPr>
                    <w:spacing w:line="276" w:lineRule="auto"/>
                    <w:jc w:val="center"/>
                    <w:rPr>
                      <w:rFonts w:hint="eastAsia" w:eastAsia="宋体"/>
                      <w:bCs/>
                      <w:szCs w:val="21"/>
                      <w:lang w:val="en-US" w:eastAsia="zh-CN"/>
                    </w:rPr>
                  </w:pPr>
                  <w:r>
                    <w:rPr>
                      <w:rFonts w:hint="eastAsia"/>
                      <w:bCs/>
                      <w:szCs w:val="21"/>
                      <w:lang w:val="en-US" w:eastAsia="zh-CN"/>
                    </w:rPr>
                    <w:t>时间</w:t>
                  </w:r>
                </w:p>
              </w:tc>
              <w:tc>
                <w:tcPr>
                  <w:tcW w:w="1281" w:type="dxa"/>
                  <w:vMerge w:val="restart"/>
                  <w:noWrap w:val="0"/>
                  <w:vAlign w:val="center"/>
                </w:tcPr>
                <w:p w14:paraId="410B221C">
                  <w:pPr>
                    <w:spacing w:line="276" w:lineRule="auto"/>
                    <w:jc w:val="center"/>
                    <w:rPr>
                      <w:bCs/>
                      <w:szCs w:val="21"/>
                    </w:rPr>
                  </w:pPr>
                  <w:r>
                    <w:rPr>
                      <w:bCs/>
                      <w:szCs w:val="21"/>
                    </w:rPr>
                    <w:t>监测频次</w:t>
                  </w:r>
                </w:p>
              </w:tc>
              <w:tc>
                <w:tcPr>
                  <w:tcW w:w="3976" w:type="dxa"/>
                  <w:gridSpan w:val="3"/>
                  <w:noWrap w:val="0"/>
                  <w:vAlign w:val="center"/>
                </w:tcPr>
                <w:p w14:paraId="356FB40D">
                  <w:pPr>
                    <w:spacing w:line="276" w:lineRule="auto"/>
                    <w:jc w:val="center"/>
                    <w:rPr>
                      <w:bCs/>
                      <w:szCs w:val="21"/>
                    </w:rPr>
                  </w:pPr>
                  <w:r>
                    <w:rPr>
                      <w:bCs/>
                      <w:szCs w:val="21"/>
                    </w:rPr>
                    <w:t>检测结果</w:t>
                  </w:r>
                </w:p>
              </w:tc>
            </w:tr>
            <w:tr w14:paraId="0FAF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vMerge w:val="continue"/>
                  <w:noWrap w:val="0"/>
                  <w:vAlign w:val="center"/>
                </w:tcPr>
                <w:p w14:paraId="52527CB3">
                  <w:pPr>
                    <w:spacing w:line="276" w:lineRule="auto"/>
                    <w:jc w:val="center"/>
                    <w:rPr>
                      <w:bCs/>
                      <w:szCs w:val="21"/>
                    </w:rPr>
                  </w:pPr>
                </w:p>
              </w:tc>
              <w:tc>
                <w:tcPr>
                  <w:tcW w:w="1181" w:type="dxa"/>
                  <w:vMerge w:val="continue"/>
                  <w:noWrap w:val="0"/>
                  <w:vAlign w:val="center"/>
                </w:tcPr>
                <w:p w14:paraId="0408D7A0">
                  <w:pPr>
                    <w:spacing w:line="276" w:lineRule="auto"/>
                    <w:jc w:val="center"/>
                    <w:rPr>
                      <w:bCs/>
                      <w:szCs w:val="21"/>
                    </w:rPr>
                  </w:pPr>
                </w:p>
              </w:tc>
              <w:tc>
                <w:tcPr>
                  <w:tcW w:w="701" w:type="dxa"/>
                  <w:vMerge w:val="continue"/>
                  <w:noWrap w:val="0"/>
                  <w:vAlign w:val="center"/>
                </w:tcPr>
                <w:p w14:paraId="4A037C75">
                  <w:pPr>
                    <w:spacing w:line="276" w:lineRule="auto"/>
                    <w:jc w:val="center"/>
                    <w:rPr>
                      <w:bCs/>
                      <w:szCs w:val="21"/>
                    </w:rPr>
                  </w:pPr>
                </w:p>
              </w:tc>
              <w:tc>
                <w:tcPr>
                  <w:tcW w:w="1281" w:type="dxa"/>
                  <w:vMerge w:val="continue"/>
                  <w:noWrap w:val="0"/>
                  <w:vAlign w:val="center"/>
                </w:tcPr>
                <w:p w14:paraId="55134E4F">
                  <w:pPr>
                    <w:spacing w:line="276" w:lineRule="auto"/>
                    <w:jc w:val="center"/>
                    <w:rPr>
                      <w:bCs/>
                      <w:szCs w:val="21"/>
                    </w:rPr>
                  </w:pPr>
                </w:p>
              </w:tc>
              <w:tc>
                <w:tcPr>
                  <w:tcW w:w="1320" w:type="dxa"/>
                  <w:noWrap w:val="0"/>
                  <w:vAlign w:val="center"/>
                </w:tcPr>
                <w:p w14:paraId="4870B3BA">
                  <w:pPr>
                    <w:spacing w:line="276" w:lineRule="auto"/>
                    <w:jc w:val="center"/>
                    <w:rPr>
                      <w:bCs/>
                      <w:color w:val="000000"/>
                      <w:szCs w:val="21"/>
                      <w:highlight w:val="none"/>
                    </w:rPr>
                  </w:pPr>
                  <w:r>
                    <w:rPr>
                      <w:bCs/>
                      <w:color w:val="000000"/>
                      <w:szCs w:val="21"/>
                      <w:highlight w:val="none"/>
                    </w:rPr>
                    <w:t>标杆流量(m</w:t>
                  </w:r>
                  <w:r>
                    <w:rPr>
                      <w:bCs/>
                      <w:color w:val="000000"/>
                      <w:szCs w:val="21"/>
                      <w:highlight w:val="none"/>
                      <w:vertAlign w:val="superscript"/>
                    </w:rPr>
                    <w:t>3</w:t>
                  </w:r>
                  <w:r>
                    <w:rPr>
                      <w:bCs/>
                      <w:color w:val="000000"/>
                      <w:szCs w:val="21"/>
                      <w:highlight w:val="none"/>
                    </w:rPr>
                    <w:t>/h)</w:t>
                  </w:r>
                </w:p>
              </w:tc>
              <w:tc>
                <w:tcPr>
                  <w:tcW w:w="1339" w:type="dxa"/>
                  <w:noWrap w:val="0"/>
                  <w:vAlign w:val="center"/>
                </w:tcPr>
                <w:p w14:paraId="549AB771">
                  <w:pPr>
                    <w:spacing w:line="276" w:lineRule="auto"/>
                    <w:jc w:val="center"/>
                    <w:rPr>
                      <w:bCs/>
                      <w:szCs w:val="21"/>
                    </w:rPr>
                  </w:pPr>
                  <w:r>
                    <w:rPr>
                      <w:bCs/>
                      <w:szCs w:val="21"/>
                    </w:rPr>
                    <w:t>排放浓度(mg/m</w:t>
                  </w:r>
                  <w:r>
                    <w:rPr>
                      <w:bCs/>
                      <w:szCs w:val="21"/>
                      <w:vertAlign w:val="superscript"/>
                    </w:rPr>
                    <w:t>3</w:t>
                  </w:r>
                  <w:r>
                    <w:rPr>
                      <w:bCs/>
                      <w:szCs w:val="21"/>
                    </w:rPr>
                    <w:t>)</w:t>
                  </w:r>
                </w:p>
              </w:tc>
              <w:tc>
                <w:tcPr>
                  <w:tcW w:w="1317" w:type="dxa"/>
                  <w:noWrap w:val="0"/>
                  <w:vAlign w:val="center"/>
                </w:tcPr>
                <w:p w14:paraId="5537C46D">
                  <w:pPr>
                    <w:spacing w:line="276" w:lineRule="auto"/>
                    <w:jc w:val="center"/>
                    <w:rPr>
                      <w:bCs/>
                      <w:szCs w:val="21"/>
                    </w:rPr>
                  </w:pPr>
                  <w:r>
                    <w:rPr>
                      <w:bCs/>
                      <w:szCs w:val="21"/>
                    </w:rPr>
                    <w:t>排放速率(kg/h)</w:t>
                  </w:r>
                </w:p>
              </w:tc>
            </w:tr>
            <w:tr w14:paraId="667A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vMerge w:val="restart"/>
                  <w:noWrap w:val="0"/>
                  <w:vAlign w:val="center"/>
                </w:tcPr>
                <w:p w14:paraId="7FE9BFC0">
                  <w:pPr>
                    <w:spacing w:line="276" w:lineRule="auto"/>
                    <w:jc w:val="center"/>
                    <w:rPr>
                      <w:bCs/>
                      <w:szCs w:val="21"/>
                    </w:rPr>
                  </w:pPr>
                  <w:r>
                    <w:rPr>
                      <w:bCs/>
                      <w:szCs w:val="21"/>
                    </w:rPr>
                    <w:t>DA001破碎筛分废气排放口</w:t>
                  </w:r>
                </w:p>
              </w:tc>
              <w:tc>
                <w:tcPr>
                  <w:tcW w:w="1181" w:type="dxa"/>
                  <w:vMerge w:val="restart"/>
                  <w:noWrap w:val="0"/>
                  <w:vAlign w:val="center"/>
                </w:tcPr>
                <w:p w14:paraId="189CDE2A">
                  <w:pPr>
                    <w:spacing w:line="276" w:lineRule="auto"/>
                    <w:jc w:val="center"/>
                    <w:rPr>
                      <w:bCs/>
                      <w:szCs w:val="21"/>
                    </w:rPr>
                  </w:pPr>
                  <w:r>
                    <w:rPr>
                      <w:bCs/>
                      <w:szCs w:val="21"/>
                    </w:rPr>
                    <w:t>低浓度颗粒物</w:t>
                  </w:r>
                </w:p>
              </w:tc>
              <w:tc>
                <w:tcPr>
                  <w:tcW w:w="701" w:type="dxa"/>
                  <w:vMerge w:val="restart"/>
                  <w:noWrap w:val="0"/>
                  <w:vAlign w:val="center"/>
                </w:tcPr>
                <w:p w14:paraId="385EEF24">
                  <w:pPr>
                    <w:spacing w:line="276" w:lineRule="auto"/>
                    <w:jc w:val="center"/>
                    <w:rPr>
                      <w:bCs/>
                      <w:szCs w:val="21"/>
                    </w:rPr>
                  </w:pPr>
                  <w:r>
                    <w:rPr>
                      <w:bCs/>
                      <w:szCs w:val="21"/>
                    </w:rPr>
                    <w:t>202</w:t>
                  </w:r>
                  <w:r>
                    <w:rPr>
                      <w:rFonts w:hint="eastAsia"/>
                      <w:bCs/>
                      <w:szCs w:val="21"/>
                    </w:rPr>
                    <w:t>5.9.21</w:t>
                  </w:r>
                </w:p>
              </w:tc>
              <w:tc>
                <w:tcPr>
                  <w:tcW w:w="1281" w:type="dxa"/>
                  <w:noWrap w:val="0"/>
                  <w:vAlign w:val="center"/>
                </w:tcPr>
                <w:p w14:paraId="04F23C7B">
                  <w:pPr>
                    <w:spacing w:line="276" w:lineRule="auto"/>
                    <w:jc w:val="center"/>
                    <w:rPr>
                      <w:bCs/>
                      <w:szCs w:val="21"/>
                    </w:rPr>
                  </w:pPr>
                  <w:r>
                    <w:rPr>
                      <w:bCs/>
                      <w:szCs w:val="21"/>
                    </w:rPr>
                    <w:t>第一次</w:t>
                  </w:r>
                </w:p>
              </w:tc>
              <w:tc>
                <w:tcPr>
                  <w:tcW w:w="1320" w:type="dxa"/>
                  <w:noWrap w:val="0"/>
                  <w:vAlign w:val="center"/>
                </w:tcPr>
                <w:p w14:paraId="437C6FD9">
                  <w:pPr>
                    <w:spacing w:line="276" w:lineRule="auto"/>
                    <w:jc w:val="center"/>
                    <w:rPr>
                      <w:bCs/>
                      <w:color w:val="000000"/>
                      <w:szCs w:val="21"/>
                      <w:highlight w:val="none"/>
                    </w:rPr>
                  </w:pPr>
                  <w:r>
                    <w:rPr>
                      <w:rFonts w:hint="eastAsia"/>
                      <w:bCs/>
                      <w:color w:val="000000"/>
                      <w:szCs w:val="21"/>
                      <w:highlight w:val="none"/>
                    </w:rPr>
                    <w:t>23847</w:t>
                  </w:r>
                </w:p>
              </w:tc>
              <w:tc>
                <w:tcPr>
                  <w:tcW w:w="1339" w:type="dxa"/>
                  <w:noWrap w:val="0"/>
                  <w:vAlign w:val="center"/>
                </w:tcPr>
                <w:p w14:paraId="67FC5A2B">
                  <w:pPr>
                    <w:spacing w:line="276" w:lineRule="auto"/>
                    <w:jc w:val="center"/>
                    <w:rPr>
                      <w:bCs/>
                      <w:szCs w:val="21"/>
                    </w:rPr>
                  </w:pPr>
                  <w:r>
                    <w:rPr>
                      <w:rFonts w:hint="eastAsia"/>
                      <w:bCs/>
                      <w:szCs w:val="21"/>
                    </w:rPr>
                    <w:t>3.2</w:t>
                  </w:r>
                </w:p>
              </w:tc>
              <w:tc>
                <w:tcPr>
                  <w:tcW w:w="1317" w:type="dxa"/>
                  <w:noWrap w:val="0"/>
                  <w:vAlign w:val="center"/>
                </w:tcPr>
                <w:p w14:paraId="7454D9FB">
                  <w:pPr>
                    <w:spacing w:line="276" w:lineRule="auto"/>
                    <w:jc w:val="center"/>
                    <w:rPr>
                      <w:bCs/>
                      <w:szCs w:val="21"/>
                    </w:rPr>
                  </w:pPr>
                  <w:r>
                    <w:rPr>
                      <w:rFonts w:hint="eastAsia"/>
                      <w:bCs/>
                      <w:szCs w:val="21"/>
                    </w:rPr>
                    <w:t>0.076</w:t>
                  </w:r>
                </w:p>
              </w:tc>
            </w:tr>
            <w:tr w14:paraId="0419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vMerge w:val="continue"/>
                  <w:noWrap w:val="0"/>
                  <w:vAlign w:val="center"/>
                </w:tcPr>
                <w:p w14:paraId="2785261D">
                  <w:pPr>
                    <w:spacing w:line="276" w:lineRule="auto"/>
                    <w:jc w:val="center"/>
                    <w:rPr>
                      <w:bCs/>
                      <w:szCs w:val="21"/>
                    </w:rPr>
                  </w:pPr>
                </w:p>
              </w:tc>
              <w:tc>
                <w:tcPr>
                  <w:tcW w:w="1181" w:type="dxa"/>
                  <w:vMerge w:val="continue"/>
                  <w:noWrap w:val="0"/>
                  <w:vAlign w:val="center"/>
                </w:tcPr>
                <w:p w14:paraId="06AE3778">
                  <w:pPr>
                    <w:spacing w:line="276" w:lineRule="auto"/>
                    <w:jc w:val="center"/>
                    <w:rPr>
                      <w:bCs/>
                      <w:szCs w:val="21"/>
                    </w:rPr>
                  </w:pPr>
                </w:p>
              </w:tc>
              <w:tc>
                <w:tcPr>
                  <w:tcW w:w="701" w:type="dxa"/>
                  <w:vMerge w:val="continue"/>
                  <w:noWrap w:val="0"/>
                  <w:vAlign w:val="center"/>
                </w:tcPr>
                <w:p w14:paraId="47EC1869">
                  <w:pPr>
                    <w:spacing w:line="276" w:lineRule="auto"/>
                    <w:jc w:val="center"/>
                    <w:rPr>
                      <w:bCs/>
                      <w:szCs w:val="21"/>
                    </w:rPr>
                  </w:pPr>
                </w:p>
              </w:tc>
              <w:tc>
                <w:tcPr>
                  <w:tcW w:w="1281" w:type="dxa"/>
                  <w:noWrap w:val="0"/>
                  <w:vAlign w:val="center"/>
                </w:tcPr>
                <w:p w14:paraId="17F71F71">
                  <w:pPr>
                    <w:spacing w:line="276" w:lineRule="auto"/>
                    <w:jc w:val="center"/>
                    <w:rPr>
                      <w:bCs/>
                      <w:szCs w:val="21"/>
                    </w:rPr>
                  </w:pPr>
                  <w:r>
                    <w:rPr>
                      <w:bCs/>
                      <w:szCs w:val="21"/>
                    </w:rPr>
                    <w:t>第二次</w:t>
                  </w:r>
                </w:p>
              </w:tc>
              <w:tc>
                <w:tcPr>
                  <w:tcW w:w="1320" w:type="dxa"/>
                  <w:noWrap w:val="0"/>
                  <w:vAlign w:val="center"/>
                </w:tcPr>
                <w:p w14:paraId="51ECAF24">
                  <w:pPr>
                    <w:spacing w:line="276" w:lineRule="auto"/>
                    <w:jc w:val="center"/>
                    <w:rPr>
                      <w:bCs/>
                      <w:color w:val="000000"/>
                      <w:szCs w:val="21"/>
                      <w:highlight w:val="none"/>
                    </w:rPr>
                  </w:pPr>
                  <w:r>
                    <w:rPr>
                      <w:rFonts w:hint="eastAsia"/>
                      <w:bCs/>
                      <w:color w:val="000000"/>
                      <w:szCs w:val="21"/>
                      <w:highlight w:val="none"/>
                    </w:rPr>
                    <w:t>21750</w:t>
                  </w:r>
                </w:p>
              </w:tc>
              <w:tc>
                <w:tcPr>
                  <w:tcW w:w="1339" w:type="dxa"/>
                  <w:noWrap w:val="0"/>
                  <w:vAlign w:val="center"/>
                </w:tcPr>
                <w:p w14:paraId="4F80F938">
                  <w:pPr>
                    <w:spacing w:line="276" w:lineRule="auto"/>
                    <w:jc w:val="center"/>
                    <w:rPr>
                      <w:bCs/>
                      <w:szCs w:val="21"/>
                    </w:rPr>
                  </w:pPr>
                  <w:r>
                    <w:rPr>
                      <w:rFonts w:hint="eastAsia"/>
                      <w:bCs/>
                      <w:szCs w:val="21"/>
                    </w:rPr>
                    <w:t>4.2</w:t>
                  </w:r>
                </w:p>
              </w:tc>
              <w:tc>
                <w:tcPr>
                  <w:tcW w:w="1317" w:type="dxa"/>
                  <w:noWrap w:val="0"/>
                  <w:vAlign w:val="center"/>
                </w:tcPr>
                <w:p w14:paraId="2A0D779F">
                  <w:pPr>
                    <w:spacing w:line="276" w:lineRule="auto"/>
                    <w:jc w:val="center"/>
                    <w:rPr>
                      <w:bCs/>
                      <w:szCs w:val="21"/>
                    </w:rPr>
                  </w:pPr>
                  <w:r>
                    <w:rPr>
                      <w:rFonts w:hint="eastAsia"/>
                      <w:bCs/>
                      <w:szCs w:val="21"/>
                    </w:rPr>
                    <w:t>0.091</w:t>
                  </w:r>
                </w:p>
              </w:tc>
            </w:tr>
            <w:tr w14:paraId="4503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9" w:type="dxa"/>
                  <w:vMerge w:val="continue"/>
                  <w:noWrap w:val="0"/>
                  <w:vAlign w:val="center"/>
                </w:tcPr>
                <w:p w14:paraId="0CE2F309">
                  <w:pPr>
                    <w:spacing w:line="276" w:lineRule="auto"/>
                    <w:jc w:val="center"/>
                    <w:rPr>
                      <w:bCs/>
                      <w:szCs w:val="21"/>
                    </w:rPr>
                  </w:pPr>
                </w:p>
              </w:tc>
              <w:tc>
                <w:tcPr>
                  <w:tcW w:w="1181" w:type="dxa"/>
                  <w:vMerge w:val="continue"/>
                  <w:noWrap w:val="0"/>
                  <w:vAlign w:val="center"/>
                </w:tcPr>
                <w:p w14:paraId="5E670038">
                  <w:pPr>
                    <w:spacing w:line="276" w:lineRule="auto"/>
                    <w:jc w:val="center"/>
                    <w:rPr>
                      <w:bCs/>
                      <w:szCs w:val="21"/>
                    </w:rPr>
                  </w:pPr>
                </w:p>
              </w:tc>
              <w:tc>
                <w:tcPr>
                  <w:tcW w:w="701" w:type="dxa"/>
                  <w:vMerge w:val="continue"/>
                  <w:noWrap w:val="0"/>
                  <w:vAlign w:val="center"/>
                </w:tcPr>
                <w:p w14:paraId="22CD1564">
                  <w:pPr>
                    <w:spacing w:line="276" w:lineRule="auto"/>
                    <w:jc w:val="center"/>
                    <w:rPr>
                      <w:bCs/>
                      <w:szCs w:val="21"/>
                    </w:rPr>
                  </w:pPr>
                </w:p>
              </w:tc>
              <w:tc>
                <w:tcPr>
                  <w:tcW w:w="1281" w:type="dxa"/>
                  <w:noWrap w:val="0"/>
                  <w:vAlign w:val="center"/>
                </w:tcPr>
                <w:p w14:paraId="1C3885D0">
                  <w:pPr>
                    <w:spacing w:line="276" w:lineRule="auto"/>
                    <w:jc w:val="center"/>
                    <w:rPr>
                      <w:bCs/>
                      <w:szCs w:val="21"/>
                    </w:rPr>
                  </w:pPr>
                  <w:r>
                    <w:rPr>
                      <w:bCs/>
                      <w:szCs w:val="21"/>
                    </w:rPr>
                    <w:t>第三次</w:t>
                  </w:r>
                </w:p>
              </w:tc>
              <w:tc>
                <w:tcPr>
                  <w:tcW w:w="1320" w:type="dxa"/>
                  <w:noWrap w:val="0"/>
                  <w:vAlign w:val="center"/>
                </w:tcPr>
                <w:p w14:paraId="5AA68677">
                  <w:pPr>
                    <w:spacing w:line="276" w:lineRule="auto"/>
                    <w:jc w:val="center"/>
                    <w:rPr>
                      <w:bCs/>
                      <w:color w:val="000000"/>
                      <w:szCs w:val="21"/>
                      <w:highlight w:val="none"/>
                    </w:rPr>
                  </w:pPr>
                  <w:r>
                    <w:rPr>
                      <w:rFonts w:hint="eastAsia"/>
                      <w:bCs/>
                      <w:color w:val="000000"/>
                      <w:szCs w:val="21"/>
                      <w:highlight w:val="none"/>
                    </w:rPr>
                    <w:t>20266</w:t>
                  </w:r>
                </w:p>
              </w:tc>
              <w:tc>
                <w:tcPr>
                  <w:tcW w:w="1339" w:type="dxa"/>
                  <w:noWrap w:val="0"/>
                  <w:vAlign w:val="center"/>
                </w:tcPr>
                <w:p w14:paraId="0DA4CB20">
                  <w:pPr>
                    <w:spacing w:line="276" w:lineRule="auto"/>
                    <w:jc w:val="center"/>
                    <w:rPr>
                      <w:bCs/>
                      <w:szCs w:val="21"/>
                    </w:rPr>
                  </w:pPr>
                  <w:r>
                    <w:rPr>
                      <w:rFonts w:hint="eastAsia"/>
                      <w:bCs/>
                      <w:szCs w:val="21"/>
                    </w:rPr>
                    <w:t>3.6</w:t>
                  </w:r>
                </w:p>
              </w:tc>
              <w:tc>
                <w:tcPr>
                  <w:tcW w:w="1317" w:type="dxa"/>
                  <w:noWrap w:val="0"/>
                  <w:vAlign w:val="center"/>
                </w:tcPr>
                <w:p w14:paraId="3B46C75D">
                  <w:pPr>
                    <w:spacing w:line="276" w:lineRule="auto"/>
                    <w:jc w:val="center"/>
                    <w:rPr>
                      <w:bCs/>
                      <w:szCs w:val="21"/>
                    </w:rPr>
                  </w:pPr>
                  <w:r>
                    <w:rPr>
                      <w:bCs/>
                      <w:szCs w:val="21"/>
                    </w:rPr>
                    <w:t>0.0</w:t>
                  </w:r>
                  <w:r>
                    <w:rPr>
                      <w:rFonts w:hint="eastAsia"/>
                      <w:bCs/>
                      <w:szCs w:val="21"/>
                    </w:rPr>
                    <w:t>73</w:t>
                  </w:r>
                </w:p>
              </w:tc>
            </w:tr>
            <w:tr w14:paraId="4021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2" w:type="dxa"/>
                  <w:gridSpan w:val="4"/>
                  <w:noWrap w:val="0"/>
                  <w:vAlign w:val="center"/>
                </w:tcPr>
                <w:p w14:paraId="19751EF8">
                  <w:pPr>
                    <w:spacing w:line="276" w:lineRule="auto"/>
                    <w:jc w:val="center"/>
                    <w:rPr>
                      <w:bCs/>
                      <w:szCs w:val="21"/>
                    </w:rPr>
                  </w:pPr>
                  <w:r>
                    <w:rPr>
                      <w:bCs/>
                      <w:szCs w:val="21"/>
                    </w:rPr>
                    <w:t>标准值</w:t>
                  </w:r>
                </w:p>
              </w:tc>
              <w:tc>
                <w:tcPr>
                  <w:tcW w:w="1320" w:type="dxa"/>
                  <w:noWrap w:val="0"/>
                  <w:vAlign w:val="center"/>
                </w:tcPr>
                <w:p w14:paraId="25EB6BE2">
                  <w:pPr>
                    <w:spacing w:line="276" w:lineRule="auto"/>
                    <w:jc w:val="center"/>
                    <w:rPr>
                      <w:bCs/>
                      <w:szCs w:val="21"/>
                    </w:rPr>
                  </w:pPr>
                  <w:r>
                    <w:rPr>
                      <w:rFonts w:hint="eastAsia"/>
                      <w:bCs/>
                      <w:szCs w:val="21"/>
                    </w:rPr>
                    <w:t>/</w:t>
                  </w:r>
                </w:p>
              </w:tc>
              <w:tc>
                <w:tcPr>
                  <w:tcW w:w="1339" w:type="dxa"/>
                  <w:noWrap w:val="0"/>
                  <w:vAlign w:val="center"/>
                </w:tcPr>
                <w:p w14:paraId="031BE16B">
                  <w:pPr>
                    <w:spacing w:line="276" w:lineRule="auto"/>
                    <w:jc w:val="center"/>
                    <w:rPr>
                      <w:bCs/>
                      <w:szCs w:val="21"/>
                    </w:rPr>
                  </w:pPr>
                  <w:r>
                    <w:rPr>
                      <w:rFonts w:hint="eastAsia"/>
                      <w:bCs/>
                      <w:szCs w:val="21"/>
                    </w:rPr>
                    <w:t>10</w:t>
                  </w:r>
                </w:p>
              </w:tc>
              <w:tc>
                <w:tcPr>
                  <w:tcW w:w="1317" w:type="dxa"/>
                  <w:noWrap w:val="0"/>
                  <w:vAlign w:val="center"/>
                </w:tcPr>
                <w:p w14:paraId="34173281">
                  <w:pPr>
                    <w:spacing w:line="276" w:lineRule="auto"/>
                    <w:jc w:val="center"/>
                    <w:rPr>
                      <w:bCs/>
                      <w:szCs w:val="21"/>
                    </w:rPr>
                  </w:pPr>
                  <w:r>
                    <w:rPr>
                      <w:rFonts w:hint="eastAsia"/>
                      <w:bCs/>
                      <w:szCs w:val="21"/>
                    </w:rPr>
                    <w:t>/</w:t>
                  </w:r>
                </w:p>
              </w:tc>
            </w:tr>
          </w:tbl>
          <w:p w14:paraId="513BE2BF">
            <w:pPr>
              <w:autoSpaceDE w:val="0"/>
              <w:autoSpaceDN w:val="0"/>
              <w:adjustRightInd w:val="0"/>
              <w:snapToGrid w:val="0"/>
              <w:spacing w:line="480" w:lineRule="exact"/>
              <w:ind w:firstLine="480" w:firstLineChars="200"/>
              <w:rPr>
                <w:rFonts w:hint="eastAsia"/>
                <w:sz w:val="24"/>
              </w:rPr>
            </w:pPr>
          </w:p>
          <w:p w14:paraId="7A1DEBBD">
            <w:pPr>
              <w:autoSpaceDE w:val="0"/>
              <w:autoSpaceDN w:val="0"/>
              <w:adjustRightInd w:val="0"/>
              <w:snapToGrid w:val="0"/>
              <w:spacing w:line="480" w:lineRule="exact"/>
              <w:ind w:firstLine="480" w:firstLineChars="200"/>
              <w:rPr>
                <w:rFonts w:hint="eastAsia" w:ascii="黑体" w:hAnsi="黑体" w:eastAsia="黑体" w:cs="黑体"/>
                <w:sz w:val="24"/>
              </w:rPr>
            </w:pPr>
            <w:r>
              <w:rPr>
                <w:rFonts w:hint="eastAsia"/>
                <w:sz w:val="24"/>
              </w:rPr>
              <w:t>由上表可知，厂区DA001破碎筛分废气排放口颗粒物排放浓度满足《砖瓦工业大气污染物排放标准》(DB34/4362-2023)</w:t>
            </w:r>
            <w:bookmarkStart w:id="11" w:name="OLE_LINK18"/>
            <w:bookmarkStart w:id="12" w:name="OLE_LINK19"/>
            <w:r>
              <w:rPr>
                <w:rFonts w:hint="eastAsia"/>
                <w:sz w:val="24"/>
              </w:rPr>
              <w:t>表2</w:t>
            </w:r>
            <w:bookmarkEnd w:id="11"/>
            <w:bookmarkEnd w:id="12"/>
            <w:r>
              <w:rPr>
                <w:rFonts w:hint="eastAsia"/>
                <w:sz w:val="24"/>
              </w:rPr>
              <w:t>中标准限值要求。</w:t>
            </w:r>
          </w:p>
          <w:p w14:paraId="6541E855">
            <w:pPr>
              <w:autoSpaceDE w:val="0"/>
              <w:autoSpaceDN w:val="0"/>
              <w:spacing w:line="480" w:lineRule="exact"/>
              <w:jc w:val="center"/>
              <w:rPr>
                <w:rFonts w:hint="eastAsia" w:ascii="黑体" w:hAnsi="黑体" w:eastAsia="黑体" w:cs="黑体"/>
                <w:sz w:val="24"/>
              </w:rPr>
            </w:pPr>
            <w:r>
              <w:rPr>
                <w:rFonts w:hint="eastAsia" w:ascii="黑体" w:hAnsi="黑体" w:eastAsia="黑体" w:cs="黑体"/>
                <w:bCs/>
                <w:sz w:val="24"/>
              </w:rPr>
              <w:t>表2-11  有组织废气检测结果统计表(DA002)</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781"/>
              <w:gridCol w:w="855"/>
              <w:gridCol w:w="1191"/>
              <w:gridCol w:w="1045"/>
              <w:gridCol w:w="1182"/>
              <w:gridCol w:w="1109"/>
              <w:gridCol w:w="1054"/>
            </w:tblGrid>
            <w:tr w14:paraId="5C40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restart"/>
                  <w:noWrap w:val="0"/>
                  <w:vAlign w:val="center"/>
                </w:tcPr>
                <w:p w14:paraId="5F692021">
                  <w:pPr>
                    <w:spacing w:line="276" w:lineRule="auto"/>
                    <w:jc w:val="center"/>
                    <w:rPr>
                      <w:bCs/>
                      <w:szCs w:val="21"/>
                    </w:rPr>
                  </w:pPr>
                  <w:r>
                    <w:rPr>
                      <w:bCs/>
                      <w:szCs w:val="21"/>
                    </w:rPr>
                    <w:t>监测点位</w:t>
                  </w:r>
                </w:p>
              </w:tc>
              <w:tc>
                <w:tcPr>
                  <w:tcW w:w="781" w:type="dxa"/>
                  <w:vMerge w:val="restart"/>
                  <w:noWrap w:val="0"/>
                  <w:vAlign w:val="center"/>
                </w:tcPr>
                <w:p w14:paraId="13B4973F">
                  <w:pPr>
                    <w:spacing w:line="276" w:lineRule="auto"/>
                    <w:jc w:val="center"/>
                    <w:rPr>
                      <w:bCs/>
                      <w:szCs w:val="21"/>
                    </w:rPr>
                  </w:pPr>
                  <w:r>
                    <w:rPr>
                      <w:bCs/>
                      <w:szCs w:val="21"/>
                    </w:rPr>
                    <w:t>监测因子</w:t>
                  </w:r>
                </w:p>
              </w:tc>
              <w:tc>
                <w:tcPr>
                  <w:tcW w:w="855" w:type="dxa"/>
                  <w:vMerge w:val="restart"/>
                  <w:noWrap w:val="0"/>
                  <w:vAlign w:val="center"/>
                </w:tcPr>
                <w:p w14:paraId="1DA553BD">
                  <w:pPr>
                    <w:spacing w:line="276" w:lineRule="auto"/>
                    <w:jc w:val="center"/>
                    <w:rPr>
                      <w:bCs/>
                      <w:color w:val="000000"/>
                      <w:szCs w:val="21"/>
                    </w:rPr>
                  </w:pPr>
                  <w:r>
                    <w:rPr>
                      <w:bCs/>
                      <w:color w:val="000000"/>
                      <w:szCs w:val="21"/>
                    </w:rPr>
                    <w:t>监测频次</w:t>
                  </w:r>
                </w:p>
              </w:tc>
              <w:tc>
                <w:tcPr>
                  <w:tcW w:w="5581" w:type="dxa"/>
                  <w:gridSpan w:val="5"/>
                  <w:noWrap w:val="0"/>
                  <w:vAlign w:val="center"/>
                </w:tcPr>
                <w:p w14:paraId="572D22B7">
                  <w:pPr>
                    <w:spacing w:line="276" w:lineRule="auto"/>
                    <w:jc w:val="center"/>
                    <w:rPr>
                      <w:bCs/>
                      <w:color w:val="000000"/>
                      <w:szCs w:val="21"/>
                    </w:rPr>
                  </w:pPr>
                  <w:r>
                    <w:rPr>
                      <w:bCs/>
                      <w:color w:val="000000"/>
                      <w:szCs w:val="21"/>
                    </w:rPr>
                    <w:t>检测结果</w:t>
                  </w:r>
                </w:p>
              </w:tc>
            </w:tr>
            <w:tr w14:paraId="053A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continue"/>
                  <w:noWrap w:val="0"/>
                  <w:vAlign w:val="center"/>
                </w:tcPr>
                <w:p w14:paraId="6BCA22DC">
                  <w:pPr>
                    <w:adjustRightInd w:val="0"/>
                    <w:spacing w:line="276" w:lineRule="auto"/>
                    <w:jc w:val="center"/>
                    <w:rPr>
                      <w:bCs/>
                      <w:szCs w:val="21"/>
                    </w:rPr>
                  </w:pPr>
                </w:p>
              </w:tc>
              <w:tc>
                <w:tcPr>
                  <w:tcW w:w="781" w:type="dxa"/>
                  <w:vMerge w:val="continue"/>
                  <w:noWrap w:val="0"/>
                  <w:vAlign w:val="center"/>
                </w:tcPr>
                <w:p w14:paraId="6C0DD8DB">
                  <w:pPr>
                    <w:adjustRightInd w:val="0"/>
                    <w:spacing w:line="276" w:lineRule="auto"/>
                    <w:jc w:val="center"/>
                    <w:rPr>
                      <w:bCs/>
                      <w:szCs w:val="21"/>
                    </w:rPr>
                  </w:pPr>
                </w:p>
              </w:tc>
              <w:tc>
                <w:tcPr>
                  <w:tcW w:w="855" w:type="dxa"/>
                  <w:vMerge w:val="continue"/>
                  <w:noWrap w:val="0"/>
                  <w:vAlign w:val="center"/>
                </w:tcPr>
                <w:p w14:paraId="67E3D289">
                  <w:pPr>
                    <w:adjustRightInd w:val="0"/>
                    <w:spacing w:line="276" w:lineRule="auto"/>
                    <w:jc w:val="center"/>
                    <w:rPr>
                      <w:bCs/>
                      <w:color w:val="000000"/>
                      <w:szCs w:val="21"/>
                    </w:rPr>
                  </w:pPr>
                </w:p>
              </w:tc>
              <w:tc>
                <w:tcPr>
                  <w:tcW w:w="5581" w:type="dxa"/>
                  <w:gridSpan w:val="5"/>
                  <w:noWrap w:val="0"/>
                  <w:vAlign w:val="center"/>
                </w:tcPr>
                <w:p w14:paraId="0F978274">
                  <w:pPr>
                    <w:adjustRightInd w:val="0"/>
                    <w:spacing w:line="276" w:lineRule="auto"/>
                    <w:jc w:val="center"/>
                    <w:rPr>
                      <w:bCs/>
                      <w:color w:val="000000"/>
                      <w:szCs w:val="21"/>
                    </w:rPr>
                  </w:pPr>
                  <w:r>
                    <w:rPr>
                      <w:bCs/>
                      <w:color w:val="000000"/>
                      <w:szCs w:val="21"/>
                    </w:rPr>
                    <w:t>202</w:t>
                  </w:r>
                  <w:r>
                    <w:rPr>
                      <w:rFonts w:hint="eastAsia"/>
                      <w:bCs/>
                      <w:color w:val="000000"/>
                      <w:szCs w:val="21"/>
                    </w:rPr>
                    <w:t>5.9.18</w:t>
                  </w:r>
                </w:p>
              </w:tc>
            </w:tr>
            <w:tr w14:paraId="7EC2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continue"/>
                  <w:noWrap w:val="0"/>
                  <w:vAlign w:val="center"/>
                </w:tcPr>
                <w:p w14:paraId="60410129">
                  <w:pPr>
                    <w:adjustRightInd w:val="0"/>
                    <w:spacing w:line="276" w:lineRule="auto"/>
                    <w:jc w:val="center"/>
                    <w:rPr>
                      <w:bCs/>
                      <w:szCs w:val="21"/>
                    </w:rPr>
                  </w:pPr>
                </w:p>
              </w:tc>
              <w:tc>
                <w:tcPr>
                  <w:tcW w:w="781" w:type="dxa"/>
                  <w:vMerge w:val="continue"/>
                  <w:noWrap w:val="0"/>
                  <w:vAlign w:val="center"/>
                </w:tcPr>
                <w:p w14:paraId="36949607">
                  <w:pPr>
                    <w:adjustRightInd w:val="0"/>
                    <w:spacing w:line="276" w:lineRule="auto"/>
                    <w:jc w:val="center"/>
                    <w:rPr>
                      <w:bCs/>
                      <w:szCs w:val="21"/>
                    </w:rPr>
                  </w:pPr>
                </w:p>
              </w:tc>
              <w:tc>
                <w:tcPr>
                  <w:tcW w:w="855" w:type="dxa"/>
                  <w:vMerge w:val="continue"/>
                  <w:noWrap w:val="0"/>
                  <w:vAlign w:val="center"/>
                </w:tcPr>
                <w:p w14:paraId="594FDCBD">
                  <w:pPr>
                    <w:adjustRightInd w:val="0"/>
                    <w:spacing w:line="276" w:lineRule="auto"/>
                    <w:jc w:val="center"/>
                    <w:rPr>
                      <w:bCs/>
                      <w:color w:val="000000"/>
                      <w:szCs w:val="21"/>
                      <w:highlight w:val="none"/>
                    </w:rPr>
                  </w:pPr>
                </w:p>
              </w:tc>
              <w:tc>
                <w:tcPr>
                  <w:tcW w:w="1191" w:type="dxa"/>
                  <w:noWrap w:val="0"/>
                  <w:vAlign w:val="center"/>
                </w:tcPr>
                <w:p w14:paraId="6E16047A">
                  <w:pPr>
                    <w:adjustRightInd w:val="0"/>
                    <w:spacing w:line="276" w:lineRule="auto"/>
                    <w:jc w:val="center"/>
                    <w:rPr>
                      <w:bCs/>
                      <w:color w:val="000000"/>
                      <w:szCs w:val="21"/>
                      <w:highlight w:val="none"/>
                    </w:rPr>
                  </w:pPr>
                  <w:r>
                    <w:rPr>
                      <w:bCs/>
                      <w:color w:val="000000"/>
                      <w:szCs w:val="21"/>
                      <w:highlight w:val="none"/>
                    </w:rPr>
                    <w:t>标杆流量(m</w:t>
                  </w:r>
                  <w:r>
                    <w:rPr>
                      <w:bCs/>
                      <w:color w:val="000000"/>
                      <w:szCs w:val="21"/>
                      <w:highlight w:val="none"/>
                      <w:vertAlign w:val="superscript"/>
                    </w:rPr>
                    <w:t>3</w:t>
                  </w:r>
                  <w:r>
                    <w:rPr>
                      <w:bCs/>
                      <w:color w:val="000000"/>
                      <w:szCs w:val="21"/>
                      <w:highlight w:val="none"/>
                    </w:rPr>
                    <w:t>/h)</w:t>
                  </w:r>
                </w:p>
              </w:tc>
              <w:tc>
                <w:tcPr>
                  <w:tcW w:w="1045" w:type="dxa"/>
                  <w:noWrap w:val="0"/>
                  <w:vAlign w:val="center"/>
                </w:tcPr>
                <w:p w14:paraId="04AECC23">
                  <w:pPr>
                    <w:adjustRightInd w:val="0"/>
                    <w:spacing w:line="276" w:lineRule="auto"/>
                    <w:jc w:val="center"/>
                    <w:rPr>
                      <w:bCs/>
                      <w:color w:val="000000"/>
                      <w:szCs w:val="21"/>
                      <w:highlight w:val="none"/>
                    </w:rPr>
                  </w:pPr>
                  <w:r>
                    <w:rPr>
                      <w:bCs/>
                      <w:color w:val="000000"/>
                      <w:szCs w:val="21"/>
                      <w:highlight w:val="none"/>
                    </w:rPr>
                    <w:t>含氧量(%)</w:t>
                  </w:r>
                </w:p>
              </w:tc>
              <w:tc>
                <w:tcPr>
                  <w:tcW w:w="1182" w:type="dxa"/>
                  <w:noWrap w:val="0"/>
                  <w:vAlign w:val="center"/>
                </w:tcPr>
                <w:p w14:paraId="3A1CF0F3">
                  <w:pPr>
                    <w:adjustRightInd w:val="0"/>
                    <w:spacing w:line="276" w:lineRule="auto"/>
                    <w:jc w:val="center"/>
                    <w:rPr>
                      <w:bCs/>
                      <w:color w:val="000000"/>
                      <w:szCs w:val="21"/>
                      <w:highlight w:val="none"/>
                    </w:rPr>
                  </w:pPr>
                  <w:r>
                    <w:rPr>
                      <w:bCs/>
                      <w:color w:val="000000"/>
                      <w:szCs w:val="21"/>
                      <w:highlight w:val="none"/>
                    </w:rPr>
                    <w:t>实测浓度(mg/m</w:t>
                  </w:r>
                  <w:r>
                    <w:rPr>
                      <w:bCs/>
                      <w:color w:val="000000"/>
                      <w:szCs w:val="21"/>
                      <w:highlight w:val="none"/>
                      <w:vertAlign w:val="superscript"/>
                    </w:rPr>
                    <w:t>3</w:t>
                  </w:r>
                  <w:r>
                    <w:rPr>
                      <w:bCs/>
                      <w:color w:val="000000"/>
                      <w:szCs w:val="21"/>
                      <w:highlight w:val="none"/>
                    </w:rPr>
                    <w:t>)</w:t>
                  </w:r>
                </w:p>
              </w:tc>
              <w:tc>
                <w:tcPr>
                  <w:tcW w:w="1109" w:type="dxa"/>
                  <w:noWrap w:val="0"/>
                  <w:vAlign w:val="center"/>
                </w:tcPr>
                <w:p w14:paraId="3759546C">
                  <w:pPr>
                    <w:adjustRightInd w:val="0"/>
                    <w:spacing w:line="276" w:lineRule="auto"/>
                    <w:jc w:val="center"/>
                    <w:rPr>
                      <w:bCs/>
                      <w:color w:val="000000"/>
                      <w:szCs w:val="21"/>
                      <w:highlight w:val="none"/>
                    </w:rPr>
                  </w:pPr>
                  <w:r>
                    <w:rPr>
                      <w:bCs/>
                      <w:color w:val="000000"/>
                      <w:szCs w:val="21"/>
                      <w:highlight w:val="none"/>
                    </w:rPr>
                    <w:t>折算浓度(mg/m</w:t>
                  </w:r>
                  <w:r>
                    <w:rPr>
                      <w:bCs/>
                      <w:color w:val="000000"/>
                      <w:szCs w:val="21"/>
                      <w:highlight w:val="none"/>
                      <w:vertAlign w:val="superscript"/>
                    </w:rPr>
                    <w:t>3</w:t>
                  </w:r>
                  <w:r>
                    <w:rPr>
                      <w:bCs/>
                      <w:color w:val="000000"/>
                      <w:szCs w:val="21"/>
                      <w:highlight w:val="none"/>
                    </w:rPr>
                    <w:t>)</w:t>
                  </w:r>
                </w:p>
              </w:tc>
              <w:tc>
                <w:tcPr>
                  <w:tcW w:w="1054" w:type="dxa"/>
                  <w:noWrap w:val="0"/>
                  <w:vAlign w:val="center"/>
                </w:tcPr>
                <w:p w14:paraId="64E71CA5">
                  <w:pPr>
                    <w:adjustRightInd w:val="0"/>
                    <w:spacing w:line="276" w:lineRule="auto"/>
                    <w:jc w:val="center"/>
                    <w:rPr>
                      <w:bCs/>
                      <w:szCs w:val="21"/>
                    </w:rPr>
                  </w:pPr>
                  <w:r>
                    <w:rPr>
                      <w:rFonts w:hint="eastAsia"/>
                      <w:bCs/>
                      <w:szCs w:val="21"/>
                    </w:rPr>
                    <w:t>排放速率kg/h</w:t>
                  </w:r>
                </w:p>
              </w:tc>
            </w:tr>
            <w:tr w14:paraId="0D0C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restart"/>
                  <w:noWrap w:val="0"/>
                  <w:vAlign w:val="center"/>
                </w:tcPr>
                <w:p w14:paraId="7CF73105">
                  <w:pPr>
                    <w:adjustRightInd w:val="0"/>
                    <w:spacing w:line="276" w:lineRule="auto"/>
                    <w:jc w:val="center"/>
                    <w:rPr>
                      <w:bCs/>
                      <w:szCs w:val="21"/>
                    </w:rPr>
                  </w:pPr>
                  <w:r>
                    <w:rPr>
                      <w:rFonts w:hint="eastAsia"/>
                      <w:bCs/>
                      <w:szCs w:val="21"/>
                    </w:rPr>
                    <w:t>DA002</w:t>
                  </w:r>
                  <w:r>
                    <w:rPr>
                      <w:rFonts w:hint="eastAsia"/>
                      <w:bCs/>
                      <w:szCs w:val="21"/>
                      <w:lang w:val="en-US" w:eastAsia="zh-CN"/>
                    </w:rPr>
                    <w:t>干燥焙烧</w:t>
                  </w:r>
                  <w:r>
                    <w:rPr>
                      <w:rFonts w:hint="eastAsia"/>
                      <w:bCs/>
                      <w:szCs w:val="21"/>
                    </w:rPr>
                    <w:t>废气排放口</w:t>
                  </w:r>
                </w:p>
              </w:tc>
              <w:tc>
                <w:tcPr>
                  <w:tcW w:w="781" w:type="dxa"/>
                  <w:vMerge w:val="restart"/>
                  <w:noWrap w:val="0"/>
                  <w:vAlign w:val="center"/>
                </w:tcPr>
                <w:p w14:paraId="756C3DD8">
                  <w:pPr>
                    <w:adjustRightInd w:val="0"/>
                    <w:spacing w:line="276" w:lineRule="auto"/>
                    <w:jc w:val="center"/>
                    <w:rPr>
                      <w:bCs/>
                      <w:szCs w:val="21"/>
                    </w:rPr>
                  </w:pPr>
                  <w:r>
                    <w:rPr>
                      <w:bCs/>
                      <w:szCs w:val="21"/>
                    </w:rPr>
                    <w:t>氟化物</w:t>
                  </w:r>
                </w:p>
              </w:tc>
              <w:tc>
                <w:tcPr>
                  <w:tcW w:w="855" w:type="dxa"/>
                  <w:noWrap w:val="0"/>
                  <w:vAlign w:val="center"/>
                </w:tcPr>
                <w:p w14:paraId="63BCFA42">
                  <w:pPr>
                    <w:spacing w:line="276" w:lineRule="auto"/>
                    <w:jc w:val="center"/>
                    <w:rPr>
                      <w:bCs/>
                      <w:color w:val="000000"/>
                      <w:szCs w:val="21"/>
                      <w:highlight w:val="none"/>
                    </w:rPr>
                  </w:pPr>
                  <w:r>
                    <w:rPr>
                      <w:bCs/>
                      <w:color w:val="000000"/>
                      <w:szCs w:val="21"/>
                      <w:highlight w:val="none"/>
                    </w:rPr>
                    <w:t>第一次</w:t>
                  </w:r>
                </w:p>
              </w:tc>
              <w:tc>
                <w:tcPr>
                  <w:tcW w:w="1191" w:type="dxa"/>
                  <w:noWrap w:val="0"/>
                  <w:vAlign w:val="center"/>
                </w:tcPr>
                <w:p w14:paraId="3CDC7133">
                  <w:pPr>
                    <w:adjustRightInd w:val="0"/>
                    <w:spacing w:line="276" w:lineRule="auto"/>
                    <w:jc w:val="center"/>
                    <w:rPr>
                      <w:bCs/>
                      <w:color w:val="000000"/>
                      <w:szCs w:val="21"/>
                      <w:highlight w:val="none"/>
                    </w:rPr>
                  </w:pPr>
                  <w:r>
                    <w:rPr>
                      <w:rFonts w:hint="eastAsia"/>
                      <w:bCs/>
                      <w:color w:val="000000"/>
                      <w:szCs w:val="21"/>
                      <w:highlight w:val="none"/>
                    </w:rPr>
                    <w:t>85297</w:t>
                  </w:r>
                </w:p>
              </w:tc>
              <w:tc>
                <w:tcPr>
                  <w:tcW w:w="1045" w:type="dxa"/>
                  <w:noWrap w:val="0"/>
                  <w:vAlign w:val="center"/>
                </w:tcPr>
                <w:p w14:paraId="7C2B604F">
                  <w:pPr>
                    <w:adjustRightInd w:val="0"/>
                    <w:spacing w:line="276" w:lineRule="auto"/>
                    <w:jc w:val="center"/>
                    <w:rPr>
                      <w:bCs/>
                      <w:color w:val="000000"/>
                      <w:szCs w:val="21"/>
                      <w:highlight w:val="none"/>
                    </w:rPr>
                  </w:pPr>
                  <w:r>
                    <w:rPr>
                      <w:rFonts w:hint="eastAsia"/>
                      <w:bCs/>
                      <w:color w:val="000000"/>
                      <w:szCs w:val="21"/>
                      <w:highlight w:val="none"/>
                    </w:rPr>
                    <w:t>19.7</w:t>
                  </w:r>
                </w:p>
              </w:tc>
              <w:tc>
                <w:tcPr>
                  <w:tcW w:w="1182" w:type="dxa"/>
                  <w:noWrap w:val="0"/>
                  <w:vAlign w:val="center"/>
                </w:tcPr>
                <w:p w14:paraId="01FA8277">
                  <w:pPr>
                    <w:adjustRightInd w:val="0"/>
                    <w:spacing w:line="276" w:lineRule="auto"/>
                    <w:jc w:val="center"/>
                    <w:rPr>
                      <w:bCs/>
                      <w:color w:val="000000"/>
                      <w:szCs w:val="21"/>
                      <w:highlight w:val="none"/>
                    </w:rPr>
                  </w:pPr>
                  <w:r>
                    <w:rPr>
                      <w:rFonts w:hint="eastAsia"/>
                      <w:bCs/>
                      <w:color w:val="000000"/>
                      <w:szCs w:val="21"/>
                      <w:highlight w:val="none"/>
                    </w:rPr>
                    <w:t>0.35</w:t>
                  </w:r>
                </w:p>
              </w:tc>
              <w:tc>
                <w:tcPr>
                  <w:tcW w:w="1109" w:type="dxa"/>
                  <w:noWrap w:val="0"/>
                  <w:vAlign w:val="center"/>
                </w:tcPr>
                <w:p w14:paraId="493CF730">
                  <w:pPr>
                    <w:adjustRightInd w:val="0"/>
                    <w:spacing w:line="276" w:lineRule="auto"/>
                    <w:jc w:val="center"/>
                    <w:rPr>
                      <w:bCs/>
                      <w:color w:val="000000"/>
                      <w:szCs w:val="21"/>
                      <w:highlight w:val="none"/>
                    </w:rPr>
                  </w:pPr>
                  <w:r>
                    <w:rPr>
                      <w:rFonts w:hint="eastAsia"/>
                      <w:bCs/>
                      <w:color w:val="000000"/>
                      <w:szCs w:val="21"/>
                      <w:highlight w:val="none"/>
                    </w:rPr>
                    <w:t>0.81</w:t>
                  </w:r>
                </w:p>
              </w:tc>
              <w:tc>
                <w:tcPr>
                  <w:tcW w:w="1054" w:type="dxa"/>
                  <w:noWrap w:val="0"/>
                  <w:vAlign w:val="center"/>
                </w:tcPr>
                <w:p w14:paraId="5AA30294">
                  <w:pPr>
                    <w:adjustRightInd w:val="0"/>
                    <w:spacing w:line="276" w:lineRule="auto"/>
                    <w:jc w:val="center"/>
                    <w:rPr>
                      <w:bCs/>
                      <w:szCs w:val="21"/>
                    </w:rPr>
                  </w:pPr>
                  <w:r>
                    <w:rPr>
                      <w:rFonts w:hint="eastAsia"/>
                      <w:bCs/>
                      <w:szCs w:val="21"/>
                    </w:rPr>
                    <w:t>0.0299</w:t>
                  </w:r>
                </w:p>
              </w:tc>
            </w:tr>
            <w:tr w14:paraId="547E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continue"/>
                  <w:noWrap w:val="0"/>
                  <w:vAlign w:val="center"/>
                </w:tcPr>
                <w:p w14:paraId="329D2CB4">
                  <w:pPr>
                    <w:adjustRightInd w:val="0"/>
                    <w:spacing w:line="276" w:lineRule="auto"/>
                    <w:jc w:val="center"/>
                    <w:rPr>
                      <w:bCs/>
                      <w:szCs w:val="21"/>
                    </w:rPr>
                  </w:pPr>
                </w:p>
              </w:tc>
              <w:tc>
                <w:tcPr>
                  <w:tcW w:w="781" w:type="dxa"/>
                  <w:vMerge w:val="continue"/>
                  <w:noWrap w:val="0"/>
                  <w:vAlign w:val="center"/>
                </w:tcPr>
                <w:p w14:paraId="39B6A88C">
                  <w:pPr>
                    <w:adjustRightInd w:val="0"/>
                    <w:spacing w:line="276" w:lineRule="auto"/>
                    <w:jc w:val="center"/>
                    <w:rPr>
                      <w:bCs/>
                      <w:szCs w:val="21"/>
                    </w:rPr>
                  </w:pPr>
                </w:p>
              </w:tc>
              <w:tc>
                <w:tcPr>
                  <w:tcW w:w="855" w:type="dxa"/>
                  <w:noWrap w:val="0"/>
                  <w:vAlign w:val="center"/>
                </w:tcPr>
                <w:p w14:paraId="36565871">
                  <w:pPr>
                    <w:spacing w:line="276" w:lineRule="auto"/>
                    <w:jc w:val="center"/>
                    <w:rPr>
                      <w:bCs/>
                      <w:color w:val="000000"/>
                      <w:szCs w:val="21"/>
                      <w:highlight w:val="none"/>
                    </w:rPr>
                  </w:pPr>
                  <w:r>
                    <w:rPr>
                      <w:bCs/>
                      <w:color w:val="000000"/>
                      <w:szCs w:val="21"/>
                      <w:highlight w:val="none"/>
                    </w:rPr>
                    <w:t>第二次</w:t>
                  </w:r>
                </w:p>
              </w:tc>
              <w:tc>
                <w:tcPr>
                  <w:tcW w:w="1191" w:type="dxa"/>
                  <w:noWrap w:val="0"/>
                  <w:vAlign w:val="center"/>
                </w:tcPr>
                <w:p w14:paraId="5C7AE3AB">
                  <w:pPr>
                    <w:adjustRightInd w:val="0"/>
                    <w:spacing w:line="276" w:lineRule="auto"/>
                    <w:jc w:val="center"/>
                    <w:rPr>
                      <w:bCs/>
                      <w:color w:val="000000"/>
                      <w:szCs w:val="21"/>
                      <w:highlight w:val="none"/>
                    </w:rPr>
                  </w:pPr>
                  <w:r>
                    <w:rPr>
                      <w:rFonts w:hint="eastAsia"/>
                      <w:bCs/>
                      <w:color w:val="000000"/>
                      <w:szCs w:val="21"/>
                      <w:highlight w:val="none"/>
                    </w:rPr>
                    <w:t>83542</w:t>
                  </w:r>
                </w:p>
              </w:tc>
              <w:tc>
                <w:tcPr>
                  <w:tcW w:w="1045" w:type="dxa"/>
                  <w:noWrap w:val="0"/>
                  <w:vAlign w:val="center"/>
                </w:tcPr>
                <w:p w14:paraId="0CAE97A0">
                  <w:pPr>
                    <w:adjustRightInd w:val="0"/>
                    <w:spacing w:line="276" w:lineRule="auto"/>
                    <w:jc w:val="center"/>
                    <w:rPr>
                      <w:rFonts w:hint="eastAsia"/>
                      <w:bCs/>
                      <w:color w:val="000000"/>
                      <w:szCs w:val="21"/>
                      <w:highlight w:val="none"/>
                    </w:rPr>
                  </w:pPr>
                  <w:r>
                    <w:rPr>
                      <w:rFonts w:hint="eastAsia"/>
                      <w:bCs/>
                      <w:color w:val="000000"/>
                      <w:szCs w:val="21"/>
                      <w:highlight w:val="none"/>
                    </w:rPr>
                    <w:t>19.8</w:t>
                  </w:r>
                </w:p>
              </w:tc>
              <w:tc>
                <w:tcPr>
                  <w:tcW w:w="1182" w:type="dxa"/>
                  <w:noWrap w:val="0"/>
                  <w:vAlign w:val="center"/>
                </w:tcPr>
                <w:p w14:paraId="21A64C5A">
                  <w:pPr>
                    <w:adjustRightInd w:val="0"/>
                    <w:spacing w:line="276" w:lineRule="auto"/>
                    <w:jc w:val="center"/>
                    <w:rPr>
                      <w:bCs/>
                      <w:color w:val="000000"/>
                      <w:szCs w:val="21"/>
                      <w:highlight w:val="none"/>
                    </w:rPr>
                  </w:pPr>
                  <w:r>
                    <w:rPr>
                      <w:rFonts w:hint="eastAsia"/>
                      <w:bCs/>
                      <w:color w:val="000000"/>
                      <w:szCs w:val="21"/>
                      <w:highlight w:val="none"/>
                    </w:rPr>
                    <w:t>0.35</w:t>
                  </w:r>
                </w:p>
              </w:tc>
              <w:tc>
                <w:tcPr>
                  <w:tcW w:w="1109" w:type="dxa"/>
                  <w:noWrap w:val="0"/>
                  <w:vAlign w:val="center"/>
                </w:tcPr>
                <w:p w14:paraId="401490AF">
                  <w:pPr>
                    <w:adjustRightInd w:val="0"/>
                    <w:spacing w:line="276" w:lineRule="auto"/>
                    <w:jc w:val="center"/>
                    <w:rPr>
                      <w:bCs/>
                      <w:color w:val="000000"/>
                      <w:szCs w:val="21"/>
                      <w:highlight w:val="none"/>
                    </w:rPr>
                  </w:pPr>
                  <w:r>
                    <w:rPr>
                      <w:rFonts w:hint="eastAsia"/>
                      <w:bCs/>
                      <w:color w:val="000000"/>
                      <w:szCs w:val="21"/>
                      <w:highlight w:val="none"/>
                    </w:rPr>
                    <w:t>0.88</w:t>
                  </w:r>
                </w:p>
              </w:tc>
              <w:tc>
                <w:tcPr>
                  <w:tcW w:w="1054" w:type="dxa"/>
                  <w:noWrap w:val="0"/>
                  <w:vAlign w:val="center"/>
                </w:tcPr>
                <w:p w14:paraId="453EABC8">
                  <w:pPr>
                    <w:adjustRightInd w:val="0"/>
                    <w:spacing w:line="276" w:lineRule="auto"/>
                    <w:jc w:val="center"/>
                    <w:rPr>
                      <w:bCs/>
                      <w:szCs w:val="21"/>
                    </w:rPr>
                  </w:pPr>
                  <w:r>
                    <w:rPr>
                      <w:rFonts w:hint="eastAsia"/>
                      <w:bCs/>
                      <w:szCs w:val="21"/>
                    </w:rPr>
                    <w:t>0.0292</w:t>
                  </w:r>
                </w:p>
              </w:tc>
            </w:tr>
            <w:tr w14:paraId="6E64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continue"/>
                  <w:noWrap w:val="0"/>
                  <w:vAlign w:val="center"/>
                </w:tcPr>
                <w:p w14:paraId="1A998F4A">
                  <w:pPr>
                    <w:adjustRightInd w:val="0"/>
                    <w:spacing w:line="276" w:lineRule="auto"/>
                    <w:jc w:val="center"/>
                    <w:rPr>
                      <w:bCs/>
                      <w:szCs w:val="21"/>
                    </w:rPr>
                  </w:pPr>
                </w:p>
              </w:tc>
              <w:tc>
                <w:tcPr>
                  <w:tcW w:w="781" w:type="dxa"/>
                  <w:vMerge w:val="continue"/>
                  <w:noWrap w:val="0"/>
                  <w:vAlign w:val="center"/>
                </w:tcPr>
                <w:p w14:paraId="266AF5DF">
                  <w:pPr>
                    <w:adjustRightInd w:val="0"/>
                    <w:spacing w:line="276" w:lineRule="auto"/>
                    <w:jc w:val="center"/>
                    <w:rPr>
                      <w:bCs/>
                      <w:szCs w:val="21"/>
                    </w:rPr>
                  </w:pPr>
                </w:p>
              </w:tc>
              <w:tc>
                <w:tcPr>
                  <w:tcW w:w="855" w:type="dxa"/>
                  <w:noWrap w:val="0"/>
                  <w:vAlign w:val="center"/>
                </w:tcPr>
                <w:p w14:paraId="041F53E4">
                  <w:pPr>
                    <w:spacing w:line="276" w:lineRule="auto"/>
                    <w:jc w:val="center"/>
                    <w:rPr>
                      <w:bCs/>
                      <w:color w:val="000000"/>
                      <w:szCs w:val="21"/>
                      <w:highlight w:val="none"/>
                    </w:rPr>
                  </w:pPr>
                  <w:r>
                    <w:rPr>
                      <w:bCs/>
                      <w:color w:val="000000"/>
                      <w:szCs w:val="21"/>
                      <w:highlight w:val="none"/>
                    </w:rPr>
                    <w:t>第三次</w:t>
                  </w:r>
                </w:p>
              </w:tc>
              <w:tc>
                <w:tcPr>
                  <w:tcW w:w="1191" w:type="dxa"/>
                  <w:noWrap w:val="0"/>
                  <w:vAlign w:val="center"/>
                </w:tcPr>
                <w:p w14:paraId="5DE0016A">
                  <w:pPr>
                    <w:adjustRightInd w:val="0"/>
                    <w:spacing w:line="276" w:lineRule="auto"/>
                    <w:jc w:val="center"/>
                    <w:rPr>
                      <w:bCs/>
                      <w:color w:val="000000"/>
                      <w:szCs w:val="21"/>
                      <w:highlight w:val="none"/>
                    </w:rPr>
                  </w:pPr>
                  <w:r>
                    <w:rPr>
                      <w:rFonts w:hint="eastAsia"/>
                      <w:bCs/>
                      <w:color w:val="000000"/>
                      <w:szCs w:val="21"/>
                      <w:highlight w:val="none"/>
                    </w:rPr>
                    <w:t>87188</w:t>
                  </w:r>
                </w:p>
              </w:tc>
              <w:tc>
                <w:tcPr>
                  <w:tcW w:w="1045" w:type="dxa"/>
                  <w:noWrap w:val="0"/>
                  <w:vAlign w:val="center"/>
                </w:tcPr>
                <w:p w14:paraId="374345F0">
                  <w:pPr>
                    <w:adjustRightInd w:val="0"/>
                    <w:spacing w:line="276" w:lineRule="auto"/>
                    <w:jc w:val="center"/>
                    <w:rPr>
                      <w:rFonts w:hint="eastAsia"/>
                      <w:bCs/>
                      <w:color w:val="000000"/>
                      <w:szCs w:val="21"/>
                      <w:highlight w:val="none"/>
                    </w:rPr>
                  </w:pPr>
                  <w:r>
                    <w:rPr>
                      <w:rFonts w:hint="eastAsia"/>
                      <w:bCs/>
                      <w:color w:val="000000"/>
                      <w:szCs w:val="21"/>
                      <w:highlight w:val="none"/>
                    </w:rPr>
                    <w:t>19.8</w:t>
                  </w:r>
                </w:p>
              </w:tc>
              <w:tc>
                <w:tcPr>
                  <w:tcW w:w="1182" w:type="dxa"/>
                  <w:noWrap w:val="0"/>
                  <w:vAlign w:val="center"/>
                </w:tcPr>
                <w:p w14:paraId="1504478F">
                  <w:pPr>
                    <w:adjustRightInd w:val="0"/>
                    <w:spacing w:line="276" w:lineRule="auto"/>
                    <w:jc w:val="center"/>
                    <w:rPr>
                      <w:bCs/>
                      <w:color w:val="000000"/>
                      <w:szCs w:val="21"/>
                      <w:highlight w:val="none"/>
                    </w:rPr>
                  </w:pPr>
                  <w:r>
                    <w:rPr>
                      <w:rFonts w:hint="eastAsia"/>
                      <w:bCs/>
                      <w:color w:val="000000"/>
                      <w:szCs w:val="21"/>
                      <w:highlight w:val="none"/>
                    </w:rPr>
                    <w:t>0.34</w:t>
                  </w:r>
                </w:p>
              </w:tc>
              <w:tc>
                <w:tcPr>
                  <w:tcW w:w="1109" w:type="dxa"/>
                  <w:noWrap w:val="0"/>
                  <w:vAlign w:val="center"/>
                </w:tcPr>
                <w:p w14:paraId="7E5C9C25">
                  <w:pPr>
                    <w:adjustRightInd w:val="0"/>
                    <w:spacing w:line="276" w:lineRule="auto"/>
                    <w:jc w:val="center"/>
                    <w:rPr>
                      <w:bCs/>
                      <w:color w:val="000000"/>
                      <w:szCs w:val="21"/>
                      <w:highlight w:val="none"/>
                    </w:rPr>
                  </w:pPr>
                  <w:r>
                    <w:rPr>
                      <w:rFonts w:hint="eastAsia"/>
                      <w:bCs/>
                      <w:color w:val="000000"/>
                      <w:szCs w:val="21"/>
                      <w:highlight w:val="none"/>
                    </w:rPr>
                    <w:t>0.80</w:t>
                  </w:r>
                </w:p>
              </w:tc>
              <w:tc>
                <w:tcPr>
                  <w:tcW w:w="1054" w:type="dxa"/>
                  <w:noWrap w:val="0"/>
                  <w:vAlign w:val="center"/>
                </w:tcPr>
                <w:p w14:paraId="41C4F2C2">
                  <w:pPr>
                    <w:adjustRightInd w:val="0"/>
                    <w:spacing w:line="276" w:lineRule="auto"/>
                    <w:jc w:val="center"/>
                    <w:rPr>
                      <w:bCs/>
                      <w:szCs w:val="21"/>
                    </w:rPr>
                  </w:pPr>
                  <w:r>
                    <w:rPr>
                      <w:rFonts w:hint="eastAsia"/>
                      <w:bCs/>
                      <w:szCs w:val="21"/>
                    </w:rPr>
                    <w:t>0.0279</w:t>
                  </w:r>
                </w:p>
              </w:tc>
            </w:tr>
            <w:tr w14:paraId="4486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2" w:type="dxa"/>
                  <w:gridSpan w:val="3"/>
                  <w:noWrap w:val="0"/>
                  <w:vAlign w:val="center"/>
                </w:tcPr>
                <w:p w14:paraId="171E86F2">
                  <w:pPr>
                    <w:spacing w:line="276" w:lineRule="auto"/>
                    <w:jc w:val="center"/>
                    <w:rPr>
                      <w:bCs/>
                      <w:color w:val="000000"/>
                      <w:szCs w:val="21"/>
                      <w:highlight w:val="none"/>
                    </w:rPr>
                  </w:pPr>
                  <w:r>
                    <w:rPr>
                      <w:bCs/>
                      <w:color w:val="000000"/>
                      <w:szCs w:val="21"/>
                      <w:highlight w:val="none"/>
                    </w:rPr>
                    <w:t>标准值</w:t>
                  </w:r>
                </w:p>
              </w:tc>
              <w:tc>
                <w:tcPr>
                  <w:tcW w:w="1191" w:type="dxa"/>
                  <w:noWrap w:val="0"/>
                  <w:vAlign w:val="center"/>
                </w:tcPr>
                <w:p w14:paraId="12BB5C57">
                  <w:pPr>
                    <w:adjustRightInd w:val="0"/>
                    <w:spacing w:line="276" w:lineRule="auto"/>
                    <w:jc w:val="center"/>
                    <w:rPr>
                      <w:bCs/>
                      <w:color w:val="000000"/>
                      <w:szCs w:val="21"/>
                      <w:highlight w:val="none"/>
                    </w:rPr>
                  </w:pPr>
                  <w:r>
                    <w:rPr>
                      <w:rFonts w:hint="eastAsia"/>
                      <w:bCs/>
                      <w:color w:val="000000"/>
                      <w:szCs w:val="21"/>
                      <w:highlight w:val="none"/>
                    </w:rPr>
                    <w:t>/</w:t>
                  </w:r>
                </w:p>
              </w:tc>
              <w:tc>
                <w:tcPr>
                  <w:tcW w:w="1045" w:type="dxa"/>
                  <w:noWrap w:val="0"/>
                  <w:vAlign w:val="center"/>
                </w:tcPr>
                <w:p w14:paraId="57E9D867">
                  <w:pPr>
                    <w:adjustRightInd w:val="0"/>
                    <w:spacing w:line="276" w:lineRule="auto"/>
                    <w:jc w:val="center"/>
                    <w:rPr>
                      <w:bCs/>
                      <w:color w:val="000000"/>
                      <w:szCs w:val="21"/>
                      <w:highlight w:val="none"/>
                    </w:rPr>
                  </w:pPr>
                  <w:r>
                    <w:rPr>
                      <w:rFonts w:hint="eastAsia"/>
                      <w:bCs/>
                      <w:color w:val="000000"/>
                      <w:szCs w:val="21"/>
                      <w:highlight w:val="none"/>
                    </w:rPr>
                    <w:t>/</w:t>
                  </w:r>
                </w:p>
              </w:tc>
              <w:tc>
                <w:tcPr>
                  <w:tcW w:w="1182" w:type="dxa"/>
                  <w:noWrap w:val="0"/>
                  <w:vAlign w:val="center"/>
                </w:tcPr>
                <w:p w14:paraId="38B93E39">
                  <w:pPr>
                    <w:adjustRightInd w:val="0"/>
                    <w:spacing w:line="276" w:lineRule="auto"/>
                    <w:jc w:val="center"/>
                    <w:rPr>
                      <w:bCs/>
                      <w:color w:val="000000"/>
                      <w:szCs w:val="21"/>
                      <w:highlight w:val="none"/>
                    </w:rPr>
                  </w:pPr>
                  <w:r>
                    <w:rPr>
                      <w:rFonts w:hint="eastAsia"/>
                      <w:bCs/>
                      <w:color w:val="000000"/>
                      <w:szCs w:val="21"/>
                      <w:highlight w:val="none"/>
                    </w:rPr>
                    <w:t>/</w:t>
                  </w:r>
                </w:p>
              </w:tc>
              <w:tc>
                <w:tcPr>
                  <w:tcW w:w="1109" w:type="dxa"/>
                  <w:noWrap w:val="0"/>
                  <w:vAlign w:val="center"/>
                </w:tcPr>
                <w:p w14:paraId="78B6672F">
                  <w:pPr>
                    <w:adjustRightInd w:val="0"/>
                    <w:spacing w:line="276" w:lineRule="auto"/>
                    <w:jc w:val="center"/>
                    <w:rPr>
                      <w:bCs/>
                      <w:color w:val="000000"/>
                      <w:szCs w:val="21"/>
                      <w:highlight w:val="none"/>
                    </w:rPr>
                  </w:pPr>
                  <w:r>
                    <w:rPr>
                      <w:rFonts w:hint="eastAsia"/>
                      <w:bCs/>
                      <w:color w:val="000000"/>
                      <w:szCs w:val="21"/>
                      <w:highlight w:val="none"/>
                    </w:rPr>
                    <w:t>3</w:t>
                  </w:r>
                </w:p>
              </w:tc>
              <w:tc>
                <w:tcPr>
                  <w:tcW w:w="1054" w:type="dxa"/>
                  <w:noWrap w:val="0"/>
                  <w:vAlign w:val="center"/>
                </w:tcPr>
                <w:p w14:paraId="3D3DC762">
                  <w:pPr>
                    <w:adjustRightInd w:val="0"/>
                    <w:spacing w:line="276" w:lineRule="auto"/>
                    <w:jc w:val="center"/>
                    <w:rPr>
                      <w:rFonts w:hint="eastAsia"/>
                      <w:bCs/>
                      <w:szCs w:val="21"/>
                    </w:rPr>
                  </w:pPr>
                  <w:r>
                    <w:rPr>
                      <w:rFonts w:hint="eastAsia"/>
                      <w:bCs/>
                      <w:szCs w:val="21"/>
                    </w:rPr>
                    <w:t>/</w:t>
                  </w:r>
                </w:p>
              </w:tc>
            </w:tr>
          </w:tbl>
          <w:p w14:paraId="54DFF4DA">
            <w:pPr>
              <w:autoSpaceDE w:val="0"/>
              <w:autoSpaceDN w:val="0"/>
              <w:spacing w:line="360" w:lineRule="auto"/>
              <w:ind w:firstLine="480" w:firstLineChars="200"/>
              <w:rPr>
                <w:rFonts w:hint="eastAsia"/>
                <w:sz w:val="24"/>
                <w:szCs w:val="32"/>
              </w:rPr>
            </w:pPr>
          </w:p>
          <w:p w14:paraId="1FAF1ED3">
            <w:pPr>
              <w:autoSpaceDE w:val="0"/>
              <w:autoSpaceDN w:val="0"/>
              <w:spacing w:line="480" w:lineRule="exact"/>
              <w:ind w:firstLine="480" w:firstLineChars="200"/>
              <w:rPr>
                <w:rFonts w:hint="eastAsia"/>
                <w:sz w:val="24"/>
                <w:szCs w:val="32"/>
              </w:rPr>
            </w:pPr>
            <w:r>
              <w:rPr>
                <w:rFonts w:hint="eastAsia"/>
                <w:sz w:val="24"/>
                <w:szCs w:val="32"/>
              </w:rPr>
              <w:t>由上表可知，厂区DA002隧道窑废气排放口氟化物排放浓度满足《砖瓦工业大气污染物排放标准》(DB34/4362-2023)表2中标准限值要求。</w:t>
            </w:r>
          </w:p>
          <w:p w14:paraId="61C11F46">
            <w:pPr>
              <w:autoSpaceDE w:val="0"/>
              <w:autoSpaceDN w:val="0"/>
              <w:spacing w:line="480" w:lineRule="exact"/>
              <w:ind w:firstLine="480" w:firstLineChars="200"/>
              <w:rPr>
                <w:rFonts w:hint="default" w:eastAsia="宋体"/>
                <w:bCs/>
                <w:sz w:val="24"/>
                <w:szCs w:val="32"/>
                <w:lang w:val="en-US" w:eastAsia="zh-CN"/>
              </w:rPr>
            </w:pPr>
            <w:r>
              <w:rPr>
                <w:rFonts w:hint="eastAsia"/>
                <w:bCs/>
                <w:sz w:val="24"/>
                <w:szCs w:val="24"/>
                <w:lang w:val="en-US" w:eastAsia="zh-CN"/>
              </w:rPr>
              <w:t>现有项目干燥焙烧</w:t>
            </w:r>
            <w:r>
              <w:rPr>
                <w:rFonts w:hint="eastAsia"/>
                <w:bCs/>
                <w:sz w:val="24"/>
                <w:szCs w:val="24"/>
              </w:rPr>
              <w:t>废气</w:t>
            </w:r>
            <w:r>
              <w:rPr>
                <w:rFonts w:hint="eastAsia"/>
                <w:bCs/>
                <w:sz w:val="24"/>
                <w:szCs w:val="24"/>
                <w:lang w:val="en-US" w:eastAsia="zh-CN"/>
              </w:rPr>
              <w:t>中颗粒物、二氧化硫、氮氧化物采取自动监测</w:t>
            </w:r>
            <w:r>
              <w:rPr>
                <w:rFonts w:hint="eastAsia"/>
                <w:bCs/>
                <w:szCs w:val="21"/>
                <w:lang w:val="en-US" w:eastAsia="zh-CN"/>
              </w:rPr>
              <w:t>，</w:t>
            </w:r>
            <w:r>
              <w:rPr>
                <w:color w:val="000000"/>
                <w:sz w:val="24"/>
                <w:highlight w:val="none"/>
              </w:rPr>
              <w:t>根据《凤台县粹彬墙体材料有限公司排污许可2025年年度执行报告》中数据，</w:t>
            </w:r>
            <w:r>
              <w:rPr>
                <w:rFonts w:hint="eastAsia"/>
                <w:color w:val="000000"/>
                <w:sz w:val="24"/>
                <w:highlight w:val="none"/>
                <w:lang w:val="en-US" w:eastAsia="zh-CN"/>
              </w:rPr>
              <w:t>其监测结果见下表：</w:t>
            </w:r>
          </w:p>
          <w:p w14:paraId="1D7E8129">
            <w:pPr>
              <w:autoSpaceDE w:val="0"/>
              <w:autoSpaceDN w:val="0"/>
              <w:spacing w:line="480" w:lineRule="exact"/>
              <w:jc w:val="center"/>
              <w:rPr>
                <w:rFonts w:hint="eastAsia" w:ascii="黑体" w:hAnsi="黑体" w:eastAsia="黑体" w:cs="黑体"/>
                <w:sz w:val="24"/>
                <w:szCs w:val="32"/>
              </w:rPr>
            </w:pPr>
            <w:r>
              <w:rPr>
                <w:rFonts w:hint="eastAsia" w:ascii="黑体" w:hAnsi="黑体" w:eastAsia="黑体" w:cs="黑体"/>
                <w:bCs/>
                <w:sz w:val="24"/>
                <w:szCs w:val="32"/>
              </w:rPr>
              <w:t>表2-12  有组织废气检测结果统计表(DA002)</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5"/>
              <w:gridCol w:w="1560"/>
              <w:gridCol w:w="1200"/>
              <w:gridCol w:w="1095"/>
              <w:gridCol w:w="1380"/>
              <w:gridCol w:w="1218"/>
            </w:tblGrid>
            <w:tr w14:paraId="28FB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Merge w:val="restart"/>
                  <w:noWrap w:val="0"/>
                  <w:vAlign w:val="center"/>
                </w:tcPr>
                <w:p w14:paraId="2DC09D3A">
                  <w:pPr>
                    <w:spacing w:line="276" w:lineRule="auto"/>
                    <w:jc w:val="center"/>
                    <w:rPr>
                      <w:bCs/>
                      <w:color w:val="000000"/>
                      <w:szCs w:val="21"/>
                    </w:rPr>
                  </w:pPr>
                  <w:r>
                    <w:rPr>
                      <w:bCs/>
                      <w:color w:val="000000"/>
                      <w:szCs w:val="21"/>
                    </w:rPr>
                    <w:t>监测点位</w:t>
                  </w:r>
                </w:p>
              </w:tc>
              <w:tc>
                <w:tcPr>
                  <w:tcW w:w="921" w:type="pct"/>
                  <w:vMerge w:val="restart"/>
                  <w:noWrap w:val="0"/>
                  <w:vAlign w:val="center"/>
                </w:tcPr>
                <w:p w14:paraId="653F12BE">
                  <w:pPr>
                    <w:spacing w:line="276" w:lineRule="auto"/>
                    <w:jc w:val="center"/>
                    <w:rPr>
                      <w:bCs/>
                      <w:color w:val="000000"/>
                      <w:szCs w:val="21"/>
                    </w:rPr>
                  </w:pPr>
                  <w:r>
                    <w:rPr>
                      <w:bCs/>
                      <w:color w:val="000000"/>
                      <w:szCs w:val="21"/>
                    </w:rPr>
                    <w:t>监测因子</w:t>
                  </w:r>
                </w:p>
              </w:tc>
              <w:tc>
                <w:tcPr>
                  <w:tcW w:w="2889" w:type="pct"/>
                  <w:gridSpan w:val="4"/>
                  <w:noWrap w:val="0"/>
                  <w:vAlign w:val="top"/>
                </w:tcPr>
                <w:p w14:paraId="713EBDB8">
                  <w:pPr>
                    <w:spacing w:line="276" w:lineRule="auto"/>
                    <w:jc w:val="center"/>
                    <w:rPr>
                      <w:bCs/>
                      <w:color w:val="000000"/>
                      <w:szCs w:val="21"/>
                    </w:rPr>
                  </w:pPr>
                  <w:r>
                    <w:rPr>
                      <w:bCs/>
                      <w:color w:val="000000"/>
                      <w:szCs w:val="21"/>
                    </w:rPr>
                    <w:t>检测结果</w:t>
                  </w:r>
                </w:p>
              </w:tc>
            </w:tr>
            <w:tr w14:paraId="6456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189" w:type="pct"/>
                  <w:vMerge w:val="continue"/>
                  <w:noWrap w:val="0"/>
                  <w:vAlign w:val="center"/>
                </w:tcPr>
                <w:p w14:paraId="2795119B">
                  <w:pPr>
                    <w:adjustRightInd w:val="0"/>
                    <w:spacing w:line="276" w:lineRule="auto"/>
                    <w:jc w:val="center"/>
                    <w:rPr>
                      <w:bCs/>
                      <w:color w:val="000000"/>
                      <w:szCs w:val="21"/>
                    </w:rPr>
                  </w:pPr>
                </w:p>
              </w:tc>
              <w:tc>
                <w:tcPr>
                  <w:tcW w:w="921" w:type="pct"/>
                  <w:vMerge w:val="continue"/>
                  <w:noWrap w:val="0"/>
                  <w:vAlign w:val="center"/>
                </w:tcPr>
                <w:p w14:paraId="4B5B1783">
                  <w:pPr>
                    <w:adjustRightInd w:val="0"/>
                    <w:spacing w:line="276" w:lineRule="auto"/>
                    <w:jc w:val="center"/>
                    <w:rPr>
                      <w:bCs/>
                      <w:color w:val="000000"/>
                      <w:szCs w:val="21"/>
                    </w:rPr>
                  </w:pPr>
                </w:p>
              </w:tc>
              <w:tc>
                <w:tcPr>
                  <w:tcW w:w="2889" w:type="pct"/>
                  <w:gridSpan w:val="4"/>
                  <w:noWrap w:val="0"/>
                  <w:vAlign w:val="center"/>
                </w:tcPr>
                <w:p w14:paraId="0D7EB373">
                  <w:pPr>
                    <w:adjustRightInd w:val="0"/>
                    <w:spacing w:line="276" w:lineRule="auto"/>
                    <w:jc w:val="center"/>
                    <w:rPr>
                      <w:bCs/>
                      <w:color w:val="000000"/>
                      <w:szCs w:val="21"/>
                    </w:rPr>
                  </w:pPr>
                  <w:r>
                    <w:rPr>
                      <w:rFonts w:hint="eastAsia"/>
                      <w:bCs/>
                      <w:color w:val="000000"/>
                      <w:szCs w:val="21"/>
                    </w:rPr>
                    <w:t>监测</w:t>
                  </w:r>
                  <w:r>
                    <w:rPr>
                      <w:bCs/>
                      <w:color w:val="000000"/>
                      <w:szCs w:val="21"/>
                    </w:rPr>
                    <w:t>浓度(mg/m</w:t>
                  </w:r>
                  <w:r>
                    <w:rPr>
                      <w:bCs/>
                      <w:color w:val="000000"/>
                      <w:szCs w:val="21"/>
                      <w:vertAlign w:val="superscript"/>
                    </w:rPr>
                    <w:t>3</w:t>
                  </w:r>
                  <w:r>
                    <w:rPr>
                      <w:bCs/>
                      <w:color w:val="000000"/>
                      <w:szCs w:val="21"/>
                    </w:rPr>
                    <w:t>)</w:t>
                  </w:r>
                </w:p>
              </w:tc>
            </w:tr>
            <w:tr w14:paraId="1CAE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189" w:type="pct"/>
                  <w:vMerge w:val="continue"/>
                  <w:noWrap w:val="0"/>
                  <w:vAlign w:val="center"/>
                </w:tcPr>
                <w:p w14:paraId="4874B34D">
                  <w:pPr>
                    <w:adjustRightInd w:val="0"/>
                    <w:spacing w:line="276" w:lineRule="auto"/>
                    <w:jc w:val="center"/>
                    <w:rPr>
                      <w:bCs/>
                      <w:color w:val="000000"/>
                      <w:szCs w:val="21"/>
                    </w:rPr>
                  </w:pPr>
                </w:p>
              </w:tc>
              <w:tc>
                <w:tcPr>
                  <w:tcW w:w="921" w:type="pct"/>
                  <w:vMerge w:val="continue"/>
                  <w:noWrap w:val="0"/>
                  <w:vAlign w:val="center"/>
                </w:tcPr>
                <w:p w14:paraId="3B5B5083">
                  <w:pPr>
                    <w:adjustRightInd w:val="0"/>
                    <w:spacing w:line="276" w:lineRule="auto"/>
                    <w:jc w:val="center"/>
                    <w:rPr>
                      <w:bCs/>
                      <w:color w:val="000000"/>
                      <w:szCs w:val="21"/>
                    </w:rPr>
                  </w:pPr>
                </w:p>
              </w:tc>
              <w:tc>
                <w:tcPr>
                  <w:tcW w:w="708" w:type="pct"/>
                  <w:noWrap w:val="0"/>
                  <w:vAlign w:val="center"/>
                </w:tcPr>
                <w:p w14:paraId="06991781">
                  <w:pPr>
                    <w:adjustRightInd w:val="0"/>
                    <w:spacing w:line="276" w:lineRule="auto"/>
                    <w:jc w:val="center"/>
                    <w:rPr>
                      <w:rFonts w:hint="eastAsia" w:eastAsia="宋体"/>
                      <w:bCs/>
                      <w:color w:val="000000"/>
                      <w:szCs w:val="21"/>
                      <w:lang w:val="en-US" w:eastAsia="zh-CN"/>
                    </w:rPr>
                  </w:pPr>
                  <w:r>
                    <w:rPr>
                      <w:rFonts w:hint="eastAsia"/>
                      <w:bCs/>
                      <w:color w:val="000000"/>
                      <w:szCs w:val="21"/>
                      <w:lang w:val="en-US" w:eastAsia="zh-CN"/>
                    </w:rPr>
                    <w:t>最小值</w:t>
                  </w:r>
                </w:p>
              </w:tc>
              <w:tc>
                <w:tcPr>
                  <w:tcW w:w="646" w:type="pct"/>
                  <w:noWrap w:val="0"/>
                  <w:vAlign w:val="center"/>
                </w:tcPr>
                <w:p w14:paraId="5F11FCE8">
                  <w:pPr>
                    <w:adjustRightInd w:val="0"/>
                    <w:spacing w:line="276" w:lineRule="auto"/>
                    <w:jc w:val="center"/>
                    <w:rPr>
                      <w:rFonts w:hint="eastAsia" w:eastAsia="宋体"/>
                      <w:bCs/>
                      <w:color w:val="000000"/>
                      <w:szCs w:val="21"/>
                      <w:lang w:val="en-US" w:eastAsia="zh-CN"/>
                    </w:rPr>
                  </w:pPr>
                  <w:r>
                    <w:rPr>
                      <w:rFonts w:hint="eastAsia"/>
                      <w:bCs/>
                      <w:color w:val="000000"/>
                      <w:szCs w:val="21"/>
                      <w:lang w:val="en-US" w:eastAsia="zh-CN"/>
                    </w:rPr>
                    <w:t>最大值</w:t>
                  </w:r>
                </w:p>
              </w:tc>
              <w:tc>
                <w:tcPr>
                  <w:tcW w:w="814" w:type="pct"/>
                  <w:noWrap w:val="0"/>
                  <w:vAlign w:val="center"/>
                </w:tcPr>
                <w:p w14:paraId="678B0032">
                  <w:pPr>
                    <w:adjustRightInd w:val="0"/>
                    <w:spacing w:line="276" w:lineRule="auto"/>
                    <w:jc w:val="center"/>
                    <w:rPr>
                      <w:bCs/>
                      <w:color w:val="000000"/>
                      <w:kern w:val="2"/>
                      <w:sz w:val="21"/>
                      <w:szCs w:val="21"/>
                      <w:lang w:val="en-US" w:eastAsia="zh-CN" w:bidi="ar-SA"/>
                    </w:rPr>
                  </w:pPr>
                  <w:r>
                    <w:rPr>
                      <w:bCs/>
                      <w:color w:val="000000"/>
                      <w:szCs w:val="21"/>
                    </w:rPr>
                    <w:t>平均值</w:t>
                  </w:r>
                </w:p>
              </w:tc>
              <w:tc>
                <w:tcPr>
                  <w:tcW w:w="719" w:type="pct"/>
                  <w:noWrap w:val="0"/>
                  <w:vAlign w:val="center"/>
                </w:tcPr>
                <w:p w14:paraId="7345C345">
                  <w:pPr>
                    <w:adjustRightInd w:val="0"/>
                    <w:spacing w:line="276" w:lineRule="auto"/>
                    <w:jc w:val="center"/>
                    <w:rPr>
                      <w:bCs/>
                      <w:color w:val="000000"/>
                      <w:szCs w:val="21"/>
                    </w:rPr>
                  </w:pPr>
                  <w:r>
                    <w:rPr>
                      <w:bCs/>
                      <w:color w:val="000000"/>
                      <w:szCs w:val="21"/>
                    </w:rPr>
                    <w:t>标准值</w:t>
                  </w:r>
                </w:p>
              </w:tc>
            </w:tr>
            <w:tr w14:paraId="5265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Merge w:val="restart"/>
                  <w:noWrap w:val="0"/>
                  <w:vAlign w:val="center"/>
                </w:tcPr>
                <w:p w14:paraId="5BAAF525">
                  <w:pPr>
                    <w:adjustRightInd w:val="0"/>
                    <w:spacing w:line="276" w:lineRule="auto"/>
                    <w:jc w:val="center"/>
                    <w:rPr>
                      <w:bCs/>
                      <w:color w:val="000000"/>
                      <w:szCs w:val="21"/>
                    </w:rPr>
                  </w:pPr>
                  <w:r>
                    <w:rPr>
                      <w:rFonts w:hint="eastAsia"/>
                      <w:bCs/>
                      <w:color w:val="000000"/>
                      <w:szCs w:val="21"/>
                    </w:rPr>
                    <w:t>DA002</w:t>
                  </w:r>
                  <w:r>
                    <w:rPr>
                      <w:rFonts w:hint="eastAsia"/>
                      <w:bCs/>
                      <w:color w:val="000000"/>
                      <w:szCs w:val="21"/>
                      <w:lang w:val="en-US" w:eastAsia="zh-CN"/>
                    </w:rPr>
                    <w:t>干燥焙烧</w:t>
                  </w:r>
                  <w:r>
                    <w:rPr>
                      <w:rFonts w:hint="eastAsia"/>
                      <w:bCs/>
                      <w:color w:val="000000"/>
                      <w:szCs w:val="21"/>
                    </w:rPr>
                    <w:t>废气排放口</w:t>
                  </w:r>
                </w:p>
              </w:tc>
              <w:tc>
                <w:tcPr>
                  <w:tcW w:w="921" w:type="pct"/>
                  <w:noWrap w:val="0"/>
                  <w:vAlign w:val="center"/>
                </w:tcPr>
                <w:p w14:paraId="7E280D1B">
                  <w:pPr>
                    <w:adjustRightInd w:val="0"/>
                    <w:spacing w:line="276" w:lineRule="auto"/>
                    <w:jc w:val="center"/>
                    <w:rPr>
                      <w:bCs/>
                      <w:color w:val="000000"/>
                      <w:szCs w:val="21"/>
                    </w:rPr>
                  </w:pPr>
                  <w:r>
                    <w:rPr>
                      <w:bCs/>
                      <w:color w:val="000000"/>
                      <w:szCs w:val="21"/>
                    </w:rPr>
                    <w:t>颗粒物</w:t>
                  </w:r>
                </w:p>
              </w:tc>
              <w:tc>
                <w:tcPr>
                  <w:tcW w:w="708" w:type="pct"/>
                  <w:noWrap w:val="0"/>
                  <w:vAlign w:val="center"/>
                </w:tcPr>
                <w:p w14:paraId="39E215E4">
                  <w:pPr>
                    <w:adjustRightInd w:val="0"/>
                    <w:spacing w:line="276" w:lineRule="auto"/>
                    <w:jc w:val="center"/>
                    <w:rPr>
                      <w:rFonts w:hint="default" w:eastAsia="宋体"/>
                      <w:bCs/>
                      <w:color w:val="000000"/>
                      <w:szCs w:val="21"/>
                      <w:lang w:val="en-US" w:eastAsia="zh-CN"/>
                    </w:rPr>
                  </w:pPr>
                  <w:r>
                    <w:rPr>
                      <w:rFonts w:hint="eastAsia"/>
                      <w:bCs/>
                      <w:color w:val="000000"/>
                      <w:szCs w:val="21"/>
                      <w:lang w:val="en-US" w:eastAsia="zh-CN"/>
                    </w:rPr>
                    <w:t>1.54</w:t>
                  </w:r>
                </w:p>
              </w:tc>
              <w:tc>
                <w:tcPr>
                  <w:tcW w:w="646" w:type="pct"/>
                  <w:noWrap w:val="0"/>
                  <w:vAlign w:val="center"/>
                </w:tcPr>
                <w:p w14:paraId="340226D3">
                  <w:pPr>
                    <w:adjustRightInd w:val="0"/>
                    <w:spacing w:line="276" w:lineRule="auto"/>
                    <w:jc w:val="center"/>
                    <w:rPr>
                      <w:rFonts w:hint="default" w:eastAsia="宋体"/>
                      <w:bCs/>
                      <w:color w:val="000000"/>
                      <w:szCs w:val="21"/>
                      <w:lang w:val="en-US" w:eastAsia="zh-CN"/>
                    </w:rPr>
                  </w:pPr>
                  <w:r>
                    <w:rPr>
                      <w:rFonts w:hint="eastAsia"/>
                      <w:bCs/>
                      <w:color w:val="000000"/>
                      <w:szCs w:val="21"/>
                      <w:lang w:val="en-US" w:eastAsia="zh-CN"/>
                    </w:rPr>
                    <w:t>3.52</w:t>
                  </w:r>
                </w:p>
              </w:tc>
              <w:tc>
                <w:tcPr>
                  <w:tcW w:w="814" w:type="pct"/>
                  <w:noWrap w:val="0"/>
                  <w:vAlign w:val="center"/>
                </w:tcPr>
                <w:p w14:paraId="1FF472C3">
                  <w:pPr>
                    <w:adjustRightInd w:val="0"/>
                    <w:spacing w:line="276" w:lineRule="auto"/>
                    <w:jc w:val="center"/>
                    <w:rPr>
                      <w:rFonts w:hint="eastAsia"/>
                      <w:bCs/>
                      <w:color w:val="000000"/>
                      <w:kern w:val="2"/>
                      <w:sz w:val="21"/>
                      <w:szCs w:val="21"/>
                      <w:lang w:val="en-US" w:eastAsia="zh-CN" w:bidi="ar-SA"/>
                    </w:rPr>
                  </w:pPr>
                  <w:r>
                    <w:rPr>
                      <w:rFonts w:hint="eastAsia"/>
                      <w:bCs/>
                      <w:color w:val="000000"/>
                      <w:szCs w:val="21"/>
                    </w:rPr>
                    <w:t>2.78</w:t>
                  </w:r>
                </w:p>
              </w:tc>
              <w:tc>
                <w:tcPr>
                  <w:tcW w:w="719" w:type="pct"/>
                  <w:noWrap w:val="0"/>
                  <w:vAlign w:val="center"/>
                </w:tcPr>
                <w:p w14:paraId="2EAEE222">
                  <w:pPr>
                    <w:adjustRightInd w:val="0"/>
                    <w:spacing w:line="276" w:lineRule="auto"/>
                    <w:jc w:val="center"/>
                    <w:rPr>
                      <w:bCs/>
                      <w:color w:val="000000"/>
                      <w:szCs w:val="21"/>
                    </w:rPr>
                  </w:pPr>
                  <w:r>
                    <w:rPr>
                      <w:rFonts w:hint="eastAsia"/>
                      <w:bCs/>
                      <w:color w:val="000000"/>
                      <w:szCs w:val="21"/>
                    </w:rPr>
                    <w:t>10</w:t>
                  </w:r>
                </w:p>
              </w:tc>
            </w:tr>
            <w:tr w14:paraId="093F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Merge w:val="continue"/>
                  <w:noWrap w:val="0"/>
                  <w:vAlign w:val="center"/>
                </w:tcPr>
                <w:p w14:paraId="6255B4C9">
                  <w:pPr>
                    <w:adjustRightInd w:val="0"/>
                    <w:spacing w:line="276" w:lineRule="auto"/>
                    <w:jc w:val="center"/>
                    <w:rPr>
                      <w:bCs/>
                      <w:color w:val="000000"/>
                      <w:szCs w:val="21"/>
                    </w:rPr>
                  </w:pPr>
                </w:p>
              </w:tc>
              <w:tc>
                <w:tcPr>
                  <w:tcW w:w="921" w:type="pct"/>
                  <w:noWrap w:val="0"/>
                  <w:vAlign w:val="center"/>
                </w:tcPr>
                <w:p w14:paraId="38FDD097">
                  <w:pPr>
                    <w:adjustRightInd w:val="0"/>
                    <w:spacing w:line="276" w:lineRule="auto"/>
                    <w:jc w:val="center"/>
                    <w:rPr>
                      <w:bCs/>
                      <w:color w:val="000000"/>
                      <w:szCs w:val="21"/>
                    </w:rPr>
                  </w:pPr>
                  <w:r>
                    <w:rPr>
                      <w:bCs/>
                      <w:color w:val="000000"/>
                      <w:szCs w:val="21"/>
                    </w:rPr>
                    <w:t>二氧化硫</w:t>
                  </w:r>
                </w:p>
              </w:tc>
              <w:tc>
                <w:tcPr>
                  <w:tcW w:w="708" w:type="pct"/>
                  <w:noWrap w:val="0"/>
                  <w:vAlign w:val="center"/>
                </w:tcPr>
                <w:p w14:paraId="595E2467">
                  <w:pPr>
                    <w:adjustRightInd w:val="0"/>
                    <w:spacing w:line="276" w:lineRule="auto"/>
                    <w:jc w:val="center"/>
                    <w:rPr>
                      <w:rFonts w:hint="default" w:eastAsia="宋体"/>
                      <w:bCs/>
                      <w:color w:val="000000"/>
                      <w:szCs w:val="21"/>
                      <w:lang w:val="en-US" w:eastAsia="zh-CN"/>
                    </w:rPr>
                  </w:pPr>
                  <w:r>
                    <w:rPr>
                      <w:rFonts w:hint="eastAsia"/>
                      <w:bCs/>
                      <w:color w:val="000000"/>
                      <w:szCs w:val="21"/>
                      <w:lang w:val="en-US" w:eastAsia="zh-CN"/>
                    </w:rPr>
                    <w:t>4.42</w:t>
                  </w:r>
                </w:p>
              </w:tc>
              <w:tc>
                <w:tcPr>
                  <w:tcW w:w="646" w:type="pct"/>
                  <w:noWrap w:val="0"/>
                  <w:vAlign w:val="center"/>
                </w:tcPr>
                <w:p w14:paraId="7EAF1EC4">
                  <w:pPr>
                    <w:adjustRightInd w:val="0"/>
                    <w:spacing w:line="276" w:lineRule="auto"/>
                    <w:jc w:val="center"/>
                    <w:rPr>
                      <w:rFonts w:hint="default" w:eastAsia="宋体"/>
                      <w:bCs/>
                      <w:color w:val="000000"/>
                      <w:szCs w:val="21"/>
                      <w:lang w:val="en-US" w:eastAsia="zh-CN"/>
                    </w:rPr>
                  </w:pPr>
                  <w:r>
                    <w:rPr>
                      <w:rFonts w:hint="eastAsia"/>
                      <w:bCs/>
                      <w:color w:val="000000"/>
                      <w:szCs w:val="21"/>
                      <w:lang w:val="en-US" w:eastAsia="zh-CN"/>
                    </w:rPr>
                    <w:t>25.58</w:t>
                  </w:r>
                </w:p>
              </w:tc>
              <w:tc>
                <w:tcPr>
                  <w:tcW w:w="814" w:type="pct"/>
                  <w:noWrap w:val="0"/>
                  <w:vAlign w:val="center"/>
                </w:tcPr>
                <w:p w14:paraId="1C3E653B">
                  <w:pPr>
                    <w:adjustRightInd w:val="0"/>
                    <w:spacing w:line="276" w:lineRule="auto"/>
                    <w:jc w:val="center"/>
                    <w:rPr>
                      <w:rFonts w:hint="eastAsia"/>
                      <w:bCs/>
                      <w:color w:val="000000"/>
                      <w:kern w:val="2"/>
                      <w:sz w:val="21"/>
                      <w:szCs w:val="21"/>
                      <w:lang w:val="en-US" w:eastAsia="zh-CN" w:bidi="ar-SA"/>
                    </w:rPr>
                  </w:pPr>
                  <w:r>
                    <w:rPr>
                      <w:rFonts w:hint="eastAsia"/>
                      <w:bCs/>
                      <w:color w:val="000000"/>
                      <w:szCs w:val="21"/>
                    </w:rPr>
                    <w:t>17.97</w:t>
                  </w:r>
                </w:p>
              </w:tc>
              <w:tc>
                <w:tcPr>
                  <w:tcW w:w="719" w:type="pct"/>
                  <w:noWrap w:val="0"/>
                  <w:vAlign w:val="center"/>
                </w:tcPr>
                <w:p w14:paraId="0791DA46">
                  <w:pPr>
                    <w:adjustRightInd w:val="0"/>
                    <w:spacing w:line="276" w:lineRule="auto"/>
                    <w:jc w:val="center"/>
                    <w:rPr>
                      <w:bCs/>
                      <w:color w:val="000000"/>
                      <w:szCs w:val="21"/>
                    </w:rPr>
                  </w:pPr>
                  <w:r>
                    <w:rPr>
                      <w:rFonts w:hint="eastAsia"/>
                      <w:bCs/>
                      <w:color w:val="000000"/>
                      <w:szCs w:val="21"/>
                    </w:rPr>
                    <w:t>50</w:t>
                  </w:r>
                </w:p>
              </w:tc>
            </w:tr>
            <w:tr w14:paraId="0A0D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Merge w:val="continue"/>
                  <w:noWrap w:val="0"/>
                  <w:vAlign w:val="center"/>
                </w:tcPr>
                <w:p w14:paraId="7950FF33">
                  <w:pPr>
                    <w:adjustRightInd w:val="0"/>
                    <w:spacing w:line="276" w:lineRule="auto"/>
                    <w:jc w:val="center"/>
                    <w:rPr>
                      <w:bCs/>
                      <w:color w:val="000000"/>
                      <w:szCs w:val="21"/>
                    </w:rPr>
                  </w:pPr>
                </w:p>
              </w:tc>
              <w:tc>
                <w:tcPr>
                  <w:tcW w:w="921" w:type="pct"/>
                  <w:noWrap w:val="0"/>
                  <w:vAlign w:val="center"/>
                </w:tcPr>
                <w:p w14:paraId="4EDCDC1B">
                  <w:pPr>
                    <w:adjustRightInd w:val="0"/>
                    <w:spacing w:line="276" w:lineRule="auto"/>
                    <w:jc w:val="center"/>
                    <w:rPr>
                      <w:bCs/>
                      <w:color w:val="000000"/>
                      <w:szCs w:val="21"/>
                    </w:rPr>
                  </w:pPr>
                  <w:r>
                    <w:rPr>
                      <w:bCs/>
                      <w:color w:val="000000"/>
                      <w:szCs w:val="21"/>
                    </w:rPr>
                    <w:t>氮氧化物</w:t>
                  </w:r>
                </w:p>
              </w:tc>
              <w:tc>
                <w:tcPr>
                  <w:tcW w:w="708" w:type="pct"/>
                  <w:noWrap w:val="0"/>
                  <w:vAlign w:val="center"/>
                </w:tcPr>
                <w:p w14:paraId="3F22ABB5">
                  <w:pPr>
                    <w:adjustRightInd w:val="0"/>
                    <w:spacing w:line="276" w:lineRule="auto"/>
                    <w:jc w:val="center"/>
                    <w:rPr>
                      <w:rFonts w:hint="default" w:eastAsia="宋体"/>
                      <w:bCs/>
                      <w:color w:val="000000"/>
                      <w:szCs w:val="21"/>
                      <w:lang w:val="en-US" w:eastAsia="zh-CN"/>
                    </w:rPr>
                  </w:pPr>
                  <w:r>
                    <w:rPr>
                      <w:rFonts w:hint="eastAsia"/>
                      <w:bCs/>
                      <w:color w:val="000000"/>
                      <w:szCs w:val="21"/>
                      <w:lang w:val="en-US" w:eastAsia="zh-CN"/>
                    </w:rPr>
                    <w:t>3.89</w:t>
                  </w:r>
                </w:p>
              </w:tc>
              <w:tc>
                <w:tcPr>
                  <w:tcW w:w="646" w:type="pct"/>
                  <w:noWrap w:val="0"/>
                  <w:vAlign w:val="center"/>
                </w:tcPr>
                <w:p w14:paraId="33AF38C0">
                  <w:pPr>
                    <w:adjustRightInd w:val="0"/>
                    <w:spacing w:line="276" w:lineRule="auto"/>
                    <w:jc w:val="center"/>
                    <w:rPr>
                      <w:rFonts w:hint="default" w:eastAsia="宋体"/>
                      <w:bCs/>
                      <w:color w:val="000000"/>
                      <w:szCs w:val="21"/>
                      <w:lang w:val="en-US" w:eastAsia="zh-CN"/>
                    </w:rPr>
                  </w:pPr>
                  <w:r>
                    <w:rPr>
                      <w:rFonts w:hint="eastAsia"/>
                      <w:bCs/>
                      <w:color w:val="000000"/>
                      <w:szCs w:val="21"/>
                      <w:lang w:val="en-US" w:eastAsia="zh-CN"/>
                    </w:rPr>
                    <w:t>30.47</w:t>
                  </w:r>
                </w:p>
              </w:tc>
              <w:tc>
                <w:tcPr>
                  <w:tcW w:w="814" w:type="pct"/>
                  <w:noWrap w:val="0"/>
                  <w:vAlign w:val="center"/>
                </w:tcPr>
                <w:p w14:paraId="20CFB058">
                  <w:pPr>
                    <w:adjustRightInd w:val="0"/>
                    <w:spacing w:line="276" w:lineRule="auto"/>
                    <w:jc w:val="center"/>
                    <w:rPr>
                      <w:rFonts w:hint="eastAsia"/>
                      <w:bCs/>
                      <w:color w:val="000000"/>
                      <w:kern w:val="2"/>
                      <w:sz w:val="21"/>
                      <w:szCs w:val="21"/>
                      <w:lang w:val="en-US" w:eastAsia="zh-CN" w:bidi="ar-SA"/>
                    </w:rPr>
                  </w:pPr>
                  <w:r>
                    <w:rPr>
                      <w:rFonts w:hint="eastAsia"/>
                      <w:bCs/>
                      <w:color w:val="000000"/>
                      <w:szCs w:val="21"/>
                    </w:rPr>
                    <w:t>18.81</w:t>
                  </w:r>
                </w:p>
              </w:tc>
              <w:tc>
                <w:tcPr>
                  <w:tcW w:w="719" w:type="pct"/>
                  <w:noWrap w:val="0"/>
                  <w:vAlign w:val="center"/>
                </w:tcPr>
                <w:p w14:paraId="66B108AC">
                  <w:pPr>
                    <w:adjustRightInd w:val="0"/>
                    <w:spacing w:line="276" w:lineRule="auto"/>
                    <w:jc w:val="center"/>
                    <w:rPr>
                      <w:bCs/>
                      <w:color w:val="000000"/>
                      <w:szCs w:val="21"/>
                    </w:rPr>
                  </w:pPr>
                  <w:r>
                    <w:rPr>
                      <w:rFonts w:hint="eastAsia"/>
                      <w:bCs/>
                      <w:color w:val="000000"/>
                      <w:szCs w:val="21"/>
                    </w:rPr>
                    <w:t>100</w:t>
                  </w:r>
                </w:p>
              </w:tc>
            </w:tr>
          </w:tbl>
          <w:p w14:paraId="0A65AF6C">
            <w:pPr>
              <w:spacing w:line="480" w:lineRule="exact"/>
              <w:ind w:firstLine="480" w:firstLineChars="200"/>
              <w:rPr>
                <w:rFonts w:hint="eastAsia"/>
                <w:sz w:val="24"/>
              </w:rPr>
            </w:pPr>
          </w:p>
          <w:p w14:paraId="0A9976AE">
            <w:pPr>
              <w:spacing w:line="480" w:lineRule="exact"/>
              <w:ind w:firstLine="480" w:firstLineChars="200"/>
              <w:rPr>
                <w:sz w:val="24"/>
              </w:rPr>
            </w:pPr>
            <w:r>
              <w:rPr>
                <w:rFonts w:hint="eastAsia"/>
                <w:sz w:val="24"/>
              </w:rPr>
              <w:t>由上表可知，厂区DA002隧道窑废气排放口颗粒物、二氧化硫、氮氧化物排放浓度满足《砖瓦工业大气污染物排放标准》(DB34/4362-2023)表2中标准限值要求。</w:t>
            </w:r>
          </w:p>
          <w:p w14:paraId="16AF5BC7">
            <w:pPr>
              <w:autoSpaceDE w:val="0"/>
              <w:autoSpaceDN w:val="0"/>
              <w:spacing w:line="480" w:lineRule="exact"/>
              <w:jc w:val="center"/>
              <w:rPr>
                <w:rFonts w:hint="eastAsia" w:ascii="黑体" w:hAnsi="黑体" w:eastAsia="黑体" w:cs="黑体"/>
                <w:sz w:val="24"/>
              </w:rPr>
            </w:pPr>
            <w:r>
              <w:rPr>
                <w:rFonts w:hint="eastAsia" w:ascii="黑体" w:hAnsi="黑体" w:eastAsia="黑体" w:cs="黑体"/>
                <w:bCs/>
                <w:sz w:val="24"/>
              </w:rPr>
              <w:t>表2-13  无组织废气检测结果统计表</w:t>
            </w:r>
          </w:p>
          <w:tbl>
            <w:tblPr>
              <w:tblStyle w:val="38"/>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280"/>
              <w:gridCol w:w="1424"/>
              <w:gridCol w:w="1424"/>
              <w:gridCol w:w="1424"/>
              <w:gridCol w:w="1261"/>
            </w:tblGrid>
            <w:tr w14:paraId="662D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restart"/>
                  <w:noWrap w:val="0"/>
                  <w:vAlign w:val="center"/>
                </w:tcPr>
                <w:p w14:paraId="27DE84B2">
                  <w:pPr>
                    <w:spacing w:line="276" w:lineRule="auto"/>
                    <w:jc w:val="center"/>
                    <w:rPr>
                      <w:bCs/>
                      <w:szCs w:val="21"/>
                    </w:rPr>
                  </w:pPr>
                  <w:r>
                    <w:rPr>
                      <w:bCs/>
                      <w:szCs w:val="21"/>
                    </w:rPr>
                    <w:t>监测点位</w:t>
                  </w:r>
                </w:p>
              </w:tc>
              <w:tc>
                <w:tcPr>
                  <w:tcW w:w="2280" w:type="dxa"/>
                  <w:vMerge w:val="restart"/>
                  <w:noWrap w:val="0"/>
                  <w:vAlign w:val="center"/>
                </w:tcPr>
                <w:p w14:paraId="4EA7BEE0">
                  <w:pPr>
                    <w:spacing w:line="276" w:lineRule="auto"/>
                    <w:jc w:val="center"/>
                    <w:rPr>
                      <w:bCs/>
                      <w:szCs w:val="21"/>
                    </w:rPr>
                  </w:pPr>
                  <w:r>
                    <w:rPr>
                      <w:bCs/>
                      <w:szCs w:val="21"/>
                    </w:rPr>
                    <w:t>监测因子</w:t>
                  </w:r>
                </w:p>
              </w:tc>
              <w:tc>
                <w:tcPr>
                  <w:tcW w:w="4272" w:type="dxa"/>
                  <w:gridSpan w:val="3"/>
                  <w:noWrap w:val="0"/>
                  <w:vAlign w:val="center"/>
                </w:tcPr>
                <w:p w14:paraId="11E86E81">
                  <w:pPr>
                    <w:spacing w:line="276" w:lineRule="auto"/>
                    <w:jc w:val="center"/>
                    <w:rPr>
                      <w:bCs/>
                      <w:szCs w:val="21"/>
                    </w:rPr>
                  </w:pPr>
                  <w:r>
                    <w:rPr>
                      <w:bCs/>
                      <w:szCs w:val="21"/>
                    </w:rPr>
                    <w:t>检测结果</w:t>
                  </w:r>
                </w:p>
              </w:tc>
              <w:tc>
                <w:tcPr>
                  <w:tcW w:w="1261" w:type="dxa"/>
                  <w:vMerge w:val="restart"/>
                  <w:noWrap w:val="0"/>
                  <w:vAlign w:val="center"/>
                </w:tcPr>
                <w:p w14:paraId="550CD599">
                  <w:pPr>
                    <w:spacing w:line="276" w:lineRule="auto"/>
                    <w:jc w:val="center"/>
                    <w:rPr>
                      <w:bCs/>
                      <w:szCs w:val="21"/>
                    </w:rPr>
                  </w:pPr>
                  <w:r>
                    <w:rPr>
                      <w:bCs/>
                      <w:szCs w:val="21"/>
                    </w:rPr>
                    <w:t>标准值(</w:t>
                  </w:r>
                  <w:r>
                    <w:rPr>
                      <w:rFonts w:hint="eastAsia"/>
                      <w:bCs/>
                      <w:szCs w:val="21"/>
                    </w:rPr>
                    <w:t>m</w:t>
                  </w:r>
                  <w:r>
                    <w:rPr>
                      <w:bCs/>
                      <w:szCs w:val="21"/>
                    </w:rPr>
                    <w:t>g/m</w:t>
                  </w:r>
                  <w:r>
                    <w:rPr>
                      <w:bCs/>
                      <w:szCs w:val="21"/>
                      <w:vertAlign w:val="superscript"/>
                    </w:rPr>
                    <w:t>3</w:t>
                  </w:r>
                  <w:r>
                    <w:rPr>
                      <w:bCs/>
                      <w:szCs w:val="21"/>
                    </w:rPr>
                    <w:t>)</w:t>
                  </w:r>
                </w:p>
              </w:tc>
            </w:tr>
            <w:tr w14:paraId="18AB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551E2E47">
                  <w:pPr>
                    <w:spacing w:line="276" w:lineRule="auto"/>
                    <w:jc w:val="center"/>
                    <w:rPr>
                      <w:bCs/>
                      <w:szCs w:val="21"/>
                    </w:rPr>
                  </w:pPr>
                </w:p>
              </w:tc>
              <w:tc>
                <w:tcPr>
                  <w:tcW w:w="2280" w:type="dxa"/>
                  <w:vMerge w:val="continue"/>
                  <w:noWrap w:val="0"/>
                  <w:vAlign w:val="center"/>
                </w:tcPr>
                <w:p w14:paraId="0E5D8415">
                  <w:pPr>
                    <w:spacing w:line="276" w:lineRule="auto"/>
                    <w:jc w:val="center"/>
                    <w:rPr>
                      <w:bCs/>
                      <w:szCs w:val="21"/>
                    </w:rPr>
                  </w:pPr>
                </w:p>
              </w:tc>
              <w:tc>
                <w:tcPr>
                  <w:tcW w:w="4272" w:type="dxa"/>
                  <w:gridSpan w:val="3"/>
                  <w:noWrap w:val="0"/>
                  <w:vAlign w:val="center"/>
                </w:tcPr>
                <w:p w14:paraId="63437FC0">
                  <w:pPr>
                    <w:spacing w:line="276" w:lineRule="auto"/>
                    <w:jc w:val="center"/>
                    <w:rPr>
                      <w:bCs/>
                      <w:szCs w:val="21"/>
                    </w:rPr>
                  </w:pPr>
                  <w:r>
                    <w:rPr>
                      <w:bCs/>
                      <w:szCs w:val="21"/>
                    </w:rPr>
                    <w:t>202</w:t>
                  </w:r>
                  <w:r>
                    <w:rPr>
                      <w:rFonts w:hint="eastAsia"/>
                      <w:bCs/>
                      <w:szCs w:val="21"/>
                    </w:rPr>
                    <w:t>5.9.20</w:t>
                  </w:r>
                </w:p>
              </w:tc>
              <w:tc>
                <w:tcPr>
                  <w:tcW w:w="1261" w:type="dxa"/>
                  <w:vMerge w:val="continue"/>
                  <w:noWrap w:val="0"/>
                  <w:vAlign w:val="center"/>
                </w:tcPr>
                <w:p w14:paraId="69127E9C">
                  <w:pPr>
                    <w:spacing w:line="276" w:lineRule="auto"/>
                    <w:jc w:val="center"/>
                    <w:rPr>
                      <w:bCs/>
                      <w:szCs w:val="21"/>
                    </w:rPr>
                  </w:pPr>
                </w:p>
              </w:tc>
            </w:tr>
            <w:tr w14:paraId="629B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31F5B5B9">
                  <w:pPr>
                    <w:spacing w:line="276" w:lineRule="auto"/>
                    <w:jc w:val="center"/>
                    <w:rPr>
                      <w:bCs/>
                      <w:szCs w:val="21"/>
                    </w:rPr>
                  </w:pPr>
                </w:p>
              </w:tc>
              <w:tc>
                <w:tcPr>
                  <w:tcW w:w="2280" w:type="dxa"/>
                  <w:vMerge w:val="continue"/>
                  <w:noWrap w:val="0"/>
                  <w:vAlign w:val="center"/>
                </w:tcPr>
                <w:p w14:paraId="6562EE69">
                  <w:pPr>
                    <w:spacing w:line="276" w:lineRule="auto"/>
                    <w:jc w:val="center"/>
                    <w:rPr>
                      <w:bCs/>
                      <w:szCs w:val="21"/>
                    </w:rPr>
                  </w:pPr>
                </w:p>
              </w:tc>
              <w:tc>
                <w:tcPr>
                  <w:tcW w:w="1424" w:type="dxa"/>
                  <w:noWrap w:val="0"/>
                  <w:vAlign w:val="center"/>
                </w:tcPr>
                <w:p w14:paraId="307A4359">
                  <w:pPr>
                    <w:spacing w:line="276" w:lineRule="auto"/>
                    <w:jc w:val="center"/>
                    <w:rPr>
                      <w:bCs/>
                      <w:szCs w:val="21"/>
                    </w:rPr>
                  </w:pPr>
                  <w:r>
                    <w:rPr>
                      <w:bCs/>
                      <w:szCs w:val="21"/>
                    </w:rPr>
                    <w:t>第一次</w:t>
                  </w:r>
                </w:p>
              </w:tc>
              <w:tc>
                <w:tcPr>
                  <w:tcW w:w="1424" w:type="dxa"/>
                  <w:noWrap w:val="0"/>
                  <w:vAlign w:val="center"/>
                </w:tcPr>
                <w:p w14:paraId="7DDFFCBF">
                  <w:pPr>
                    <w:spacing w:line="276" w:lineRule="auto"/>
                    <w:jc w:val="center"/>
                    <w:rPr>
                      <w:bCs/>
                      <w:szCs w:val="21"/>
                    </w:rPr>
                  </w:pPr>
                  <w:r>
                    <w:rPr>
                      <w:bCs/>
                      <w:szCs w:val="21"/>
                    </w:rPr>
                    <w:t>第二次</w:t>
                  </w:r>
                </w:p>
              </w:tc>
              <w:tc>
                <w:tcPr>
                  <w:tcW w:w="1424" w:type="dxa"/>
                  <w:noWrap w:val="0"/>
                  <w:vAlign w:val="center"/>
                </w:tcPr>
                <w:p w14:paraId="234F70B1">
                  <w:pPr>
                    <w:spacing w:line="276" w:lineRule="auto"/>
                    <w:jc w:val="center"/>
                    <w:rPr>
                      <w:bCs/>
                      <w:szCs w:val="21"/>
                    </w:rPr>
                  </w:pPr>
                  <w:r>
                    <w:rPr>
                      <w:bCs/>
                      <w:szCs w:val="21"/>
                    </w:rPr>
                    <w:t>第三次</w:t>
                  </w:r>
                </w:p>
              </w:tc>
              <w:tc>
                <w:tcPr>
                  <w:tcW w:w="1261" w:type="dxa"/>
                  <w:vMerge w:val="continue"/>
                  <w:noWrap w:val="0"/>
                  <w:vAlign w:val="center"/>
                </w:tcPr>
                <w:p w14:paraId="2E7755B7">
                  <w:pPr>
                    <w:spacing w:line="276" w:lineRule="auto"/>
                    <w:jc w:val="center"/>
                    <w:rPr>
                      <w:bCs/>
                      <w:szCs w:val="21"/>
                    </w:rPr>
                  </w:pPr>
                </w:p>
              </w:tc>
            </w:tr>
            <w:tr w14:paraId="58E3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restart"/>
                  <w:noWrap w:val="0"/>
                  <w:vAlign w:val="center"/>
                </w:tcPr>
                <w:p w14:paraId="7CF03AE0">
                  <w:pPr>
                    <w:spacing w:line="276" w:lineRule="auto"/>
                    <w:jc w:val="center"/>
                    <w:rPr>
                      <w:bCs/>
                      <w:szCs w:val="21"/>
                    </w:rPr>
                  </w:pPr>
                  <w:r>
                    <w:rPr>
                      <w:bCs/>
                      <w:szCs w:val="21"/>
                    </w:rPr>
                    <w:t>上风向</w:t>
                  </w:r>
                </w:p>
              </w:tc>
              <w:tc>
                <w:tcPr>
                  <w:tcW w:w="2280" w:type="dxa"/>
                  <w:noWrap w:val="0"/>
                  <w:vAlign w:val="center"/>
                </w:tcPr>
                <w:p w14:paraId="5C8CC1C1">
                  <w:pPr>
                    <w:spacing w:line="276" w:lineRule="auto"/>
                    <w:jc w:val="center"/>
                    <w:rPr>
                      <w:bCs/>
                      <w:szCs w:val="21"/>
                    </w:rPr>
                  </w:pPr>
                  <w:r>
                    <w:rPr>
                      <w:bCs/>
                      <w:szCs w:val="21"/>
                    </w:rPr>
                    <w:t>颗粒物(</w:t>
                  </w:r>
                  <w:r>
                    <w:rPr>
                      <w:rFonts w:hint="eastAsia"/>
                      <w:bCs/>
                      <w:szCs w:val="21"/>
                    </w:rPr>
                    <w:t>m</w:t>
                  </w:r>
                  <w:r>
                    <w:rPr>
                      <w:bCs/>
                      <w:szCs w:val="21"/>
                    </w:rPr>
                    <w:t>g/m</w:t>
                  </w:r>
                  <w:r>
                    <w:rPr>
                      <w:bCs/>
                      <w:szCs w:val="21"/>
                      <w:vertAlign w:val="superscript"/>
                    </w:rPr>
                    <w:t>3</w:t>
                  </w:r>
                  <w:r>
                    <w:rPr>
                      <w:bCs/>
                      <w:szCs w:val="21"/>
                    </w:rPr>
                    <w:t>)</w:t>
                  </w:r>
                </w:p>
              </w:tc>
              <w:tc>
                <w:tcPr>
                  <w:tcW w:w="1424" w:type="dxa"/>
                  <w:noWrap w:val="0"/>
                  <w:vAlign w:val="center"/>
                </w:tcPr>
                <w:p w14:paraId="46A23E69">
                  <w:pPr>
                    <w:spacing w:line="276" w:lineRule="auto"/>
                    <w:jc w:val="center"/>
                    <w:rPr>
                      <w:bCs/>
                      <w:szCs w:val="21"/>
                    </w:rPr>
                  </w:pPr>
                  <w:r>
                    <w:rPr>
                      <w:rFonts w:hint="eastAsia"/>
                      <w:bCs/>
                      <w:szCs w:val="21"/>
                    </w:rPr>
                    <w:t>0.219</w:t>
                  </w:r>
                </w:p>
              </w:tc>
              <w:tc>
                <w:tcPr>
                  <w:tcW w:w="1424" w:type="dxa"/>
                  <w:noWrap w:val="0"/>
                  <w:vAlign w:val="center"/>
                </w:tcPr>
                <w:p w14:paraId="7312972D">
                  <w:pPr>
                    <w:spacing w:line="276" w:lineRule="auto"/>
                    <w:jc w:val="center"/>
                    <w:rPr>
                      <w:bCs/>
                      <w:szCs w:val="21"/>
                    </w:rPr>
                  </w:pPr>
                  <w:r>
                    <w:rPr>
                      <w:rFonts w:hint="eastAsia"/>
                      <w:bCs/>
                      <w:szCs w:val="21"/>
                    </w:rPr>
                    <w:t>0.235</w:t>
                  </w:r>
                </w:p>
              </w:tc>
              <w:tc>
                <w:tcPr>
                  <w:tcW w:w="1424" w:type="dxa"/>
                  <w:noWrap w:val="0"/>
                  <w:vAlign w:val="center"/>
                </w:tcPr>
                <w:p w14:paraId="1666F4BD">
                  <w:pPr>
                    <w:spacing w:line="276" w:lineRule="auto"/>
                    <w:jc w:val="center"/>
                    <w:rPr>
                      <w:bCs/>
                      <w:szCs w:val="21"/>
                    </w:rPr>
                  </w:pPr>
                  <w:r>
                    <w:rPr>
                      <w:rFonts w:hint="eastAsia"/>
                      <w:bCs/>
                      <w:szCs w:val="21"/>
                    </w:rPr>
                    <w:t>0.205</w:t>
                  </w:r>
                </w:p>
              </w:tc>
              <w:tc>
                <w:tcPr>
                  <w:tcW w:w="1261" w:type="dxa"/>
                  <w:noWrap w:val="0"/>
                  <w:vAlign w:val="center"/>
                </w:tcPr>
                <w:p w14:paraId="29DDB3EC">
                  <w:pPr>
                    <w:spacing w:line="276" w:lineRule="auto"/>
                    <w:jc w:val="center"/>
                    <w:rPr>
                      <w:bCs/>
                      <w:szCs w:val="21"/>
                    </w:rPr>
                  </w:pPr>
                  <w:r>
                    <w:rPr>
                      <w:rFonts w:hint="eastAsia"/>
                      <w:bCs/>
                      <w:szCs w:val="21"/>
                    </w:rPr>
                    <w:t>1.0</w:t>
                  </w:r>
                </w:p>
              </w:tc>
            </w:tr>
            <w:tr w14:paraId="3217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59DAA230">
                  <w:pPr>
                    <w:spacing w:line="276" w:lineRule="auto"/>
                    <w:jc w:val="center"/>
                    <w:rPr>
                      <w:bCs/>
                      <w:szCs w:val="21"/>
                    </w:rPr>
                  </w:pPr>
                </w:p>
              </w:tc>
              <w:tc>
                <w:tcPr>
                  <w:tcW w:w="2280" w:type="dxa"/>
                  <w:noWrap w:val="0"/>
                  <w:vAlign w:val="center"/>
                </w:tcPr>
                <w:p w14:paraId="0A1FA101">
                  <w:pPr>
                    <w:spacing w:line="276" w:lineRule="auto"/>
                    <w:jc w:val="center"/>
                    <w:rPr>
                      <w:bCs/>
                      <w:szCs w:val="21"/>
                    </w:rPr>
                  </w:pPr>
                  <w:r>
                    <w:rPr>
                      <w:bCs/>
                      <w:szCs w:val="21"/>
                    </w:rPr>
                    <w:t>二氧化硫(mg/m</w:t>
                  </w:r>
                  <w:r>
                    <w:rPr>
                      <w:bCs/>
                      <w:szCs w:val="21"/>
                      <w:vertAlign w:val="superscript"/>
                    </w:rPr>
                    <w:t>3</w:t>
                  </w:r>
                  <w:r>
                    <w:rPr>
                      <w:bCs/>
                      <w:szCs w:val="21"/>
                    </w:rPr>
                    <w:t>)</w:t>
                  </w:r>
                </w:p>
              </w:tc>
              <w:tc>
                <w:tcPr>
                  <w:tcW w:w="1424" w:type="dxa"/>
                  <w:noWrap w:val="0"/>
                  <w:vAlign w:val="center"/>
                </w:tcPr>
                <w:p w14:paraId="601D4BA2">
                  <w:pPr>
                    <w:spacing w:line="276" w:lineRule="auto"/>
                    <w:jc w:val="center"/>
                    <w:rPr>
                      <w:bCs/>
                      <w:szCs w:val="21"/>
                    </w:rPr>
                  </w:pPr>
                  <w:r>
                    <w:rPr>
                      <w:rFonts w:hint="eastAsia"/>
                      <w:bCs/>
                      <w:szCs w:val="21"/>
                    </w:rPr>
                    <w:t>ND</w:t>
                  </w:r>
                </w:p>
              </w:tc>
              <w:tc>
                <w:tcPr>
                  <w:tcW w:w="1424" w:type="dxa"/>
                  <w:noWrap w:val="0"/>
                  <w:vAlign w:val="center"/>
                </w:tcPr>
                <w:p w14:paraId="6A0BF809">
                  <w:pPr>
                    <w:spacing w:line="276" w:lineRule="auto"/>
                    <w:jc w:val="center"/>
                    <w:rPr>
                      <w:bCs/>
                      <w:szCs w:val="21"/>
                    </w:rPr>
                  </w:pPr>
                  <w:r>
                    <w:rPr>
                      <w:rFonts w:hint="eastAsia"/>
                      <w:bCs/>
                      <w:szCs w:val="21"/>
                    </w:rPr>
                    <w:t>ND</w:t>
                  </w:r>
                </w:p>
              </w:tc>
              <w:tc>
                <w:tcPr>
                  <w:tcW w:w="1424" w:type="dxa"/>
                  <w:noWrap w:val="0"/>
                  <w:vAlign w:val="center"/>
                </w:tcPr>
                <w:p w14:paraId="29E6D182">
                  <w:pPr>
                    <w:spacing w:line="276" w:lineRule="auto"/>
                    <w:jc w:val="center"/>
                    <w:rPr>
                      <w:rFonts w:hint="eastAsia"/>
                      <w:bCs/>
                      <w:szCs w:val="21"/>
                    </w:rPr>
                  </w:pPr>
                  <w:r>
                    <w:rPr>
                      <w:rFonts w:hint="eastAsia"/>
                      <w:bCs/>
                      <w:szCs w:val="21"/>
                    </w:rPr>
                    <w:t>0.008</w:t>
                  </w:r>
                </w:p>
              </w:tc>
              <w:tc>
                <w:tcPr>
                  <w:tcW w:w="1261" w:type="dxa"/>
                  <w:noWrap w:val="0"/>
                  <w:vAlign w:val="center"/>
                </w:tcPr>
                <w:p w14:paraId="4B13DEE5">
                  <w:pPr>
                    <w:spacing w:line="276" w:lineRule="auto"/>
                    <w:jc w:val="center"/>
                    <w:rPr>
                      <w:bCs/>
                      <w:szCs w:val="21"/>
                    </w:rPr>
                  </w:pPr>
                  <w:r>
                    <w:rPr>
                      <w:rFonts w:hint="eastAsia"/>
                      <w:bCs/>
                      <w:szCs w:val="21"/>
                    </w:rPr>
                    <w:t>0.5</w:t>
                  </w:r>
                </w:p>
              </w:tc>
            </w:tr>
            <w:tr w14:paraId="13E5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4074421F">
                  <w:pPr>
                    <w:spacing w:line="276" w:lineRule="auto"/>
                    <w:jc w:val="center"/>
                    <w:rPr>
                      <w:bCs/>
                      <w:szCs w:val="21"/>
                    </w:rPr>
                  </w:pPr>
                </w:p>
              </w:tc>
              <w:tc>
                <w:tcPr>
                  <w:tcW w:w="2280" w:type="dxa"/>
                  <w:noWrap w:val="0"/>
                  <w:vAlign w:val="center"/>
                </w:tcPr>
                <w:p w14:paraId="2A7A9644">
                  <w:pPr>
                    <w:spacing w:line="276" w:lineRule="auto"/>
                    <w:jc w:val="center"/>
                    <w:rPr>
                      <w:bCs/>
                      <w:szCs w:val="21"/>
                    </w:rPr>
                  </w:pPr>
                  <w:r>
                    <w:rPr>
                      <w:bCs/>
                      <w:szCs w:val="21"/>
                    </w:rPr>
                    <w:t>氟化物(mg/m</w:t>
                  </w:r>
                  <w:r>
                    <w:rPr>
                      <w:bCs/>
                      <w:szCs w:val="21"/>
                      <w:vertAlign w:val="superscript"/>
                    </w:rPr>
                    <w:t>3</w:t>
                  </w:r>
                  <w:r>
                    <w:rPr>
                      <w:bCs/>
                      <w:szCs w:val="21"/>
                    </w:rPr>
                    <w:t>)</w:t>
                  </w:r>
                </w:p>
              </w:tc>
              <w:tc>
                <w:tcPr>
                  <w:tcW w:w="1424" w:type="dxa"/>
                  <w:noWrap w:val="0"/>
                  <w:vAlign w:val="center"/>
                </w:tcPr>
                <w:p w14:paraId="112A2C00">
                  <w:pPr>
                    <w:spacing w:line="276" w:lineRule="auto"/>
                    <w:jc w:val="center"/>
                    <w:rPr>
                      <w:bCs/>
                      <w:szCs w:val="21"/>
                    </w:rPr>
                  </w:pPr>
                  <w:r>
                    <w:rPr>
                      <w:rFonts w:hint="eastAsia"/>
                      <w:bCs/>
                      <w:szCs w:val="21"/>
                    </w:rPr>
                    <w:t>ND</w:t>
                  </w:r>
                </w:p>
              </w:tc>
              <w:tc>
                <w:tcPr>
                  <w:tcW w:w="1424" w:type="dxa"/>
                  <w:noWrap w:val="0"/>
                  <w:vAlign w:val="center"/>
                </w:tcPr>
                <w:p w14:paraId="1F29CED7">
                  <w:pPr>
                    <w:spacing w:line="276" w:lineRule="auto"/>
                    <w:jc w:val="center"/>
                    <w:rPr>
                      <w:bCs/>
                      <w:szCs w:val="21"/>
                    </w:rPr>
                  </w:pPr>
                  <w:r>
                    <w:rPr>
                      <w:rFonts w:hint="eastAsia"/>
                      <w:bCs/>
                      <w:szCs w:val="21"/>
                    </w:rPr>
                    <w:t>ND</w:t>
                  </w:r>
                </w:p>
              </w:tc>
              <w:tc>
                <w:tcPr>
                  <w:tcW w:w="1424" w:type="dxa"/>
                  <w:noWrap w:val="0"/>
                  <w:vAlign w:val="center"/>
                </w:tcPr>
                <w:p w14:paraId="2685207E">
                  <w:pPr>
                    <w:spacing w:line="276" w:lineRule="auto"/>
                    <w:jc w:val="center"/>
                    <w:rPr>
                      <w:bCs/>
                      <w:szCs w:val="21"/>
                    </w:rPr>
                  </w:pPr>
                  <w:r>
                    <w:rPr>
                      <w:rFonts w:hint="eastAsia"/>
                      <w:bCs/>
                      <w:szCs w:val="21"/>
                    </w:rPr>
                    <w:t>ND</w:t>
                  </w:r>
                </w:p>
              </w:tc>
              <w:tc>
                <w:tcPr>
                  <w:tcW w:w="1261" w:type="dxa"/>
                  <w:noWrap w:val="0"/>
                  <w:vAlign w:val="center"/>
                </w:tcPr>
                <w:p w14:paraId="4506A45E">
                  <w:pPr>
                    <w:spacing w:line="276" w:lineRule="auto"/>
                    <w:jc w:val="center"/>
                    <w:rPr>
                      <w:bCs/>
                      <w:szCs w:val="21"/>
                    </w:rPr>
                  </w:pPr>
                  <w:r>
                    <w:rPr>
                      <w:rFonts w:hint="eastAsia"/>
                      <w:bCs/>
                      <w:szCs w:val="21"/>
                    </w:rPr>
                    <w:t>0.02</w:t>
                  </w:r>
                </w:p>
              </w:tc>
            </w:tr>
            <w:tr w14:paraId="3B13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restart"/>
                  <w:noWrap w:val="0"/>
                  <w:vAlign w:val="center"/>
                </w:tcPr>
                <w:p w14:paraId="0E88E90E">
                  <w:pPr>
                    <w:spacing w:line="276" w:lineRule="auto"/>
                    <w:jc w:val="center"/>
                    <w:rPr>
                      <w:bCs/>
                      <w:szCs w:val="21"/>
                    </w:rPr>
                  </w:pPr>
                  <w:r>
                    <w:rPr>
                      <w:bCs/>
                      <w:szCs w:val="21"/>
                    </w:rPr>
                    <w:t>下风向</w:t>
                  </w:r>
                </w:p>
              </w:tc>
              <w:tc>
                <w:tcPr>
                  <w:tcW w:w="2280" w:type="dxa"/>
                  <w:noWrap w:val="0"/>
                  <w:vAlign w:val="center"/>
                </w:tcPr>
                <w:p w14:paraId="565AAA66">
                  <w:pPr>
                    <w:spacing w:line="276" w:lineRule="auto"/>
                    <w:jc w:val="center"/>
                    <w:rPr>
                      <w:bCs/>
                      <w:szCs w:val="21"/>
                    </w:rPr>
                  </w:pPr>
                  <w:r>
                    <w:rPr>
                      <w:bCs/>
                      <w:szCs w:val="21"/>
                    </w:rPr>
                    <w:t>颗粒物(</w:t>
                  </w:r>
                  <w:r>
                    <w:rPr>
                      <w:rFonts w:hint="eastAsia"/>
                      <w:bCs/>
                      <w:szCs w:val="21"/>
                    </w:rPr>
                    <w:t>m</w:t>
                  </w:r>
                  <w:r>
                    <w:rPr>
                      <w:bCs/>
                      <w:szCs w:val="21"/>
                    </w:rPr>
                    <w:t>g/m</w:t>
                  </w:r>
                  <w:r>
                    <w:rPr>
                      <w:bCs/>
                      <w:szCs w:val="21"/>
                      <w:vertAlign w:val="superscript"/>
                    </w:rPr>
                    <w:t>3</w:t>
                  </w:r>
                  <w:r>
                    <w:rPr>
                      <w:bCs/>
                      <w:szCs w:val="21"/>
                    </w:rPr>
                    <w:t>)</w:t>
                  </w:r>
                </w:p>
              </w:tc>
              <w:tc>
                <w:tcPr>
                  <w:tcW w:w="1424" w:type="dxa"/>
                  <w:noWrap w:val="0"/>
                  <w:vAlign w:val="center"/>
                </w:tcPr>
                <w:p w14:paraId="77342082">
                  <w:pPr>
                    <w:spacing w:line="276" w:lineRule="auto"/>
                    <w:jc w:val="center"/>
                    <w:rPr>
                      <w:bCs/>
                      <w:szCs w:val="21"/>
                    </w:rPr>
                  </w:pPr>
                  <w:r>
                    <w:rPr>
                      <w:rFonts w:hint="eastAsia"/>
                      <w:bCs/>
                      <w:szCs w:val="21"/>
                    </w:rPr>
                    <w:t>0.196</w:t>
                  </w:r>
                </w:p>
              </w:tc>
              <w:tc>
                <w:tcPr>
                  <w:tcW w:w="1424" w:type="dxa"/>
                  <w:noWrap w:val="0"/>
                  <w:vAlign w:val="center"/>
                </w:tcPr>
                <w:p w14:paraId="3B63D74C">
                  <w:pPr>
                    <w:spacing w:line="276" w:lineRule="auto"/>
                    <w:jc w:val="center"/>
                    <w:rPr>
                      <w:bCs/>
                      <w:szCs w:val="21"/>
                    </w:rPr>
                  </w:pPr>
                  <w:r>
                    <w:rPr>
                      <w:rFonts w:hint="eastAsia"/>
                      <w:bCs/>
                      <w:szCs w:val="21"/>
                    </w:rPr>
                    <w:t>0.228</w:t>
                  </w:r>
                </w:p>
              </w:tc>
              <w:tc>
                <w:tcPr>
                  <w:tcW w:w="1424" w:type="dxa"/>
                  <w:noWrap w:val="0"/>
                  <w:vAlign w:val="center"/>
                </w:tcPr>
                <w:p w14:paraId="6CC1C3BA">
                  <w:pPr>
                    <w:spacing w:line="276" w:lineRule="auto"/>
                    <w:jc w:val="center"/>
                    <w:rPr>
                      <w:bCs/>
                      <w:szCs w:val="21"/>
                    </w:rPr>
                  </w:pPr>
                  <w:r>
                    <w:rPr>
                      <w:rFonts w:hint="eastAsia"/>
                      <w:bCs/>
                      <w:szCs w:val="21"/>
                    </w:rPr>
                    <w:t>0.207</w:t>
                  </w:r>
                </w:p>
              </w:tc>
              <w:tc>
                <w:tcPr>
                  <w:tcW w:w="1261" w:type="dxa"/>
                  <w:noWrap w:val="0"/>
                  <w:vAlign w:val="center"/>
                </w:tcPr>
                <w:p w14:paraId="5784B05F">
                  <w:pPr>
                    <w:spacing w:line="276" w:lineRule="auto"/>
                    <w:jc w:val="center"/>
                    <w:rPr>
                      <w:bCs/>
                      <w:szCs w:val="21"/>
                    </w:rPr>
                  </w:pPr>
                  <w:r>
                    <w:rPr>
                      <w:rFonts w:hint="eastAsia"/>
                      <w:bCs/>
                      <w:szCs w:val="21"/>
                    </w:rPr>
                    <w:t>1.0</w:t>
                  </w:r>
                </w:p>
              </w:tc>
            </w:tr>
            <w:tr w14:paraId="2AE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48F7B1B9">
                  <w:pPr>
                    <w:spacing w:line="276" w:lineRule="auto"/>
                    <w:jc w:val="center"/>
                    <w:rPr>
                      <w:bCs/>
                      <w:szCs w:val="21"/>
                    </w:rPr>
                  </w:pPr>
                </w:p>
              </w:tc>
              <w:tc>
                <w:tcPr>
                  <w:tcW w:w="2280" w:type="dxa"/>
                  <w:noWrap w:val="0"/>
                  <w:vAlign w:val="center"/>
                </w:tcPr>
                <w:p w14:paraId="2B0A3ADB">
                  <w:pPr>
                    <w:spacing w:line="276" w:lineRule="auto"/>
                    <w:jc w:val="center"/>
                    <w:rPr>
                      <w:bCs/>
                      <w:szCs w:val="21"/>
                    </w:rPr>
                  </w:pPr>
                  <w:r>
                    <w:rPr>
                      <w:bCs/>
                      <w:szCs w:val="21"/>
                    </w:rPr>
                    <w:t>二氧化硫(mg/m</w:t>
                  </w:r>
                  <w:r>
                    <w:rPr>
                      <w:bCs/>
                      <w:szCs w:val="21"/>
                      <w:vertAlign w:val="superscript"/>
                    </w:rPr>
                    <w:t>3</w:t>
                  </w:r>
                  <w:r>
                    <w:rPr>
                      <w:bCs/>
                      <w:szCs w:val="21"/>
                    </w:rPr>
                    <w:t>)</w:t>
                  </w:r>
                </w:p>
              </w:tc>
              <w:tc>
                <w:tcPr>
                  <w:tcW w:w="1424" w:type="dxa"/>
                  <w:noWrap w:val="0"/>
                  <w:vAlign w:val="center"/>
                </w:tcPr>
                <w:p w14:paraId="3A4A83D2">
                  <w:pPr>
                    <w:spacing w:line="276" w:lineRule="auto"/>
                    <w:jc w:val="center"/>
                    <w:rPr>
                      <w:bCs/>
                      <w:szCs w:val="21"/>
                    </w:rPr>
                  </w:pPr>
                  <w:r>
                    <w:rPr>
                      <w:rFonts w:hint="eastAsia"/>
                      <w:bCs/>
                      <w:szCs w:val="21"/>
                    </w:rPr>
                    <w:t>0.010</w:t>
                  </w:r>
                </w:p>
              </w:tc>
              <w:tc>
                <w:tcPr>
                  <w:tcW w:w="1424" w:type="dxa"/>
                  <w:noWrap w:val="0"/>
                  <w:vAlign w:val="center"/>
                </w:tcPr>
                <w:p w14:paraId="646429BA">
                  <w:pPr>
                    <w:spacing w:line="276" w:lineRule="auto"/>
                    <w:jc w:val="center"/>
                    <w:rPr>
                      <w:rFonts w:hint="eastAsia"/>
                      <w:bCs/>
                      <w:szCs w:val="21"/>
                    </w:rPr>
                  </w:pPr>
                  <w:r>
                    <w:rPr>
                      <w:rFonts w:hint="eastAsia"/>
                      <w:bCs/>
                      <w:szCs w:val="21"/>
                    </w:rPr>
                    <w:t>0.010</w:t>
                  </w:r>
                </w:p>
              </w:tc>
              <w:tc>
                <w:tcPr>
                  <w:tcW w:w="1424" w:type="dxa"/>
                  <w:noWrap w:val="0"/>
                  <w:vAlign w:val="center"/>
                </w:tcPr>
                <w:p w14:paraId="236D213B">
                  <w:pPr>
                    <w:spacing w:line="276" w:lineRule="auto"/>
                    <w:jc w:val="center"/>
                    <w:rPr>
                      <w:bCs/>
                      <w:szCs w:val="21"/>
                    </w:rPr>
                  </w:pPr>
                  <w:r>
                    <w:rPr>
                      <w:rFonts w:hint="eastAsia"/>
                      <w:bCs/>
                      <w:szCs w:val="21"/>
                    </w:rPr>
                    <w:t>0.009</w:t>
                  </w:r>
                </w:p>
              </w:tc>
              <w:tc>
                <w:tcPr>
                  <w:tcW w:w="1261" w:type="dxa"/>
                  <w:noWrap w:val="0"/>
                  <w:vAlign w:val="center"/>
                </w:tcPr>
                <w:p w14:paraId="67BB091A">
                  <w:pPr>
                    <w:spacing w:line="276" w:lineRule="auto"/>
                    <w:jc w:val="center"/>
                    <w:rPr>
                      <w:bCs/>
                      <w:szCs w:val="21"/>
                    </w:rPr>
                  </w:pPr>
                  <w:r>
                    <w:rPr>
                      <w:rFonts w:hint="eastAsia"/>
                      <w:bCs/>
                      <w:szCs w:val="21"/>
                    </w:rPr>
                    <w:t>0.5</w:t>
                  </w:r>
                </w:p>
              </w:tc>
            </w:tr>
            <w:tr w14:paraId="74BA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260F3CD2">
                  <w:pPr>
                    <w:spacing w:line="276" w:lineRule="auto"/>
                    <w:jc w:val="center"/>
                    <w:rPr>
                      <w:bCs/>
                      <w:szCs w:val="21"/>
                    </w:rPr>
                  </w:pPr>
                </w:p>
              </w:tc>
              <w:tc>
                <w:tcPr>
                  <w:tcW w:w="2280" w:type="dxa"/>
                  <w:noWrap w:val="0"/>
                  <w:vAlign w:val="center"/>
                </w:tcPr>
                <w:p w14:paraId="0E0EBE7A">
                  <w:pPr>
                    <w:spacing w:line="276" w:lineRule="auto"/>
                    <w:jc w:val="center"/>
                    <w:rPr>
                      <w:bCs/>
                      <w:szCs w:val="21"/>
                    </w:rPr>
                  </w:pPr>
                  <w:r>
                    <w:rPr>
                      <w:bCs/>
                      <w:szCs w:val="21"/>
                    </w:rPr>
                    <w:t>氟化物(mg/m</w:t>
                  </w:r>
                  <w:r>
                    <w:rPr>
                      <w:bCs/>
                      <w:szCs w:val="21"/>
                      <w:vertAlign w:val="superscript"/>
                    </w:rPr>
                    <w:t>3</w:t>
                  </w:r>
                  <w:r>
                    <w:rPr>
                      <w:bCs/>
                      <w:szCs w:val="21"/>
                    </w:rPr>
                    <w:t>)</w:t>
                  </w:r>
                </w:p>
              </w:tc>
              <w:tc>
                <w:tcPr>
                  <w:tcW w:w="1424" w:type="dxa"/>
                  <w:noWrap w:val="0"/>
                  <w:vAlign w:val="center"/>
                </w:tcPr>
                <w:p w14:paraId="1324ED9B">
                  <w:pPr>
                    <w:spacing w:line="276" w:lineRule="auto"/>
                    <w:jc w:val="center"/>
                    <w:rPr>
                      <w:bCs/>
                      <w:szCs w:val="21"/>
                    </w:rPr>
                  </w:pPr>
                  <w:r>
                    <w:rPr>
                      <w:rFonts w:hint="eastAsia"/>
                      <w:bCs/>
                      <w:szCs w:val="21"/>
                    </w:rPr>
                    <w:t>ND</w:t>
                  </w:r>
                </w:p>
              </w:tc>
              <w:tc>
                <w:tcPr>
                  <w:tcW w:w="1424" w:type="dxa"/>
                  <w:noWrap w:val="0"/>
                  <w:vAlign w:val="center"/>
                </w:tcPr>
                <w:p w14:paraId="388698E5">
                  <w:pPr>
                    <w:spacing w:line="276" w:lineRule="auto"/>
                    <w:jc w:val="center"/>
                    <w:rPr>
                      <w:bCs/>
                      <w:szCs w:val="21"/>
                    </w:rPr>
                  </w:pPr>
                  <w:r>
                    <w:rPr>
                      <w:rFonts w:hint="eastAsia"/>
                      <w:bCs/>
                      <w:szCs w:val="21"/>
                    </w:rPr>
                    <w:t>ND</w:t>
                  </w:r>
                </w:p>
              </w:tc>
              <w:tc>
                <w:tcPr>
                  <w:tcW w:w="1424" w:type="dxa"/>
                  <w:noWrap w:val="0"/>
                  <w:vAlign w:val="center"/>
                </w:tcPr>
                <w:p w14:paraId="459FB7CB">
                  <w:pPr>
                    <w:spacing w:line="276" w:lineRule="auto"/>
                    <w:jc w:val="center"/>
                    <w:rPr>
                      <w:bCs/>
                      <w:szCs w:val="21"/>
                    </w:rPr>
                  </w:pPr>
                  <w:r>
                    <w:rPr>
                      <w:rFonts w:hint="eastAsia"/>
                      <w:bCs/>
                      <w:szCs w:val="21"/>
                    </w:rPr>
                    <w:t>ND</w:t>
                  </w:r>
                </w:p>
              </w:tc>
              <w:tc>
                <w:tcPr>
                  <w:tcW w:w="1261" w:type="dxa"/>
                  <w:noWrap w:val="0"/>
                  <w:vAlign w:val="center"/>
                </w:tcPr>
                <w:p w14:paraId="187C8428">
                  <w:pPr>
                    <w:spacing w:line="276" w:lineRule="auto"/>
                    <w:jc w:val="center"/>
                    <w:rPr>
                      <w:bCs/>
                      <w:szCs w:val="21"/>
                    </w:rPr>
                  </w:pPr>
                  <w:r>
                    <w:rPr>
                      <w:rFonts w:hint="eastAsia"/>
                      <w:bCs/>
                      <w:szCs w:val="21"/>
                    </w:rPr>
                    <w:t>0.02</w:t>
                  </w:r>
                </w:p>
              </w:tc>
            </w:tr>
            <w:tr w14:paraId="3BD9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restart"/>
                  <w:noWrap w:val="0"/>
                  <w:vAlign w:val="center"/>
                </w:tcPr>
                <w:p w14:paraId="0E45B027">
                  <w:pPr>
                    <w:spacing w:line="276" w:lineRule="auto"/>
                    <w:jc w:val="center"/>
                    <w:rPr>
                      <w:bCs/>
                      <w:szCs w:val="21"/>
                    </w:rPr>
                  </w:pPr>
                  <w:r>
                    <w:rPr>
                      <w:bCs/>
                      <w:szCs w:val="21"/>
                    </w:rPr>
                    <w:t>下风向</w:t>
                  </w:r>
                </w:p>
              </w:tc>
              <w:tc>
                <w:tcPr>
                  <w:tcW w:w="2280" w:type="dxa"/>
                  <w:noWrap w:val="0"/>
                  <w:vAlign w:val="center"/>
                </w:tcPr>
                <w:p w14:paraId="291C30B1">
                  <w:pPr>
                    <w:spacing w:line="276" w:lineRule="auto"/>
                    <w:jc w:val="center"/>
                    <w:rPr>
                      <w:bCs/>
                      <w:szCs w:val="21"/>
                    </w:rPr>
                  </w:pPr>
                  <w:r>
                    <w:rPr>
                      <w:bCs/>
                      <w:szCs w:val="21"/>
                    </w:rPr>
                    <w:t>颗粒物(</w:t>
                  </w:r>
                  <w:r>
                    <w:rPr>
                      <w:rFonts w:hint="eastAsia"/>
                      <w:bCs/>
                      <w:szCs w:val="21"/>
                    </w:rPr>
                    <w:t>m</w:t>
                  </w:r>
                  <w:r>
                    <w:rPr>
                      <w:bCs/>
                      <w:szCs w:val="21"/>
                    </w:rPr>
                    <w:t>g/m</w:t>
                  </w:r>
                  <w:r>
                    <w:rPr>
                      <w:bCs/>
                      <w:szCs w:val="21"/>
                      <w:vertAlign w:val="superscript"/>
                    </w:rPr>
                    <w:t>3</w:t>
                  </w:r>
                  <w:r>
                    <w:rPr>
                      <w:bCs/>
                      <w:szCs w:val="21"/>
                    </w:rPr>
                    <w:t>)</w:t>
                  </w:r>
                </w:p>
              </w:tc>
              <w:tc>
                <w:tcPr>
                  <w:tcW w:w="1424" w:type="dxa"/>
                  <w:noWrap w:val="0"/>
                  <w:vAlign w:val="center"/>
                </w:tcPr>
                <w:p w14:paraId="298775EE">
                  <w:pPr>
                    <w:spacing w:line="276" w:lineRule="auto"/>
                    <w:jc w:val="center"/>
                    <w:rPr>
                      <w:bCs/>
                      <w:szCs w:val="21"/>
                    </w:rPr>
                  </w:pPr>
                  <w:r>
                    <w:rPr>
                      <w:rFonts w:hint="eastAsia"/>
                      <w:bCs/>
                      <w:szCs w:val="21"/>
                    </w:rPr>
                    <w:t>0.191</w:t>
                  </w:r>
                </w:p>
              </w:tc>
              <w:tc>
                <w:tcPr>
                  <w:tcW w:w="1424" w:type="dxa"/>
                  <w:noWrap w:val="0"/>
                  <w:vAlign w:val="center"/>
                </w:tcPr>
                <w:p w14:paraId="423C048C">
                  <w:pPr>
                    <w:spacing w:line="276" w:lineRule="auto"/>
                    <w:jc w:val="center"/>
                    <w:rPr>
                      <w:bCs/>
                      <w:szCs w:val="21"/>
                    </w:rPr>
                  </w:pPr>
                  <w:r>
                    <w:rPr>
                      <w:rFonts w:hint="eastAsia"/>
                      <w:bCs/>
                      <w:szCs w:val="21"/>
                    </w:rPr>
                    <w:t>0.235</w:t>
                  </w:r>
                </w:p>
              </w:tc>
              <w:tc>
                <w:tcPr>
                  <w:tcW w:w="1424" w:type="dxa"/>
                  <w:noWrap w:val="0"/>
                  <w:vAlign w:val="center"/>
                </w:tcPr>
                <w:p w14:paraId="6BD07FA6">
                  <w:pPr>
                    <w:spacing w:line="276" w:lineRule="auto"/>
                    <w:jc w:val="center"/>
                    <w:rPr>
                      <w:bCs/>
                      <w:szCs w:val="21"/>
                    </w:rPr>
                  </w:pPr>
                  <w:r>
                    <w:rPr>
                      <w:rFonts w:hint="eastAsia"/>
                      <w:bCs/>
                      <w:szCs w:val="21"/>
                    </w:rPr>
                    <w:t>0.230</w:t>
                  </w:r>
                </w:p>
              </w:tc>
              <w:tc>
                <w:tcPr>
                  <w:tcW w:w="1261" w:type="dxa"/>
                  <w:noWrap w:val="0"/>
                  <w:vAlign w:val="center"/>
                </w:tcPr>
                <w:p w14:paraId="02187EF7">
                  <w:pPr>
                    <w:spacing w:line="276" w:lineRule="auto"/>
                    <w:jc w:val="center"/>
                    <w:rPr>
                      <w:bCs/>
                      <w:szCs w:val="21"/>
                    </w:rPr>
                  </w:pPr>
                  <w:r>
                    <w:rPr>
                      <w:rFonts w:hint="eastAsia"/>
                      <w:bCs/>
                      <w:szCs w:val="21"/>
                    </w:rPr>
                    <w:t>1.0</w:t>
                  </w:r>
                </w:p>
              </w:tc>
            </w:tr>
            <w:tr w14:paraId="0D18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5DE0FBFF">
                  <w:pPr>
                    <w:spacing w:line="276" w:lineRule="auto"/>
                    <w:jc w:val="center"/>
                    <w:rPr>
                      <w:bCs/>
                      <w:szCs w:val="21"/>
                    </w:rPr>
                  </w:pPr>
                </w:p>
              </w:tc>
              <w:tc>
                <w:tcPr>
                  <w:tcW w:w="2280" w:type="dxa"/>
                  <w:noWrap w:val="0"/>
                  <w:vAlign w:val="center"/>
                </w:tcPr>
                <w:p w14:paraId="66D54C79">
                  <w:pPr>
                    <w:spacing w:line="276" w:lineRule="auto"/>
                    <w:jc w:val="center"/>
                    <w:rPr>
                      <w:bCs/>
                      <w:szCs w:val="21"/>
                    </w:rPr>
                  </w:pPr>
                  <w:r>
                    <w:rPr>
                      <w:bCs/>
                      <w:szCs w:val="21"/>
                    </w:rPr>
                    <w:t>二氧化硫(mg/m</w:t>
                  </w:r>
                  <w:r>
                    <w:rPr>
                      <w:bCs/>
                      <w:szCs w:val="21"/>
                      <w:vertAlign w:val="superscript"/>
                    </w:rPr>
                    <w:t>3</w:t>
                  </w:r>
                  <w:r>
                    <w:rPr>
                      <w:bCs/>
                      <w:szCs w:val="21"/>
                    </w:rPr>
                    <w:t>)</w:t>
                  </w:r>
                </w:p>
              </w:tc>
              <w:tc>
                <w:tcPr>
                  <w:tcW w:w="1424" w:type="dxa"/>
                  <w:noWrap w:val="0"/>
                  <w:vAlign w:val="center"/>
                </w:tcPr>
                <w:p w14:paraId="6736BE75">
                  <w:pPr>
                    <w:spacing w:line="276" w:lineRule="auto"/>
                    <w:jc w:val="center"/>
                    <w:rPr>
                      <w:bCs/>
                      <w:szCs w:val="21"/>
                    </w:rPr>
                  </w:pPr>
                  <w:r>
                    <w:rPr>
                      <w:rFonts w:hint="eastAsia"/>
                      <w:bCs/>
                      <w:szCs w:val="21"/>
                    </w:rPr>
                    <w:t>0.009</w:t>
                  </w:r>
                </w:p>
              </w:tc>
              <w:tc>
                <w:tcPr>
                  <w:tcW w:w="1424" w:type="dxa"/>
                  <w:noWrap w:val="0"/>
                  <w:vAlign w:val="center"/>
                </w:tcPr>
                <w:p w14:paraId="4ED6FAE5">
                  <w:pPr>
                    <w:spacing w:line="276" w:lineRule="auto"/>
                    <w:jc w:val="center"/>
                    <w:rPr>
                      <w:rFonts w:hint="eastAsia"/>
                      <w:bCs/>
                      <w:szCs w:val="21"/>
                    </w:rPr>
                  </w:pPr>
                  <w:r>
                    <w:rPr>
                      <w:rFonts w:hint="eastAsia"/>
                      <w:bCs/>
                      <w:szCs w:val="21"/>
                    </w:rPr>
                    <w:t>0.011</w:t>
                  </w:r>
                </w:p>
              </w:tc>
              <w:tc>
                <w:tcPr>
                  <w:tcW w:w="1424" w:type="dxa"/>
                  <w:noWrap w:val="0"/>
                  <w:vAlign w:val="center"/>
                </w:tcPr>
                <w:p w14:paraId="68362D76">
                  <w:pPr>
                    <w:spacing w:line="276" w:lineRule="auto"/>
                    <w:jc w:val="center"/>
                    <w:rPr>
                      <w:bCs/>
                      <w:szCs w:val="21"/>
                    </w:rPr>
                  </w:pPr>
                  <w:r>
                    <w:rPr>
                      <w:rFonts w:hint="eastAsia"/>
                      <w:bCs/>
                      <w:szCs w:val="21"/>
                    </w:rPr>
                    <w:t>ND</w:t>
                  </w:r>
                </w:p>
              </w:tc>
              <w:tc>
                <w:tcPr>
                  <w:tcW w:w="1261" w:type="dxa"/>
                  <w:noWrap w:val="0"/>
                  <w:vAlign w:val="center"/>
                </w:tcPr>
                <w:p w14:paraId="4B08E063">
                  <w:pPr>
                    <w:spacing w:line="276" w:lineRule="auto"/>
                    <w:jc w:val="center"/>
                    <w:rPr>
                      <w:bCs/>
                      <w:szCs w:val="21"/>
                    </w:rPr>
                  </w:pPr>
                  <w:r>
                    <w:rPr>
                      <w:rFonts w:hint="eastAsia"/>
                      <w:bCs/>
                      <w:szCs w:val="21"/>
                    </w:rPr>
                    <w:t>0.5</w:t>
                  </w:r>
                </w:p>
              </w:tc>
            </w:tr>
            <w:tr w14:paraId="2EE0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1CD79B91">
                  <w:pPr>
                    <w:spacing w:line="276" w:lineRule="auto"/>
                    <w:jc w:val="center"/>
                    <w:rPr>
                      <w:bCs/>
                      <w:szCs w:val="21"/>
                    </w:rPr>
                  </w:pPr>
                </w:p>
              </w:tc>
              <w:tc>
                <w:tcPr>
                  <w:tcW w:w="2280" w:type="dxa"/>
                  <w:noWrap w:val="0"/>
                  <w:vAlign w:val="center"/>
                </w:tcPr>
                <w:p w14:paraId="79FCC163">
                  <w:pPr>
                    <w:spacing w:line="276" w:lineRule="auto"/>
                    <w:jc w:val="center"/>
                    <w:rPr>
                      <w:bCs/>
                      <w:szCs w:val="21"/>
                    </w:rPr>
                  </w:pPr>
                  <w:r>
                    <w:rPr>
                      <w:bCs/>
                      <w:szCs w:val="21"/>
                    </w:rPr>
                    <w:t>氟化物(mg/m</w:t>
                  </w:r>
                  <w:r>
                    <w:rPr>
                      <w:bCs/>
                      <w:szCs w:val="21"/>
                      <w:vertAlign w:val="superscript"/>
                    </w:rPr>
                    <w:t>3</w:t>
                  </w:r>
                  <w:r>
                    <w:rPr>
                      <w:bCs/>
                      <w:szCs w:val="21"/>
                    </w:rPr>
                    <w:t>)</w:t>
                  </w:r>
                </w:p>
              </w:tc>
              <w:tc>
                <w:tcPr>
                  <w:tcW w:w="1424" w:type="dxa"/>
                  <w:noWrap w:val="0"/>
                  <w:vAlign w:val="center"/>
                </w:tcPr>
                <w:p w14:paraId="7FAE80AF">
                  <w:pPr>
                    <w:spacing w:line="276" w:lineRule="auto"/>
                    <w:jc w:val="center"/>
                    <w:rPr>
                      <w:bCs/>
                      <w:szCs w:val="21"/>
                    </w:rPr>
                  </w:pPr>
                  <w:r>
                    <w:rPr>
                      <w:rFonts w:hint="eastAsia"/>
                      <w:bCs/>
                      <w:szCs w:val="21"/>
                    </w:rPr>
                    <w:t>ND</w:t>
                  </w:r>
                </w:p>
              </w:tc>
              <w:tc>
                <w:tcPr>
                  <w:tcW w:w="1424" w:type="dxa"/>
                  <w:noWrap w:val="0"/>
                  <w:vAlign w:val="center"/>
                </w:tcPr>
                <w:p w14:paraId="561BBBD4">
                  <w:pPr>
                    <w:spacing w:line="276" w:lineRule="auto"/>
                    <w:jc w:val="center"/>
                    <w:rPr>
                      <w:bCs/>
                      <w:szCs w:val="21"/>
                    </w:rPr>
                  </w:pPr>
                  <w:r>
                    <w:rPr>
                      <w:rFonts w:hint="eastAsia"/>
                      <w:bCs/>
                      <w:szCs w:val="21"/>
                    </w:rPr>
                    <w:t>ND</w:t>
                  </w:r>
                </w:p>
              </w:tc>
              <w:tc>
                <w:tcPr>
                  <w:tcW w:w="1424" w:type="dxa"/>
                  <w:noWrap w:val="0"/>
                  <w:vAlign w:val="center"/>
                </w:tcPr>
                <w:p w14:paraId="283598BD">
                  <w:pPr>
                    <w:spacing w:line="276" w:lineRule="auto"/>
                    <w:jc w:val="center"/>
                    <w:rPr>
                      <w:bCs/>
                      <w:szCs w:val="21"/>
                    </w:rPr>
                  </w:pPr>
                  <w:r>
                    <w:rPr>
                      <w:rFonts w:hint="eastAsia"/>
                      <w:bCs/>
                      <w:szCs w:val="21"/>
                    </w:rPr>
                    <w:t>ND</w:t>
                  </w:r>
                </w:p>
              </w:tc>
              <w:tc>
                <w:tcPr>
                  <w:tcW w:w="1261" w:type="dxa"/>
                  <w:noWrap w:val="0"/>
                  <w:vAlign w:val="center"/>
                </w:tcPr>
                <w:p w14:paraId="27FC7F9B">
                  <w:pPr>
                    <w:spacing w:line="276" w:lineRule="auto"/>
                    <w:jc w:val="center"/>
                    <w:rPr>
                      <w:bCs/>
                      <w:szCs w:val="21"/>
                    </w:rPr>
                  </w:pPr>
                  <w:r>
                    <w:rPr>
                      <w:rFonts w:hint="eastAsia"/>
                      <w:bCs/>
                      <w:szCs w:val="21"/>
                    </w:rPr>
                    <w:t>0.02</w:t>
                  </w:r>
                </w:p>
              </w:tc>
            </w:tr>
            <w:tr w14:paraId="3B79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restart"/>
                  <w:noWrap w:val="0"/>
                  <w:vAlign w:val="center"/>
                </w:tcPr>
                <w:p w14:paraId="25E0BAD7">
                  <w:pPr>
                    <w:spacing w:line="276" w:lineRule="auto"/>
                    <w:jc w:val="center"/>
                    <w:rPr>
                      <w:bCs/>
                      <w:szCs w:val="21"/>
                    </w:rPr>
                  </w:pPr>
                  <w:r>
                    <w:rPr>
                      <w:bCs/>
                      <w:szCs w:val="21"/>
                    </w:rPr>
                    <w:t>下风向</w:t>
                  </w:r>
                </w:p>
              </w:tc>
              <w:tc>
                <w:tcPr>
                  <w:tcW w:w="2280" w:type="dxa"/>
                  <w:noWrap w:val="0"/>
                  <w:vAlign w:val="center"/>
                </w:tcPr>
                <w:p w14:paraId="18D2F5A1">
                  <w:pPr>
                    <w:spacing w:line="276" w:lineRule="auto"/>
                    <w:jc w:val="center"/>
                    <w:rPr>
                      <w:bCs/>
                      <w:szCs w:val="21"/>
                    </w:rPr>
                  </w:pPr>
                  <w:r>
                    <w:rPr>
                      <w:bCs/>
                      <w:szCs w:val="21"/>
                    </w:rPr>
                    <w:t>颗粒物(</w:t>
                  </w:r>
                  <w:r>
                    <w:rPr>
                      <w:rFonts w:hint="eastAsia"/>
                      <w:bCs/>
                      <w:szCs w:val="21"/>
                    </w:rPr>
                    <w:t>m</w:t>
                  </w:r>
                  <w:r>
                    <w:rPr>
                      <w:bCs/>
                      <w:szCs w:val="21"/>
                    </w:rPr>
                    <w:t>g/m</w:t>
                  </w:r>
                  <w:r>
                    <w:rPr>
                      <w:bCs/>
                      <w:szCs w:val="21"/>
                      <w:vertAlign w:val="superscript"/>
                    </w:rPr>
                    <w:t>3</w:t>
                  </w:r>
                  <w:r>
                    <w:rPr>
                      <w:bCs/>
                      <w:szCs w:val="21"/>
                    </w:rPr>
                    <w:t>)</w:t>
                  </w:r>
                </w:p>
              </w:tc>
              <w:tc>
                <w:tcPr>
                  <w:tcW w:w="1424" w:type="dxa"/>
                  <w:noWrap w:val="0"/>
                  <w:vAlign w:val="center"/>
                </w:tcPr>
                <w:p w14:paraId="54295878">
                  <w:pPr>
                    <w:spacing w:line="276" w:lineRule="auto"/>
                    <w:jc w:val="center"/>
                    <w:rPr>
                      <w:bCs/>
                      <w:szCs w:val="21"/>
                    </w:rPr>
                  </w:pPr>
                  <w:r>
                    <w:rPr>
                      <w:rFonts w:hint="eastAsia"/>
                      <w:bCs/>
                      <w:szCs w:val="21"/>
                    </w:rPr>
                    <w:t>0.197</w:t>
                  </w:r>
                </w:p>
              </w:tc>
              <w:tc>
                <w:tcPr>
                  <w:tcW w:w="1424" w:type="dxa"/>
                  <w:noWrap w:val="0"/>
                  <w:vAlign w:val="center"/>
                </w:tcPr>
                <w:p w14:paraId="7A749E59">
                  <w:pPr>
                    <w:spacing w:line="276" w:lineRule="auto"/>
                    <w:jc w:val="center"/>
                    <w:rPr>
                      <w:bCs/>
                      <w:szCs w:val="21"/>
                    </w:rPr>
                  </w:pPr>
                  <w:r>
                    <w:rPr>
                      <w:rFonts w:hint="eastAsia"/>
                      <w:bCs/>
                      <w:szCs w:val="21"/>
                    </w:rPr>
                    <w:t>0.218</w:t>
                  </w:r>
                </w:p>
              </w:tc>
              <w:tc>
                <w:tcPr>
                  <w:tcW w:w="1424" w:type="dxa"/>
                  <w:noWrap w:val="0"/>
                  <w:vAlign w:val="center"/>
                </w:tcPr>
                <w:p w14:paraId="22616047">
                  <w:pPr>
                    <w:spacing w:line="276" w:lineRule="auto"/>
                    <w:jc w:val="center"/>
                    <w:rPr>
                      <w:bCs/>
                      <w:szCs w:val="21"/>
                    </w:rPr>
                  </w:pPr>
                  <w:r>
                    <w:rPr>
                      <w:rFonts w:hint="eastAsia"/>
                      <w:bCs/>
                      <w:szCs w:val="21"/>
                    </w:rPr>
                    <w:t>0.209</w:t>
                  </w:r>
                </w:p>
              </w:tc>
              <w:tc>
                <w:tcPr>
                  <w:tcW w:w="1261" w:type="dxa"/>
                  <w:noWrap w:val="0"/>
                  <w:vAlign w:val="center"/>
                </w:tcPr>
                <w:p w14:paraId="14D4C97D">
                  <w:pPr>
                    <w:spacing w:line="276" w:lineRule="auto"/>
                    <w:jc w:val="center"/>
                    <w:rPr>
                      <w:bCs/>
                      <w:szCs w:val="21"/>
                    </w:rPr>
                  </w:pPr>
                  <w:r>
                    <w:rPr>
                      <w:rFonts w:hint="eastAsia"/>
                      <w:bCs/>
                      <w:szCs w:val="21"/>
                    </w:rPr>
                    <w:t>1.0</w:t>
                  </w:r>
                </w:p>
              </w:tc>
            </w:tr>
            <w:tr w14:paraId="6953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0BB9D31C">
                  <w:pPr>
                    <w:spacing w:line="276" w:lineRule="auto"/>
                    <w:jc w:val="center"/>
                    <w:rPr>
                      <w:bCs/>
                      <w:szCs w:val="21"/>
                    </w:rPr>
                  </w:pPr>
                </w:p>
              </w:tc>
              <w:tc>
                <w:tcPr>
                  <w:tcW w:w="2280" w:type="dxa"/>
                  <w:noWrap w:val="0"/>
                  <w:vAlign w:val="center"/>
                </w:tcPr>
                <w:p w14:paraId="02DC1758">
                  <w:pPr>
                    <w:spacing w:line="276" w:lineRule="auto"/>
                    <w:jc w:val="center"/>
                    <w:rPr>
                      <w:bCs/>
                      <w:szCs w:val="21"/>
                    </w:rPr>
                  </w:pPr>
                  <w:r>
                    <w:rPr>
                      <w:bCs/>
                      <w:szCs w:val="21"/>
                    </w:rPr>
                    <w:t>二氧化硫(mg/m</w:t>
                  </w:r>
                  <w:r>
                    <w:rPr>
                      <w:bCs/>
                      <w:szCs w:val="21"/>
                      <w:vertAlign w:val="superscript"/>
                    </w:rPr>
                    <w:t>3</w:t>
                  </w:r>
                  <w:r>
                    <w:rPr>
                      <w:bCs/>
                      <w:szCs w:val="21"/>
                    </w:rPr>
                    <w:t>)</w:t>
                  </w:r>
                </w:p>
              </w:tc>
              <w:tc>
                <w:tcPr>
                  <w:tcW w:w="1424" w:type="dxa"/>
                  <w:noWrap w:val="0"/>
                  <w:vAlign w:val="center"/>
                </w:tcPr>
                <w:p w14:paraId="4BA367CF">
                  <w:pPr>
                    <w:spacing w:line="276" w:lineRule="auto"/>
                    <w:jc w:val="center"/>
                    <w:rPr>
                      <w:rFonts w:hint="eastAsia"/>
                      <w:bCs/>
                      <w:szCs w:val="21"/>
                    </w:rPr>
                  </w:pPr>
                  <w:r>
                    <w:rPr>
                      <w:rFonts w:hint="eastAsia"/>
                      <w:bCs/>
                      <w:szCs w:val="21"/>
                    </w:rPr>
                    <w:t>0.012</w:t>
                  </w:r>
                </w:p>
              </w:tc>
              <w:tc>
                <w:tcPr>
                  <w:tcW w:w="1424" w:type="dxa"/>
                  <w:noWrap w:val="0"/>
                  <w:vAlign w:val="center"/>
                </w:tcPr>
                <w:p w14:paraId="61EE37A9">
                  <w:pPr>
                    <w:spacing w:line="276" w:lineRule="auto"/>
                    <w:jc w:val="center"/>
                    <w:rPr>
                      <w:rFonts w:hint="eastAsia"/>
                      <w:bCs/>
                      <w:szCs w:val="21"/>
                    </w:rPr>
                  </w:pPr>
                  <w:r>
                    <w:rPr>
                      <w:rFonts w:hint="eastAsia"/>
                      <w:bCs/>
                      <w:szCs w:val="21"/>
                    </w:rPr>
                    <w:t>0.010</w:t>
                  </w:r>
                </w:p>
              </w:tc>
              <w:tc>
                <w:tcPr>
                  <w:tcW w:w="1424" w:type="dxa"/>
                  <w:noWrap w:val="0"/>
                  <w:vAlign w:val="center"/>
                </w:tcPr>
                <w:p w14:paraId="2CC8F8CE">
                  <w:pPr>
                    <w:spacing w:line="276" w:lineRule="auto"/>
                    <w:jc w:val="center"/>
                    <w:rPr>
                      <w:bCs/>
                      <w:szCs w:val="21"/>
                    </w:rPr>
                  </w:pPr>
                  <w:r>
                    <w:rPr>
                      <w:rFonts w:hint="eastAsia"/>
                      <w:bCs/>
                      <w:szCs w:val="21"/>
                    </w:rPr>
                    <w:t>ND</w:t>
                  </w:r>
                </w:p>
              </w:tc>
              <w:tc>
                <w:tcPr>
                  <w:tcW w:w="1261" w:type="dxa"/>
                  <w:noWrap w:val="0"/>
                  <w:vAlign w:val="center"/>
                </w:tcPr>
                <w:p w14:paraId="01B8941F">
                  <w:pPr>
                    <w:spacing w:line="276" w:lineRule="auto"/>
                    <w:jc w:val="center"/>
                    <w:rPr>
                      <w:bCs/>
                      <w:szCs w:val="21"/>
                    </w:rPr>
                  </w:pPr>
                  <w:r>
                    <w:rPr>
                      <w:rFonts w:hint="eastAsia"/>
                      <w:bCs/>
                      <w:szCs w:val="21"/>
                    </w:rPr>
                    <w:t>0.5</w:t>
                  </w:r>
                </w:p>
              </w:tc>
            </w:tr>
            <w:tr w14:paraId="0D42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vMerge w:val="continue"/>
                  <w:noWrap w:val="0"/>
                  <w:vAlign w:val="center"/>
                </w:tcPr>
                <w:p w14:paraId="52201EB1">
                  <w:pPr>
                    <w:spacing w:line="276" w:lineRule="auto"/>
                    <w:jc w:val="center"/>
                    <w:rPr>
                      <w:bCs/>
                      <w:szCs w:val="21"/>
                    </w:rPr>
                  </w:pPr>
                </w:p>
              </w:tc>
              <w:tc>
                <w:tcPr>
                  <w:tcW w:w="2280" w:type="dxa"/>
                  <w:noWrap w:val="0"/>
                  <w:vAlign w:val="center"/>
                </w:tcPr>
                <w:p w14:paraId="5A95DCB1">
                  <w:pPr>
                    <w:spacing w:line="276" w:lineRule="auto"/>
                    <w:jc w:val="center"/>
                    <w:rPr>
                      <w:bCs/>
                      <w:szCs w:val="21"/>
                    </w:rPr>
                  </w:pPr>
                  <w:r>
                    <w:rPr>
                      <w:bCs/>
                      <w:szCs w:val="21"/>
                    </w:rPr>
                    <w:t>氟化物(mg/m</w:t>
                  </w:r>
                  <w:r>
                    <w:rPr>
                      <w:bCs/>
                      <w:szCs w:val="21"/>
                      <w:vertAlign w:val="superscript"/>
                    </w:rPr>
                    <w:t>3</w:t>
                  </w:r>
                  <w:r>
                    <w:rPr>
                      <w:bCs/>
                      <w:szCs w:val="21"/>
                    </w:rPr>
                    <w:t>)</w:t>
                  </w:r>
                </w:p>
              </w:tc>
              <w:tc>
                <w:tcPr>
                  <w:tcW w:w="1424" w:type="dxa"/>
                  <w:noWrap w:val="0"/>
                  <w:vAlign w:val="center"/>
                </w:tcPr>
                <w:p w14:paraId="1C3573D3">
                  <w:pPr>
                    <w:spacing w:line="276" w:lineRule="auto"/>
                    <w:jc w:val="center"/>
                    <w:rPr>
                      <w:bCs/>
                      <w:szCs w:val="21"/>
                    </w:rPr>
                  </w:pPr>
                  <w:r>
                    <w:rPr>
                      <w:rFonts w:hint="eastAsia"/>
                      <w:bCs/>
                      <w:szCs w:val="21"/>
                    </w:rPr>
                    <w:t>ND</w:t>
                  </w:r>
                </w:p>
              </w:tc>
              <w:tc>
                <w:tcPr>
                  <w:tcW w:w="1424" w:type="dxa"/>
                  <w:noWrap w:val="0"/>
                  <w:vAlign w:val="center"/>
                </w:tcPr>
                <w:p w14:paraId="39460B82">
                  <w:pPr>
                    <w:spacing w:line="276" w:lineRule="auto"/>
                    <w:jc w:val="center"/>
                    <w:rPr>
                      <w:bCs/>
                      <w:szCs w:val="21"/>
                    </w:rPr>
                  </w:pPr>
                  <w:r>
                    <w:rPr>
                      <w:rFonts w:hint="eastAsia"/>
                      <w:bCs/>
                      <w:szCs w:val="21"/>
                    </w:rPr>
                    <w:t>ND</w:t>
                  </w:r>
                </w:p>
              </w:tc>
              <w:tc>
                <w:tcPr>
                  <w:tcW w:w="1424" w:type="dxa"/>
                  <w:noWrap w:val="0"/>
                  <w:vAlign w:val="center"/>
                </w:tcPr>
                <w:p w14:paraId="4408CE4A">
                  <w:pPr>
                    <w:spacing w:line="276" w:lineRule="auto"/>
                    <w:jc w:val="center"/>
                    <w:rPr>
                      <w:bCs/>
                      <w:szCs w:val="21"/>
                    </w:rPr>
                  </w:pPr>
                  <w:r>
                    <w:rPr>
                      <w:rFonts w:hint="eastAsia"/>
                      <w:bCs/>
                      <w:szCs w:val="21"/>
                    </w:rPr>
                    <w:t>ND</w:t>
                  </w:r>
                </w:p>
              </w:tc>
              <w:tc>
                <w:tcPr>
                  <w:tcW w:w="1261" w:type="dxa"/>
                  <w:noWrap w:val="0"/>
                  <w:vAlign w:val="center"/>
                </w:tcPr>
                <w:p w14:paraId="3FBC26A2">
                  <w:pPr>
                    <w:spacing w:line="276" w:lineRule="auto"/>
                    <w:jc w:val="center"/>
                    <w:rPr>
                      <w:bCs/>
                      <w:szCs w:val="21"/>
                    </w:rPr>
                  </w:pPr>
                  <w:r>
                    <w:rPr>
                      <w:rFonts w:hint="eastAsia"/>
                      <w:bCs/>
                      <w:szCs w:val="21"/>
                    </w:rPr>
                    <w:t>0.02</w:t>
                  </w:r>
                </w:p>
              </w:tc>
            </w:tr>
            <w:tr w14:paraId="324A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8" w:type="dxa"/>
                  <w:gridSpan w:val="6"/>
                  <w:noWrap w:val="0"/>
                  <w:vAlign w:val="center"/>
                </w:tcPr>
                <w:p w14:paraId="270BF310">
                  <w:pPr>
                    <w:spacing w:line="276" w:lineRule="auto"/>
                    <w:jc w:val="both"/>
                    <w:rPr>
                      <w:rFonts w:hint="default" w:eastAsia="宋体"/>
                      <w:bCs/>
                      <w:szCs w:val="21"/>
                      <w:lang w:val="en-US" w:eastAsia="zh-CN"/>
                    </w:rPr>
                  </w:pPr>
                  <w:r>
                    <w:rPr>
                      <w:rFonts w:hint="eastAsia"/>
                      <w:bCs/>
                      <w:szCs w:val="21"/>
                      <w:lang w:val="en-US" w:eastAsia="zh-CN"/>
                    </w:rPr>
                    <w:t>注：“ND”表示低于检出限</w:t>
                  </w:r>
                </w:p>
              </w:tc>
            </w:tr>
          </w:tbl>
          <w:p w14:paraId="3F98FF05">
            <w:pPr>
              <w:spacing w:line="480" w:lineRule="exact"/>
              <w:ind w:firstLine="480" w:firstLineChars="200"/>
              <w:rPr>
                <w:rFonts w:hint="eastAsia"/>
                <w:sz w:val="24"/>
                <w:szCs w:val="32"/>
              </w:rPr>
            </w:pPr>
          </w:p>
          <w:p w14:paraId="0B58BFEC">
            <w:pPr>
              <w:spacing w:line="480" w:lineRule="exact"/>
              <w:ind w:firstLine="480" w:firstLineChars="200"/>
              <w:rPr>
                <w:sz w:val="24"/>
                <w:szCs w:val="32"/>
              </w:rPr>
            </w:pPr>
            <w:r>
              <w:rPr>
                <w:rFonts w:hint="eastAsia"/>
                <w:sz w:val="24"/>
                <w:szCs w:val="32"/>
              </w:rPr>
              <w:t>由上表可知，厂区无组织废气颗粒物、二氧化硫、氟化物排放浓度满足《砖瓦工业大气污染物排放标准》(DB34/4362-2023)表3中标准限值要求。</w:t>
            </w:r>
          </w:p>
          <w:p w14:paraId="3C862613">
            <w:pPr>
              <w:autoSpaceDE w:val="0"/>
              <w:autoSpaceDN w:val="0"/>
              <w:adjustRightInd w:val="0"/>
              <w:snapToGrid w:val="0"/>
              <w:spacing w:line="48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②废水</w:t>
            </w:r>
          </w:p>
          <w:p w14:paraId="2FFCD139">
            <w:pPr>
              <w:adjustRightInd w:val="0"/>
              <w:snapToGrid w:val="0"/>
              <w:spacing w:line="48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现有项目主要废水为生活污水等；生活污水经化粪池收集后</w:t>
            </w:r>
            <w:r>
              <w:rPr>
                <w:rFonts w:hint="eastAsia" w:ascii="宋体" w:hAnsi="宋体" w:cs="宋体"/>
                <w:color w:val="000000"/>
                <w:sz w:val="24"/>
                <w:highlight w:val="none"/>
                <w:lang w:val="en-US" w:eastAsia="zh-CN"/>
              </w:rPr>
              <w:t>定期清掏</w:t>
            </w:r>
            <w:r>
              <w:rPr>
                <w:rFonts w:hint="eastAsia" w:ascii="宋体" w:hAnsi="宋体" w:cs="宋体"/>
                <w:color w:val="000000"/>
                <w:sz w:val="24"/>
                <w:highlight w:val="none"/>
              </w:rPr>
              <w:t>，不外排。</w:t>
            </w:r>
          </w:p>
          <w:p w14:paraId="1A1BDEBC">
            <w:pPr>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③固废</w:t>
            </w:r>
          </w:p>
          <w:p w14:paraId="74335B7C">
            <w:pPr>
              <w:adjustRightInd w:val="0"/>
              <w:snapToGrid w:val="0"/>
              <w:spacing w:line="480" w:lineRule="exact"/>
              <w:ind w:firstLine="480" w:firstLineChars="200"/>
              <w:rPr>
                <w:rFonts w:hint="eastAsia"/>
                <w:sz w:val="24"/>
              </w:rPr>
            </w:pPr>
            <w:r>
              <w:rPr>
                <w:rFonts w:hint="eastAsia" w:ascii="宋体" w:hAnsi="宋体" w:cs="宋体"/>
                <w:sz w:val="24"/>
              </w:rPr>
              <w:t>现有项目运营期产生的固体废物主要为产生的废边角料、除尘器收集的粉尘、脱硫废渣、不合格产品及生活垃圾等。</w:t>
            </w:r>
          </w:p>
          <w:p w14:paraId="0AF1D890">
            <w:pPr>
              <w:spacing w:line="480" w:lineRule="exact"/>
              <w:ind w:firstLine="480" w:firstLineChars="200"/>
              <w:jc w:val="center"/>
              <w:rPr>
                <w:rFonts w:hint="eastAsia" w:ascii="黑体" w:hAnsi="黑体" w:eastAsia="黑体" w:cs="黑体"/>
                <w:sz w:val="24"/>
              </w:rPr>
            </w:pPr>
            <w:r>
              <w:rPr>
                <w:rFonts w:hint="eastAsia" w:ascii="黑体" w:hAnsi="黑体" w:eastAsia="黑体" w:cs="黑体"/>
                <w:sz w:val="24"/>
              </w:rPr>
              <w:t>表2-14 现有固废产生及处置措施表</w:t>
            </w:r>
          </w:p>
          <w:tbl>
            <w:tblPr>
              <w:tblStyle w:val="38"/>
              <w:tblW w:w="4958"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2148"/>
              <w:gridCol w:w="1959"/>
              <w:gridCol w:w="2502"/>
            </w:tblGrid>
            <w:tr w14:paraId="64DD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noWrap w:val="0"/>
                  <w:vAlign w:val="center"/>
                </w:tcPr>
                <w:p w14:paraId="195E769E">
                  <w:pPr>
                    <w:pStyle w:val="160"/>
                    <w:keepNext w:val="0"/>
                    <w:widowControl/>
                    <w:spacing w:after="0" w:line="240" w:lineRule="auto"/>
                    <w:ind w:firstLine="210"/>
                    <w:rPr>
                      <w:szCs w:val="21"/>
                    </w:rPr>
                  </w:pPr>
                  <w:r>
                    <w:rPr>
                      <w:szCs w:val="21"/>
                    </w:rPr>
                    <w:t>类别</w:t>
                  </w:r>
                </w:p>
              </w:tc>
              <w:tc>
                <w:tcPr>
                  <w:tcW w:w="1278" w:type="pct"/>
                  <w:noWrap w:val="0"/>
                  <w:vAlign w:val="center"/>
                </w:tcPr>
                <w:p w14:paraId="02BB1512">
                  <w:pPr>
                    <w:pStyle w:val="160"/>
                    <w:keepNext w:val="0"/>
                    <w:widowControl/>
                    <w:spacing w:after="0" w:line="240" w:lineRule="auto"/>
                    <w:ind w:firstLine="210"/>
                    <w:rPr>
                      <w:szCs w:val="21"/>
                    </w:rPr>
                  </w:pPr>
                  <w:r>
                    <w:rPr>
                      <w:szCs w:val="21"/>
                    </w:rPr>
                    <w:t>固废名称</w:t>
                  </w:r>
                </w:p>
              </w:tc>
              <w:tc>
                <w:tcPr>
                  <w:tcW w:w="1166" w:type="pct"/>
                  <w:noWrap w:val="0"/>
                  <w:vAlign w:val="center"/>
                </w:tcPr>
                <w:p w14:paraId="2E8E3B44">
                  <w:pPr>
                    <w:pStyle w:val="160"/>
                    <w:keepNext w:val="0"/>
                    <w:widowControl/>
                    <w:spacing w:after="0" w:line="240" w:lineRule="auto"/>
                    <w:ind w:firstLine="210"/>
                    <w:rPr>
                      <w:szCs w:val="21"/>
                    </w:rPr>
                  </w:pPr>
                  <w:r>
                    <w:rPr>
                      <w:szCs w:val="21"/>
                    </w:rPr>
                    <w:t>产生量t/a</w:t>
                  </w:r>
                </w:p>
              </w:tc>
              <w:tc>
                <w:tcPr>
                  <w:tcW w:w="1489" w:type="pct"/>
                  <w:noWrap w:val="0"/>
                  <w:vAlign w:val="center"/>
                </w:tcPr>
                <w:p w14:paraId="74D03BB6">
                  <w:pPr>
                    <w:pStyle w:val="160"/>
                    <w:keepNext w:val="0"/>
                    <w:widowControl/>
                    <w:spacing w:after="0" w:line="240" w:lineRule="auto"/>
                    <w:ind w:firstLine="210"/>
                    <w:rPr>
                      <w:szCs w:val="21"/>
                    </w:rPr>
                  </w:pPr>
                  <w:r>
                    <w:rPr>
                      <w:szCs w:val="21"/>
                    </w:rPr>
                    <w:t>处置措施</w:t>
                  </w:r>
                </w:p>
              </w:tc>
            </w:tr>
            <w:tr w14:paraId="1106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vMerge w:val="restart"/>
                  <w:noWrap w:val="0"/>
                  <w:vAlign w:val="center"/>
                </w:tcPr>
                <w:p w14:paraId="171F20B4">
                  <w:pPr>
                    <w:pStyle w:val="160"/>
                    <w:keepNext w:val="0"/>
                    <w:widowControl/>
                    <w:spacing w:after="0" w:line="240" w:lineRule="auto"/>
                    <w:ind w:firstLine="210"/>
                    <w:rPr>
                      <w:szCs w:val="21"/>
                    </w:rPr>
                  </w:pPr>
                  <w:r>
                    <w:rPr>
                      <w:szCs w:val="21"/>
                    </w:rPr>
                    <w:t>一般固废</w:t>
                  </w:r>
                </w:p>
              </w:tc>
              <w:tc>
                <w:tcPr>
                  <w:tcW w:w="1278" w:type="pct"/>
                  <w:noWrap w:val="0"/>
                  <w:vAlign w:val="center"/>
                </w:tcPr>
                <w:p w14:paraId="3322FB61">
                  <w:pPr>
                    <w:pStyle w:val="160"/>
                    <w:keepNext w:val="0"/>
                    <w:widowControl/>
                    <w:snapToGrid w:val="0"/>
                    <w:spacing w:after="0" w:line="240" w:lineRule="auto"/>
                    <w:ind w:firstLine="0" w:firstLineChars="0"/>
                    <w:rPr>
                      <w:i/>
                      <w:szCs w:val="21"/>
                    </w:rPr>
                  </w:pPr>
                  <w:r>
                    <w:rPr>
                      <w:rFonts w:hint="eastAsia" w:hAnsi="Times New Roman" w:eastAsia="宋体"/>
                      <w:i w:val="0"/>
                      <w:iCs/>
                      <w:szCs w:val="21"/>
                    </w:rPr>
                    <w:t>磁选废物</w:t>
                  </w:r>
                </w:p>
              </w:tc>
              <w:tc>
                <w:tcPr>
                  <w:tcW w:w="1166" w:type="pct"/>
                  <w:noWrap w:val="0"/>
                  <w:vAlign w:val="center"/>
                </w:tcPr>
                <w:p w14:paraId="4C8DB674">
                  <w:pPr>
                    <w:pStyle w:val="160"/>
                    <w:keepNext w:val="0"/>
                    <w:widowControl/>
                    <w:snapToGrid w:val="0"/>
                    <w:spacing w:after="0" w:line="240" w:lineRule="auto"/>
                    <w:ind w:firstLine="0" w:firstLineChars="0"/>
                    <w:rPr>
                      <w:i/>
                      <w:szCs w:val="21"/>
                    </w:rPr>
                  </w:pPr>
                  <w:r>
                    <w:rPr>
                      <w:rFonts w:hint="eastAsia" w:hAnsi="Times New Roman" w:eastAsia="宋体"/>
                      <w:i w:val="0"/>
                      <w:iCs/>
                      <w:szCs w:val="21"/>
                    </w:rPr>
                    <w:t>30</w:t>
                  </w:r>
                </w:p>
              </w:tc>
              <w:tc>
                <w:tcPr>
                  <w:tcW w:w="1489" w:type="pct"/>
                  <w:vMerge w:val="restart"/>
                  <w:noWrap w:val="0"/>
                  <w:vAlign w:val="center"/>
                </w:tcPr>
                <w:p w14:paraId="4A7B019E">
                  <w:pPr>
                    <w:pStyle w:val="160"/>
                    <w:keepNext w:val="0"/>
                    <w:widowControl/>
                    <w:spacing w:after="0" w:line="240" w:lineRule="auto"/>
                    <w:ind w:firstLine="210"/>
                    <w:rPr>
                      <w:rFonts w:eastAsia="宋体"/>
                      <w:szCs w:val="21"/>
                    </w:rPr>
                  </w:pPr>
                  <w:r>
                    <w:rPr>
                      <w:rFonts w:hint="eastAsia" w:eastAsia="宋体"/>
                      <w:szCs w:val="21"/>
                    </w:rPr>
                    <w:t>收集后外售</w:t>
                  </w:r>
                </w:p>
              </w:tc>
            </w:tr>
            <w:tr w14:paraId="50CB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vMerge w:val="continue"/>
                  <w:noWrap w:val="0"/>
                  <w:vAlign w:val="center"/>
                </w:tcPr>
                <w:p w14:paraId="70BAF383">
                  <w:pPr>
                    <w:widowControl/>
                    <w:jc w:val="left"/>
                    <w:rPr>
                      <w:szCs w:val="21"/>
                    </w:rPr>
                  </w:pPr>
                </w:p>
              </w:tc>
              <w:tc>
                <w:tcPr>
                  <w:tcW w:w="1278" w:type="pct"/>
                  <w:noWrap w:val="0"/>
                  <w:vAlign w:val="center"/>
                </w:tcPr>
                <w:p w14:paraId="3D167F6A">
                  <w:pPr>
                    <w:jc w:val="center"/>
                    <w:rPr>
                      <w:szCs w:val="21"/>
                    </w:rPr>
                  </w:pPr>
                  <w:r>
                    <w:rPr>
                      <w:rFonts w:hint="eastAsia"/>
                    </w:rPr>
                    <w:t>废布袋</w:t>
                  </w:r>
                </w:p>
              </w:tc>
              <w:tc>
                <w:tcPr>
                  <w:tcW w:w="1166" w:type="pct"/>
                  <w:noWrap w:val="0"/>
                  <w:vAlign w:val="center"/>
                </w:tcPr>
                <w:p w14:paraId="09D70AE6">
                  <w:pPr>
                    <w:pStyle w:val="160"/>
                    <w:keepNext w:val="0"/>
                    <w:widowControl/>
                    <w:snapToGrid w:val="0"/>
                    <w:spacing w:after="0" w:line="240" w:lineRule="auto"/>
                    <w:ind w:firstLine="0" w:firstLineChars="0"/>
                    <w:rPr>
                      <w:szCs w:val="21"/>
                    </w:rPr>
                  </w:pPr>
                  <w:r>
                    <w:rPr>
                      <w:rFonts w:hint="eastAsia" w:hAnsi="Times New Roman" w:eastAsia="宋体"/>
                      <w:szCs w:val="21"/>
                    </w:rPr>
                    <w:t>0.2</w:t>
                  </w:r>
                </w:p>
              </w:tc>
              <w:tc>
                <w:tcPr>
                  <w:tcW w:w="1489" w:type="pct"/>
                  <w:vMerge w:val="continue"/>
                  <w:noWrap w:val="0"/>
                  <w:vAlign w:val="center"/>
                </w:tcPr>
                <w:p w14:paraId="7C42CDC1">
                  <w:pPr>
                    <w:pStyle w:val="160"/>
                    <w:keepNext w:val="0"/>
                    <w:widowControl/>
                    <w:spacing w:after="0" w:line="240" w:lineRule="auto"/>
                    <w:ind w:firstLine="210"/>
                    <w:rPr>
                      <w:szCs w:val="21"/>
                    </w:rPr>
                  </w:pPr>
                </w:p>
              </w:tc>
            </w:tr>
            <w:tr w14:paraId="6326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vMerge w:val="continue"/>
                  <w:noWrap w:val="0"/>
                  <w:vAlign w:val="center"/>
                </w:tcPr>
                <w:p w14:paraId="612FF457">
                  <w:pPr>
                    <w:widowControl/>
                    <w:jc w:val="left"/>
                    <w:rPr>
                      <w:szCs w:val="21"/>
                    </w:rPr>
                  </w:pPr>
                </w:p>
              </w:tc>
              <w:tc>
                <w:tcPr>
                  <w:tcW w:w="1278" w:type="pct"/>
                  <w:noWrap w:val="0"/>
                  <w:vAlign w:val="center"/>
                </w:tcPr>
                <w:p w14:paraId="4FD9F84C">
                  <w:pPr>
                    <w:jc w:val="center"/>
                    <w:rPr>
                      <w:rFonts w:hint="eastAsia" w:ascii="宋体" w:hAnsi="宋体" w:cs="宋体"/>
                      <w:szCs w:val="21"/>
                    </w:rPr>
                  </w:pPr>
                  <w:r>
                    <w:t>除尘器收集的粉尘</w:t>
                  </w:r>
                </w:p>
              </w:tc>
              <w:tc>
                <w:tcPr>
                  <w:tcW w:w="1166" w:type="pct"/>
                  <w:noWrap w:val="0"/>
                  <w:vAlign w:val="center"/>
                </w:tcPr>
                <w:p w14:paraId="127ECC67">
                  <w:pPr>
                    <w:pStyle w:val="160"/>
                    <w:keepNext w:val="0"/>
                    <w:widowControl/>
                    <w:snapToGrid w:val="0"/>
                    <w:spacing w:after="0" w:line="240" w:lineRule="auto"/>
                    <w:ind w:firstLine="0" w:firstLineChars="0"/>
                    <w:rPr>
                      <w:rFonts w:hint="default" w:eastAsia="宋体"/>
                      <w:szCs w:val="21"/>
                      <w:lang w:val="en-US" w:eastAsia="zh-CN"/>
                    </w:rPr>
                  </w:pPr>
                  <w:r>
                    <w:rPr>
                      <w:rFonts w:hint="eastAsia" w:hAnsi="Times New Roman" w:eastAsia="宋体"/>
                      <w:szCs w:val="21"/>
                      <w:lang w:val="en-US" w:eastAsia="zh-CN"/>
                    </w:rPr>
                    <w:t>35</w:t>
                  </w:r>
                </w:p>
              </w:tc>
              <w:tc>
                <w:tcPr>
                  <w:tcW w:w="1489" w:type="pct"/>
                  <w:vMerge w:val="restart"/>
                  <w:noWrap w:val="0"/>
                  <w:vAlign w:val="center"/>
                </w:tcPr>
                <w:p w14:paraId="7F6316CB">
                  <w:pPr>
                    <w:pStyle w:val="160"/>
                    <w:keepNext w:val="0"/>
                    <w:widowControl/>
                    <w:spacing w:after="0" w:line="240" w:lineRule="auto"/>
                    <w:ind w:firstLine="210"/>
                    <w:rPr>
                      <w:szCs w:val="21"/>
                    </w:rPr>
                  </w:pPr>
                  <w:r>
                    <w:rPr>
                      <w:rFonts w:hint="eastAsia" w:eastAsia="宋体"/>
                      <w:szCs w:val="21"/>
                    </w:rPr>
                    <w:t>收集后</w:t>
                  </w:r>
                  <w:r>
                    <w:rPr>
                      <w:szCs w:val="21"/>
                    </w:rPr>
                    <w:t>回用于生产</w:t>
                  </w:r>
                </w:p>
              </w:tc>
            </w:tr>
            <w:tr w14:paraId="77D6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vMerge w:val="continue"/>
                  <w:noWrap w:val="0"/>
                  <w:vAlign w:val="center"/>
                </w:tcPr>
                <w:p w14:paraId="703C2F0F">
                  <w:pPr>
                    <w:widowControl/>
                    <w:jc w:val="left"/>
                    <w:rPr>
                      <w:szCs w:val="21"/>
                    </w:rPr>
                  </w:pPr>
                </w:p>
              </w:tc>
              <w:tc>
                <w:tcPr>
                  <w:tcW w:w="1278" w:type="pct"/>
                  <w:noWrap w:val="0"/>
                  <w:vAlign w:val="center"/>
                </w:tcPr>
                <w:p w14:paraId="0C9DB2A6">
                  <w:pPr>
                    <w:jc w:val="center"/>
                    <w:rPr>
                      <w:rFonts w:hint="eastAsia" w:ascii="宋体" w:hAnsi="宋体" w:cs="宋体"/>
                      <w:color w:val="000000"/>
                      <w:szCs w:val="21"/>
                      <w:highlight w:val="none"/>
                    </w:rPr>
                  </w:pPr>
                  <w:r>
                    <w:rPr>
                      <w:color w:val="000000"/>
                      <w:highlight w:val="none"/>
                    </w:rPr>
                    <w:t>脱硫废渣</w:t>
                  </w:r>
                </w:p>
              </w:tc>
              <w:tc>
                <w:tcPr>
                  <w:tcW w:w="1166" w:type="pct"/>
                  <w:noWrap w:val="0"/>
                  <w:vAlign w:val="center"/>
                </w:tcPr>
                <w:p w14:paraId="587A43E4">
                  <w:pPr>
                    <w:pStyle w:val="160"/>
                    <w:keepNext w:val="0"/>
                    <w:widowControl/>
                    <w:snapToGrid w:val="0"/>
                    <w:spacing w:after="0" w:line="240" w:lineRule="auto"/>
                    <w:ind w:firstLine="0" w:firstLineChars="0"/>
                    <w:rPr>
                      <w:rFonts w:hint="eastAsia"/>
                      <w:color w:val="000000"/>
                      <w:szCs w:val="21"/>
                      <w:highlight w:val="none"/>
                    </w:rPr>
                  </w:pPr>
                  <w:r>
                    <w:rPr>
                      <w:rFonts w:hint="eastAsia" w:hAnsi="Times New Roman" w:eastAsia="宋体"/>
                      <w:color w:val="000000"/>
                      <w:szCs w:val="21"/>
                      <w:highlight w:val="none"/>
                      <w:lang w:val="en-US" w:eastAsia="zh-CN"/>
                    </w:rPr>
                    <w:t>22</w:t>
                  </w:r>
                  <w:r>
                    <w:rPr>
                      <w:rFonts w:hAnsi="Times New Roman" w:eastAsia="宋体"/>
                      <w:color w:val="000000"/>
                      <w:szCs w:val="21"/>
                      <w:highlight w:val="none"/>
                    </w:rPr>
                    <w:t>00</w:t>
                  </w:r>
                </w:p>
              </w:tc>
              <w:tc>
                <w:tcPr>
                  <w:tcW w:w="1489" w:type="pct"/>
                  <w:vMerge w:val="continue"/>
                  <w:noWrap w:val="0"/>
                  <w:vAlign w:val="center"/>
                </w:tcPr>
                <w:p w14:paraId="13061CC4">
                  <w:pPr>
                    <w:pStyle w:val="160"/>
                    <w:keepNext w:val="0"/>
                    <w:widowControl/>
                    <w:spacing w:after="0" w:line="240" w:lineRule="auto"/>
                    <w:ind w:firstLine="210"/>
                    <w:rPr>
                      <w:szCs w:val="21"/>
                    </w:rPr>
                  </w:pPr>
                </w:p>
              </w:tc>
            </w:tr>
            <w:tr w14:paraId="2B0E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vMerge w:val="continue"/>
                  <w:noWrap w:val="0"/>
                  <w:vAlign w:val="center"/>
                </w:tcPr>
                <w:p w14:paraId="6C880776">
                  <w:pPr>
                    <w:widowControl/>
                    <w:jc w:val="left"/>
                    <w:rPr>
                      <w:szCs w:val="21"/>
                    </w:rPr>
                  </w:pPr>
                </w:p>
              </w:tc>
              <w:tc>
                <w:tcPr>
                  <w:tcW w:w="1278" w:type="pct"/>
                  <w:noWrap w:val="0"/>
                  <w:vAlign w:val="center"/>
                </w:tcPr>
                <w:p w14:paraId="56809FD4">
                  <w:pPr>
                    <w:jc w:val="center"/>
                    <w:rPr>
                      <w:color w:val="000000"/>
                      <w:szCs w:val="21"/>
                      <w:highlight w:val="none"/>
                    </w:rPr>
                  </w:pPr>
                  <w:r>
                    <w:rPr>
                      <w:rFonts w:hint="eastAsia"/>
                      <w:color w:val="000000"/>
                      <w:highlight w:val="none"/>
                    </w:rPr>
                    <w:t>湿电除尘沉渣</w:t>
                  </w:r>
                </w:p>
              </w:tc>
              <w:tc>
                <w:tcPr>
                  <w:tcW w:w="1166" w:type="pct"/>
                  <w:noWrap w:val="0"/>
                  <w:vAlign w:val="center"/>
                </w:tcPr>
                <w:p w14:paraId="2BDDA81D">
                  <w:pPr>
                    <w:pStyle w:val="160"/>
                    <w:keepNext w:val="0"/>
                    <w:widowControl/>
                    <w:snapToGrid w:val="0"/>
                    <w:spacing w:after="0" w:line="240" w:lineRule="auto"/>
                    <w:ind w:firstLine="0" w:firstLineChars="0"/>
                    <w:rPr>
                      <w:rFonts w:hint="eastAsia" w:eastAsia="宋体"/>
                      <w:color w:val="000000"/>
                      <w:szCs w:val="21"/>
                      <w:highlight w:val="none"/>
                      <w:lang w:val="en-US" w:eastAsia="zh-CN"/>
                    </w:rPr>
                  </w:pPr>
                  <w:r>
                    <w:rPr>
                      <w:rFonts w:hint="eastAsia" w:hAnsi="Times New Roman" w:eastAsia="宋体"/>
                      <w:color w:val="000000"/>
                      <w:szCs w:val="21"/>
                      <w:highlight w:val="none"/>
                    </w:rPr>
                    <w:t>15</w:t>
                  </w:r>
                  <w:r>
                    <w:rPr>
                      <w:rFonts w:hint="eastAsia" w:hAnsi="Times New Roman" w:eastAsia="宋体"/>
                      <w:color w:val="000000"/>
                      <w:szCs w:val="21"/>
                      <w:highlight w:val="none"/>
                      <w:lang w:val="en-US" w:eastAsia="zh-CN"/>
                    </w:rPr>
                    <w:t>0</w:t>
                  </w:r>
                </w:p>
              </w:tc>
              <w:tc>
                <w:tcPr>
                  <w:tcW w:w="1489" w:type="pct"/>
                  <w:vMerge w:val="continue"/>
                  <w:noWrap w:val="0"/>
                  <w:vAlign w:val="center"/>
                </w:tcPr>
                <w:p w14:paraId="41EE2AB8">
                  <w:pPr>
                    <w:pStyle w:val="160"/>
                    <w:keepNext w:val="0"/>
                    <w:widowControl/>
                    <w:spacing w:after="0" w:line="240" w:lineRule="auto"/>
                    <w:ind w:firstLine="210"/>
                    <w:rPr>
                      <w:szCs w:val="21"/>
                    </w:rPr>
                  </w:pPr>
                </w:p>
              </w:tc>
            </w:tr>
            <w:tr w14:paraId="3CA0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64" w:type="pct"/>
                  <w:vMerge w:val="continue"/>
                  <w:noWrap w:val="0"/>
                  <w:vAlign w:val="center"/>
                </w:tcPr>
                <w:p w14:paraId="6794DADF">
                  <w:pPr>
                    <w:widowControl/>
                    <w:jc w:val="left"/>
                    <w:rPr>
                      <w:szCs w:val="21"/>
                    </w:rPr>
                  </w:pPr>
                </w:p>
              </w:tc>
              <w:tc>
                <w:tcPr>
                  <w:tcW w:w="1278" w:type="pct"/>
                  <w:noWrap w:val="0"/>
                  <w:vAlign w:val="center"/>
                </w:tcPr>
                <w:p w14:paraId="6A845F61">
                  <w:pPr>
                    <w:jc w:val="center"/>
                    <w:rPr>
                      <w:rFonts w:hint="eastAsia" w:ascii="宋体" w:hAnsi="宋体" w:cs="宋体"/>
                      <w:szCs w:val="21"/>
                    </w:rPr>
                  </w:pPr>
                  <w:r>
                    <w:rPr>
                      <w:rFonts w:hint="eastAsia"/>
                    </w:rPr>
                    <w:t>废机油</w:t>
                  </w:r>
                </w:p>
              </w:tc>
              <w:tc>
                <w:tcPr>
                  <w:tcW w:w="1166" w:type="pct"/>
                  <w:noWrap w:val="0"/>
                  <w:vAlign w:val="center"/>
                </w:tcPr>
                <w:p w14:paraId="2BE5BB42">
                  <w:pPr>
                    <w:pStyle w:val="160"/>
                    <w:keepNext w:val="0"/>
                    <w:widowControl/>
                    <w:snapToGrid w:val="0"/>
                    <w:spacing w:after="0" w:line="240" w:lineRule="auto"/>
                    <w:ind w:firstLine="0" w:firstLineChars="0"/>
                    <w:rPr>
                      <w:rFonts w:hint="eastAsia"/>
                      <w:szCs w:val="21"/>
                    </w:rPr>
                  </w:pPr>
                  <w:r>
                    <w:rPr>
                      <w:rFonts w:hint="eastAsia" w:hAnsi="Times New Roman" w:eastAsia="宋体"/>
                      <w:szCs w:val="21"/>
                    </w:rPr>
                    <w:t>0.25</w:t>
                  </w:r>
                </w:p>
              </w:tc>
              <w:tc>
                <w:tcPr>
                  <w:tcW w:w="1489" w:type="pct"/>
                  <w:vMerge w:val="restart"/>
                  <w:noWrap w:val="0"/>
                  <w:vAlign w:val="center"/>
                </w:tcPr>
                <w:p w14:paraId="4EC2A289">
                  <w:pPr>
                    <w:pStyle w:val="160"/>
                    <w:keepNext w:val="0"/>
                    <w:widowControl/>
                    <w:spacing w:after="0" w:line="240" w:lineRule="auto"/>
                    <w:ind w:firstLine="210"/>
                    <w:rPr>
                      <w:rFonts w:eastAsia="宋体"/>
                      <w:szCs w:val="21"/>
                    </w:rPr>
                  </w:pPr>
                  <w:r>
                    <w:rPr>
                      <w:rFonts w:hint="eastAsia" w:eastAsia="宋体"/>
                      <w:szCs w:val="21"/>
                    </w:rPr>
                    <w:t>收集暂存由有资质单位清运</w:t>
                  </w:r>
                </w:p>
              </w:tc>
            </w:tr>
            <w:tr w14:paraId="37A0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64" w:type="pct"/>
                  <w:vMerge w:val="continue"/>
                  <w:noWrap w:val="0"/>
                  <w:vAlign w:val="center"/>
                </w:tcPr>
                <w:p w14:paraId="519E7AC1">
                  <w:pPr>
                    <w:widowControl/>
                    <w:jc w:val="left"/>
                    <w:rPr>
                      <w:szCs w:val="21"/>
                    </w:rPr>
                  </w:pPr>
                </w:p>
              </w:tc>
              <w:tc>
                <w:tcPr>
                  <w:tcW w:w="1278" w:type="pct"/>
                  <w:noWrap w:val="0"/>
                  <w:vAlign w:val="center"/>
                </w:tcPr>
                <w:p w14:paraId="37CF7973">
                  <w:pPr>
                    <w:jc w:val="center"/>
                    <w:rPr>
                      <w:rFonts w:hint="eastAsia" w:ascii="宋体" w:hAnsi="宋体" w:cs="宋体"/>
                      <w:szCs w:val="21"/>
                    </w:rPr>
                  </w:pPr>
                  <w:r>
                    <w:rPr>
                      <w:rFonts w:hint="eastAsia"/>
                    </w:rPr>
                    <w:t>废机油桶</w:t>
                  </w:r>
                </w:p>
              </w:tc>
              <w:tc>
                <w:tcPr>
                  <w:tcW w:w="1166" w:type="pct"/>
                  <w:noWrap w:val="0"/>
                  <w:vAlign w:val="center"/>
                </w:tcPr>
                <w:p w14:paraId="5784A182">
                  <w:pPr>
                    <w:pStyle w:val="160"/>
                    <w:keepNext w:val="0"/>
                    <w:widowControl/>
                    <w:snapToGrid w:val="0"/>
                    <w:spacing w:after="0" w:line="240" w:lineRule="auto"/>
                    <w:ind w:firstLine="0" w:firstLineChars="0"/>
                    <w:rPr>
                      <w:szCs w:val="21"/>
                    </w:rPr>
                  </w:pPr>
                  <w:r>
                    <w:rPr>
                      <w:rFonts w:hint="eastAsia" w:hAnsi="Times New Roman" w:eastAsia="宋体"/>
                      <w:szCs w:val="21"/>
                    </w:rPr>
                    <w:t>0.05</w:t>
                  </w:r>
                </w:p>
              </w:tc>
              <w:tc>
                <w:tcPr>
                  <w:tcW w:w="1489" w:type="pct"/>
                  <w:vMerge w:val="continue"/>
                  <w:noWrap w:val="0"/>
                  <w:vAlign w:val="center"/>
                </w:tcPr>
                <w:p w14:paraId="1C2162F9">
                  <w:pPr>
                    <w:pStyle w:val="160"/>
                    <w:keepNext w:val="0"/>
                    <w:widowControl/>
                    <w:spacing w:after="0" w:line="240" w:lineRule="auto"/>
                    <w:ind w:firstLine="210"/>
                    <w:rPr>
                      <w:szCs w:val="21"/>
                    </w:rPr>
                  </w:pPr>
                </w:p>
              </w:tc>
            </w:tr>
            <w:tr w14:paraId="6C9D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64" w:type="pct"/>
                  <w:noWrap w:val="0"/>
                  <w:vAlign w:val="center"/>
                </w:tcPr>
                <w:p w14:paraId="02F4CFB4">
                  <w:pPr>
                    <w:pStyle w:val="160"/>
                    <w:keepNext w:val="0"/>
                    <w:widowControl/>
                    <w:spacing w:after="0" w:line="240" w:lineRule="auto"/>
                    <w:ind w:firstLine="210"/>
                    <w:rPr>
                      <w:szCs w:val="21"/>
                    </w:rPr>
                  </w:pPr>
                  <w:r>
                    <w:rPr>
                      <w:szCs w:val="21"/>
                    </w:rPr>
                    <w:t>生活固废</w:t>
                  </w:r>
                </w:p>
              </w:tc>
              <w:tc>
                <w:tcPr>
                  <w:tcW w:w="1278" w:type="pct"/>
                  <w:noWrap w:val="0"/>
                  <w:vAlign w:val="center"/>
                </w:tcPr>
                <w:p w14:paraId="5C8182F6">
                  <w:pPr>
                    <w:pStyle w:val="160"/>
                    <w:keepNext w:val="0"/>
                    <w:widowControl/>
                    <w:spacing w:after="0" w:line="240" w:lineRule="auto"/>
                    <w:ind w:firstLine="210"/>
                    <w:rPr>
                      <w:szCs w:val="21"/>
                    </w:rPr>
                  </w:pPr>
                  <w:r>
                    <w:rPr>
                      <w:szCs w:val="21"/>
                    </w:rPr>
                    <w:t>生活垃圾</w:t>
                  </w:r>
                </w:p>
              </w:tc>
              <w:tc>
                <w:tcPr>
                  <w:tcW w:w="1166" w:type="pct"/>
                  <w:noWrap w:val="0"/>
                  <w:vAlign w:val="center"/>
                </w:tcPr>
                <w:p w14:paraId="01C9AFB5">
                  <w:pPr>
                    <w:pStyle w:val="160"/>
                    <w:keepNext w:val="0"/>
                    <w:widowControl/>
                    <w:spacing w:after="0" w:line="240" w:lineRule="auto"/>
                    <w:ind w:firstLine="210"/>
                    <w:rPr>
                      <w:szCs w:val="21"/>
                    </w:rPr>
                  </w:pPr>
                  <w:r>
                    <w:rPr>
                      <w:rFonts w:hint="eastAsia"/>
                      <w:szCs w:val="21"/>
                    </w:rPr>
                    <w:t>3</w:t>
                  </w:r>
                </w:p>
              </w:tc>
              <w:tc>
                <w:tcPr>
                  <w:tcW w:w="1489" w:type="pct"/>
                  <w:noWrap w:val="0"/>
                  <w:vAlign w:val="center"/>
                </w:tcPr>
                <w:p w14:paraId="218D25B7">
                  <w:pPr>
                    <w:pStyle w:val="160"/>
                    <w:keepNext w:val="0"/>
                    <w:widowControl/>
                    <w:spacing w:after="0" w:line="240" w:lineRule="auto"/>
                    <w:ind w:firstLine="210"/>
                    <w:rPr>
                      <w:szCs w:val="21"/>
                    </w:rPr>
                  </w:pPr>
                  <w:r>
                    <w:rPr>
                      <w:szCs w:val="21"/>
                    </w:rPr>
                    <w:t>环卫部门清运</w:t>
                  </w:r>
                </w:p>
              </w:tc>
            </w:tr>
          </w:tbl>
          <w:p w14:paraId="5CDA8BB1">
            <w:pPr>
              <w:spacing w:line="480" w:lineRule="exact"/>
              <w:ind w:firstLine="480" w:firstLineChars="200"/>
              <w:rPr>
                <w:rFonts w:hint="eastAsia" w:ascii="宋体" w:hAnsi="宋体" w:cs="宋体"/>
                <w:sz w:val="24"/>
              </w:rPr>
            </w:pPr>
          </w:p>
          <w:p w14:paraId="416DDA07">
            <w:pPr>
              <w:spacing w:line="480" w:lineRule="exact"/>
              <w:ind w:firstLine="480" w:firstLineChars="200"/>
              <w:rPr>
                <w:color w:val="000000"/>
                <w:sz w:val="24"/>
                <w:highlight w:val="none"/>
              </w:rPr>
            </w:pPr>
            <w:r>
              <w:rPr>
                <w:color w:val="000000"/>
                <w:sz w:val="24"/>
                <w:highlight w:val="none"/>
              </w:rPr>
              <w:t>④噪声</w:t>
            </w:r>
          </w:p>
          <w:p w14:paraId="08F3ACD3">
            <w:pPr>
              <w:spacing w:line="480" w:lineRule="exact"/>
              <w:ind w:firstLine="480" w:firstLineChars="200"/>
              <w:rPr>
                <w:rFonts w:hint="eastAsia" w:ascii="黑体" w:hAnsi="黑体" w:eastAsia="黑体" w:cs="黑体"/>
                <w:color w:val="000000"/>
                <w:sz w:val="24"/>
                <w:highlight w:val="none"/>
              </w:rPr>
            </w:pPr>
            <w:r>
              <w:rPr>
                <w:color w:val="000000"/>
                <w:sz w:val="24"/>
                <w:highlight w:val="none"/>
              </w:rPr>
              <w:t>根据2025年9月20日噪声检测结果，厂界昼间、夜间噪声均满足《工业企业厂界环境噪声排放标准》(GB12348-2008)中2类标准要求。</w:t>
            </w:r>
            <w:r>
              <w:rPr>
                <w:rFonts w:hint="eastAsia"/>
                <w:color w:val="000000"/>
                <w:sz w:val="24"/>
                <w:highlight w:val="none"/>
                <w:lang w:val="en-US" w:eastAsia="zh-CN"/>
              </w:rPr>
              <w:t>现有</w:t>
            </w:r>
            <w:r>
              <w:rPr>
                <w:color w:val="000000"/>
                <w:sz w:val="24"/>
                <w:highlight w:val="none"/>
              </w:rPr>
              <w:t>工程厂界噪声监测结果表见下表：</w:t>
            </w:r>
          </w:p>
          <w:p w14:paraId="26D368EC">
            <w:pPr>
              <w:spacing w:line="480" w:lineRule="exact"/>
              <w:jc w:val="center"/>
              <w:rPr>
                <w:rFonts w:hint="eastAsia" w:ascii="黑体" w:hAnsi="黑体" w:eastAsia="黑体" w:cs="黑体"/>
                <w:color w:val="000000"/>
                <w:sz w:val="24"/>
                <w:highlight w:val="none"/>
              </w:rPr>
            </w:pPr>
            <w:r>
              <w:rPr>
                <w:rFonts w:hint="eastAsia" w:ascii="黑体" w:hAnsi="黑体" w:eastAsia="黑体" w:cs="黑体"/>
                <w:color w:val="000000"/>
                <w:sz w:val="24"/>
                <w:highlight w:val="none"/>
              </w:rPr>
              <w:t xml:space="preserve">表2-15 </w:t>
            </w:r>
            <w:r>
              <w:rPr>
                <w:rFonts w:hint="eastAsia" w:ascii="黑体" w:hAnsi="黑体" w:eastAsia="黑体" w:cs="黑体"/>
                <w:color w:val="000000"/>
                <w:sz w:val="24"/>
                <w:highlight w:val="none"/>
                <w:lang w:val="en-US" w:eastAsia="zh-CN"/>
              </w:rPr>
              <w:t>现有</w:t>
            </w:r>
            <w:r>
              <w:rPr>
                <w:rFonts w:hint="eastAsia" w:ascii="黑体" w:hAnsi="黑体" w:eastAsia="黑体" w:cs="黑体"/>
                <w:color w:val="000000"/>
                <w:sz w:val="24"/>
                <w:highlight w:val="none"/>
              </w:rPr>
              <w:t>工程厂界噪声监测表</w:t>
            </w:r>
          </w:p>
          <w:tbl>
            <w:tblPr>
              <w:tblStyle w:val="38"/>
              <w:tblW w:w="8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621"/>
              <w:gridCol w:w="1392"/>
              <w:gridCol w:w="695"/>
              <w:gridCol w:w="697"/>
              <w:gridCol w:w="696"/>
              <w:gridCol w:w="698"/>
              <w:gridCol w:w="1394"/>
            </w:tblGrid>
            <w:tr w14:paraId="632D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63" w:type="dxa"/>
                  <w:vMerge w:val="restart"/>
                  <w:noWrap w:val="0"/>
                  <w:vAlign w:val="center"/>
                </w:tcPr>
                <w:p w14:paraId="295BED98">
                  <w:pPr>
                    <w:pStyle w:val="14"/>
                    <w:spacing w:after="0"/>
                    <w:ind w:left="0" w:leftChars="0"/>
                    <w:jc w:val="center"/>
                    <w:rPr>
                      <w:rFonts w:hint="eastAsia"/>
                      <w:sz w:val="21"/>
                      <w:szCs w:val="21"/>
                    </w:rPr>
                  </w:pPr>
                  <w:r>
                    <w:rPr>
                      <w:rFonts w:hint="eastAsia"/>
                      <w:sz w:val="21"/>
                      <w:szCs w:val="21"/>
                    </w:rPr>
                    <w:t>监测时间</w:t>
                  </w:r>
                </w:p>
              </w:tc>
              <w:tc>
                <w:tcPr>
                  <w:tcW w:w="1621" w:type="dxa"/>
                  <w:vMerge w:val="restart"/>
                  <w:noWrap w:val="0"/>
                  <w:vAlign w:val="center"/>
                </w:tcPr>
                <w:p w14:paraId="2518A58B">
                  <w:pPr>
                    <w:pStyle w:val="14"/>
                    <w:spacing w:after="0"/>
                    <w:ind w:left="0" w:leftChars="0"/>
                    <w:jc w:val="center"/>
                    <w:rPr>
                      <w:rFonts w:hint="eastAsia"/>
                      <w:sz w:val="21"/>
                      <w:szCs w:val="21"/>
                    </w:rPr>
                  </w:pPr>
                  <w:r>
                    <w:rPr>
                      <w:rFonts w:hint="eastAsia"/>
                      <w:sz w:val="21"/>
                      <w:szCs w:val="21"/>
                    </w:rPr>
                    <w:t>监测点名称</w:t>
                  </w:r>
                </w:p>
              </w:tc>
              <w:tc>
                <w:tcPr>
                  <w:tcW w:w="1392" w:type="dxa"/>
                  <w:vMerge w:val="restart"/>
                  <w:noWrap w:val="0"/>
                  <w:vAlign w:val="center"/>
                </w:tcPr>
                <w:p w14:paraId="477B168E">
                  <w:pPr>
                    <w:pStyle w:val="14"/>
                    <w:spacing w:after="0"/>
                    <w:ind w:left="0" w:leftChars="0"/>
                    <w:jc w:val="center"/>
                    <w:rPr>
                      <w:rFonts w:hint="eastAsia"/>
                      <w:sz w:val="21"/>
                      <w:szCs w:val="21"/>
                    </w:rPr>
                  </w:pPr>
                  <w:r>
                    <w:rPr>
                      <w:rFonts w:hint="eastAsia"/>
                      <w:sz w:val="21"/>
                      <w:szCs w:val="21"/>
                    </w:rPr>
                    <w:t>监测内容</w:t>
                  </w:r>
                </w:p>
              </w:tc>
              <w:tc>
                <w:tcPr>
                  <w:tcW w:w="1392" w:type="dxa"/>
                  <w:gridSpan w:val="2"/>
                  <w:noWrap w:val="0"/>
                  <w:vAlign w:val="center"/>
                </w:tcPr>
                <w:p w14:paraId="3A10CDFA">
                  <w:pPr>
                    <w:pStyle w:val="14"/>
                    <w:spacing w:after="0"/>
                    <w:ind w:left="0" w:leftChars="0"/>
                    <w:jc w:val="center"/>
                    <w:rPr>
                      <w:rFonts w:hint="eastAsia"/>
                      <w:sz w:val="21"/>
                      <w:szCs w:val="21"/>
                    </w:rPr>
                  </w:pPr>
                  <w:r>
                    <w:rPr>
                      <w:rFonts w:hint="eastAsia"/>
                      <w:sz w:val="21"/>
                      <w:szCs w:val="21"/>
                    </w:rPr>
                    <w:t>监测结果</w:t>
                  </w:r>
                </w:p>
              </w:tc>
              <w:tc>
                <w:tcPr>
                  <w:tcW w:w="1394" w:type="dxa"/>
                  <w:gridSpan w:val="2"/>
                  <w:noWrap w:val="0"/>
                  <w:vAlign w:val="center"/>
                </w:tcPr>
                <w:p w14:paraId="1EA79599">
                  <w:pPr>
                    <w:pStyle w:val="14"/>
                    <w:spacing w:after="0"/>
                    <w:ind w:left="0" w:leftChars="0"/>
                    <w:jc w:val="center"/>
                    <w:rPr>
                      <w:rFonts w:hint="eastAsia"/>
                      <w:sz w:val="21"/>
                      <w:szCs w:val="21"/>
                    </w:rPr>
                  </w:pPr>
                  <w:r>
                    <w:rPr>
                      <w:rFonts w:hint="eastAsia"/>
                      <w:sz w:val="21"/>
                      <w:szCs w:val="21"/>
                    </w:rPr>
                    <w:t>标准要求</w:t>
                  </w:r>
                </w:p>
              </w:tc>
              <w:tc>
                <w:tcPr>
                  <w:tcW w:w="1394" w:type="dxa"/>
                  <w:vMerge w:val="restart"/>
                  <w:noWrap w:val="0"/>
                  <w:vAlign w:val="center"/>
                </w:tcPr>
                <w:p w14:paraId="27392A3B">
                  <w:pPr>
                    <w:pStyle w:val="14"/>
                    <w:spacing w:after="0"/>
                    <w:ind w:left="0" w:leftChars="0"/>
                    <w:jc w:val="center"/>
                    <w:rPr>
                      <w:rFonts w:hint="eastAsia"/>
                      <w:sz w:val="21"/>
                      <w:szCs w:val="21"/>
                    </w:rPr>
                  </w:pPr>
                  <w:r>
                    <w:rPr>
                      <w:rFonts w:hint="eastAsia"/>
                      <w:sz w:val="21"/>
                      <w:szCs w:val="21"/>
                    </w:rPr>
                    <w:t>达标情况</w:t>
                  </w:r>
                </w:p>
              </w:tc>
            </w:tr>
            <w:tr w14:paraId="6998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63" w:type="dxa"/>
                  <w:vMerge w:val="continue"/>
                  <w:noWrap w:val="0"/>
                  <w:vAlign w:val="center"/>
                </w:tcPr>
                <w:p w14:paraId="3A15AB79">
                  <w:pPr>
                    <w:pStyle w:val="14"/>
                    <w:spacing w:after="0"/>
                    <w:ind w:left="0" w:leftChars="0"/>
                    <w:jc w:val="center"/>
                  </w:pPr>
                </w:p>
              </w:tc>
              <w:tc>
                <w:tcPr>
                  <w:tcW w:w="1621" w:type="dxa"/>
                  <w:vMerge w:val="continue"/>
                  <w:noWrap w:val="0"/>
                  <w:vAlign w:val="center"/>
                </w:tcPr>
                <w:p w14:paraId="68514DEA">
                  <w:pPr>
                    <w:pStyle w:val="14"/>
                    <w:spacing w:after="0"/>
                    <w:ind w:left="0" w:leftChars="0"/>
                    <w:jc w:val="center"/>
                    <w:rPr>
                      <w:rFonts w:hint="eastAsia"/>
                      <w:sz w:val="21"/>
                      <w:szCs w:val="21"/>
                    </w:rPr>
                  </w:pPr>
                </w:p>
              </w:tc>
              <w:tc>
                <w:tcPr>
                  <w:tcW w:w="1392" w:type="dxa"/>
                  <w:vMerge w:val="continue"/>
                  <w:noWrap w:val="0"/>
                  <w:vAlign w:val="center"/>
                </w:tcPr>
                <w:p w14:paraId="4AFCE3ED">
                  <w:pPr>
                    <w:pStyle w:val="14"/>
                    <w:spacing w:after="0"/>
                    <w:ind w:left="0" w:leftChars="0"/>
                    <w:jc w:val="center"/>
                    <w:rPr>
                      <w:rFonts w:hint="eastAsia"/>
                      <w:sz w:val="21"/>
                      <w:szCs w:val="21"/>
                    </w:rPr>
                  </w:pPr>
                </w:p>
              </w:tc>
              <w:tc>
                <w:tcPr>
                  <w:tcW w:w="695" w:type="dxa"/>
                  <w:noWrap w:val="0"/>
                  <w:vAlign w:val="center"/>
                </w:tcPr>
                <w:p w14:paraId="193969FE">
                  <w:pPr>
                    <w:pStyle w:val="14"/>
                    <w:spacing w:after="0"/>
                    <w:ind w:left="0" w:leftChars="0"/>
                    <w:jc w:val="center"/>
                    <w:rPr>
                      <w:rFonts w:hint="eastAsia"/>
                      <w:sz w:val="21"/>
                      <w:szCs w:val="21"/>
                    </w:rPr>
                  </w:pPr>
                  <w:r>
                    <w:rPr>
                      <w:rFonts w:hint="eastAsia"/>
                      <w:sz w:val="21"/>
                      <w:szCs w:val="21"/>
                    </w:rPr>
                    <w:t>昼间</w:t>
                  </w:r>
                </w:p>
              </w:tc>
              <w:tc>
                <w:tcPr>
                  <w:tcW w:w="697" w:type="dxa"/>
                  <w:noWrap w:val="0"/>
                  <w:vAlign w:val="center"/>
                </w:tcPr>
                <w:p w14:paraId="103FEA99">
                  <w:pPr>
                    <w:pStyle w:val="14"/>
                    <w:spacing w:after="0"/>
                    <w:ind w:left="0" w:leftChars="0"/>
                    <w:jc w:val="center"/>
                    <w:rPr>
                      <w:rFonts w:hint="eastAsia"/>
                      <w:sz w:val="21"/>
                      <w:szCs w:val="21"/>
                    </w:rPr>
                  </w:pPr>
                  <w:r>
                    <w:rPr>
                      <w:rFonts w:hint="eastAsia"/>
                      <w:sz w:val="21"/>
                      <w:szCs w:val="21"/>
                    </w:rPr>
                    <w:t>夜间</w:t>
                  </w:r>
                </w:p>
              </w:tc>
              <w:tc>
                <w:tcPr>
                  <w:tcW w:w="696" w:type="dxa"/>
                  <w:noWrap w:val="0"/>
                  <w:vAlign w:val="center"/>
                </w:tcPr>
                <w:p w14:paraId="6507AF6D">
                  <w:pPr>
                    <w:pStyle w:val="14"/>
                    <w:spacing w:after="0"/>
                    <w:ind w:left="0" w:leftChars="0"/>
                    <w:jc w:val="center"/>
                    <w:rPr>
                      <w:rFonts w:hint="eastAsia"/>
                      <w:sz w:val="21"/>
                      <w:szCs w:val="21"/>
                    </w:rPr>
                  </w:pPr>
                  <w:r>
                    <w:rPr>
                      <w:rFonts w:hint="eastAsia"/>
                      <w:sz w:val="21"/>
                      <w:szCs w:val="21"/>
                    </w:rPr>
                    <w:t>昼间</w:t>
                  </w:r>
                </w:p>
              </w:tc>
              <w:tc>
                <w:tcPr>
                  <w:tcW w:w="698" w:type="dxa"/>
                  <w:noWrap w:val="0"/>
                  <w:vAlign w:val="center"/>
                </w:tcPr>
                <w:p w14:paraId="741F022B">
                  <w:pPr>
                    <w:pStyle w:val="14"/>
                    <w:spacing w:after="0"/>
                    <w:ind w:left="0" w:leftChars="0"/>
                    <w:jc w:val="center"/>
                    <w:rPr>
                      <w:rFonts w:hint="eastAsia"/>
                      <w:sz w:val="21"/>
                      <w:szCs w:val="21"/>
                    </w:rPr>
                  </w:pPr>
                  <w:r>
                    <w:rPr>
                      <w:rFonts w:hint="eastAsia"/>
                      <w:sz w:val="21"/>
                      <w:szCs w:val="21"/>
                    </w:rPr>
                    <w:t>夜间</w:t>
                  </w:r>
                </w:p>
              </w:tc>
              <w:tc>
                <w:tcPr>
                  <w:tcW w:w="1394" w:type="dxa"/>
                  <w:vMerge w:val="continue"/>
                  <w:noWrap w:val="0"/>
                  <w:vAlign w:val="center"/>
                </w:tcPr>
                <w:p w14:paraId="4317C1B3">
                  <w:pPr>
                    <w:pStyle w:val="14"/>
                    <w:spacing w:after="0"/>
                    <w:ind w:left="0" w:leftChars="0"/>
                    <w:jc w:val="center"/>
                    <w:rPr>
                      <w:rFonts w:hint="eastAsia"/>
                      <w:sz w:val="21"/>
                      <w:szCs w:val="21"/>
                    </w:rPr>
                  </w:pPr>
                </w:p>
              </w:tc>
            </w:tr>
            <w:tr w14:paraId="0EC9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63" w:type="dxa"/>
                  <w:vMerge w:val="restart"/>
                  <w:noWrap w:val="0"/>
                  <w:vAlign w:val="center"/>
                </w:tcPr>
                <w:p w14:paraId="1536DE87">
                  <w:pPr>
                    <w:pStyle w:val="14"/>
                    <w:spacing w:after="0"/>
                    <w:ind w:left="0" w:leftChars="0"/>
                    <w:jc w:val="center"/>
                    <w:rPr>
                      <w:rFonts w:hint="eastAsia" w:ascii="宋体" w:hAnsi="宋体" w:cs="宋体"/>
                      <w:szCs w:val="24"/>
                    </w:rPr>
                  </w:pPr>
                  <w:r>
                    <w:rPr>
                      <w:rFonts w:hint="eastAsia"/>
                      <w:sz w:val="21"/>
                      <w:szCs w:val="21"/>
                    </w:rPr>
                    <w:t>2025年9月20日</w:t>
                  </w:r>
                </w:p>
              </w:tc>
              <w:tc>
                <w:tcPr>
                  <w:tcW w:w="1621" w:type="dxa"/>
                  <w:noWrap w:val="0"/>
                  <w:vAlign w:val="center"/>
                </w:tcPr>
                <w:p w14:paraId="79FD9854">
                  <w:pPr>
                    <w:pStyle w:val="14"/>
                    <w:spacing w:after="0"/>
                    <w:ind w:left="0" w:leftChars="0"/>
                    <w:jc w:val="center"/>
                    <w:rPr>
                      <w:rFonts w:hint="eastAsia"/>
                      <w:sz w:val="21"/>
                      <w:szCs w:val="21"/>
                    </w:rPr>
                  </w:pPr>
                  <w:r>
                    <w:rPr>
                      <w:rFonts w:hint="eastAsia"/>
                      <w:sz w:val="21"/>
                      <w:szCs w:val="21"/>
                    </w:rPr>
                    <w:t>东厂界噪声监测点</w:t>
                  </w:r>
                </w:p>
              </w:tc>
              <w:tc>
                <w:tcPr>
                  <w:tcW w:w="1392" w:type="dxa"/>
                  <w:noWrap w:val="0"/>
                  <w:vAlign w:val="center"/>
                </w:tcPr>
                <w:p w14:paraId="5A93A7F1">
                  <w:pPr>
                    <w:pStyle w:val="14"/>
                    <w:spacing w:after="0"/>
                    <w:ind w:left="0" w:leftChars="0"/>
                    <w:jc w:val="center"/>
                    <w:rPr>
                      <w:rFonts w:hint="eastAsia"/>
                      <w:sz w:val="21"/>
                      <w:szCs w:val="21"/>
                    </w:rPr>
                  </w:pPr>
                  <w:r>
                    <w:rPr>
                      <w:rFonts w:hint="eastAsia"/>
                      <w:sz w:val="21"/>
                      <w:szCs w:val="21"/>
                    </w:rPr>
                    <w:t>工业企业厂界环境噪声</w:t>
                  </w:r>
                </w:p>
              </w:tc>
              <w:tc>
                <w:tcPr>
                  <w:tcW w:w="695" w:type="dxa"/>
                  <w:noWrap w:val="0"/>
                  <w:vAlign w:val="center"/>
                </w:tcPr>
                <w:p w14:paraId="6FCC3AD6">
                  <w:pPr>
                    <w:pStyle w:val="14"/>
                    <w:spacing w:after="0"/>
                    <w:ind w:left="0" w:leftChars="0"/>
                    <w:jc w:val="center"/>
                    <w:rPr>
                      <w:sz w:val="21"/>
                      <w:szCs w:val="21"/>
                    </w:rPr>
                  </w:pPr>
                  <w:r>
                    <w:rPr>
                      <w:rFonts w:hint="eastAsia"/>
                      <w:sz w:val="21"/>
                      <w:szCs w:val="21"/>
                    </w:rPr>
                    <w:t>57.4</w:t>
                  </w:r>
                </w:p>
              </w:tc>
              <w:tc>
                <w:tcPr>
                  <w:tcW w:w="697" w:type="dxa"/>
                  <w:noWrap w:val="0"/>
                  <w:vAlign w:val="center"/>
                </w:tcPr>
                <w:p w14:paraId="36299635">
                  <w:pPr>
                    <w:pStyle w:val="14"/>
                    <w:spacing w:after="0"/>
                    <w:ind w:left="0" w:leftChars="0"/>
                    <w:jc w:val="center"/>
                    <w:rPr>
                      <w:sz w:val="21"/>
                      <w:szCs w:val="21"/>
                    </w:rPr>
                  </w:pPr>
                  <w:r>
                    <w:rPr>
                      <w:rFonts w:hint="eastAsia"/>
                      <w:sz w:val="21"/>
                      <w:szCs w:val="21"/>
                    </w:rPr>
                    <w:t>47.8</w:t>
                  </w:r>
                </w:p>
              </w:tc>
              <w:tc>
                <w:tcPr>
                  <w:tcW w:w="696" w:type="dxa"/>
                  <w:noWrap w:val="0"/>
                  <w:vAlign w:val="center"/>
                </w:tcPr>
                <w:p w14:paraId="28BA871A">
                  <w:pPr>
                    <w:pStyle w:val="14"/>
                    <w:spacing w:after="0"/>
                    <w:ind w:left="0" w:leftChars="0"/>
                    <w:jc w:val="center"/>
                    <w:rPr>
                      <w:sz w:val="21"/>
                      <w:szCs w:val="21"/>
                    </w:rPr>
                  </w:pPr>
                  <w:r>
                    <w:rPr>
                      <w:rFonts w:hint="eastAsia"/>
                      <w:sz w:val="21"/>
                      <w:szCs w:val="21"/>
                    </w:rPr>
                    <w:t>60</w:t>
                  </w:r>
                </w:p>
              </w:tc>
              <w:tc>
                <w:tcPr>
                  <w:tcW w:w="698" w:type="dxa"/>
                  <w:noWrap w:val="0"/>
                  <w:vAlign w:val="center"/>
                </w:tcPr>
                <w:p w14:paraId="0A28CA39">
                  <w:pPr>
                    <w:pStyle w:val="14"/>
                    <w:spacing w:after="0"/>
                    <w:ind w:left="0" w:leftChars="0"/>
                    <w:jc w:val="center"/>
                    <w:rPr>
                      <w:sz w:val="21"/>
                      <w:szCs w:val="21"/>
                    </w:rPr>
                  </w:pPr>
                  <w:r>
                    <w:rPr>
                      <w:rFonts w:hint="eastAsia"/>
                      <w:sz w:val="21"/>
                      <w:szCs w:val="21"/>
                    </w:rPr>
                    <w:t>50</w:t>
                  </w:r>
                </w:p>
              </w:tc>
              <w:tc>
                <w:tcPr>
                  <w:tcW w:w="1394" w:type="dxa"/>
                  <w:noWrap w:val="0"/>
                  <w:vAlign w:val="center"/>
                </w:tcPr>
                <w:p w14:paraId="53C4F6AA">
                  <w:pPr>
                    <w:pStyle w:val="14"/>
                    <w:spacing w:after="0"/>
                    <w:ind w:left="0" w:leftChars="0"/>
                    <w:jc w:val="center"/>
                    <w:rPr>
                      <w:rFonts w:hint="eastAsia"/>
                      <w:sz w:val="21"/>
                      <w:szCs w:val="21"/>
                    </w:rPr>
                  </w:pPr>
                  <w:r>
                    <w:rPr>
                      <w:rFonts w:hint="eastAsia"/>
                      <w:sz w:val="21"/>
                      <w:szCs w:val="21"/>
                    </w:rPr>
                    <w:t>达标</w:t>
                  </w:r>
                </w:p>
              </w:tc>
            </w:tr>
            <w:tr w14:paraId="2C60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63" w:type="dxa"/>
                  <w:vMerge w:val="continue"/>
                  <w:noWrap w:val="0"/>
                  <w:vAlign w:val="center"/>
                </w:tcPr>
                <w:p w14:paraId="4BB4C7B9">
                  <w:pPr>
                    <w:autoSpaceDE w:val="0"/>
                    <w:autoSpaceDN w:val="0"/>
                    <w:adjustRightInd w:val="0"/>
                    <w:jc w:val="center"/>
                    <w:rPr>
                      <w:rFonts w:hint="eastAsia" w:ascii="宋体" w:hAnsi="宋体" w:cs="宋体"/>
                      <w:sz w:val="24"/>
                    </w:rPr>
                  </w:pPr>
                </w:p>
              </w:tc>
              <w:tc>
                <w:tcPr>
                  <w:tcW w:w="1621" w:type="dxa"/>
                  <w:noWrap w:val="0"/>
                  <w:vAlign w:val="center"/>
                </w:tcPr>
                <w:p w14:paraId="78E89DB1">
                  <w:pPr>
                    <w:pStyle w:val="14"/>
                    <w:spacing w:after="0"/>
                    <w:ind w:left="0" w:leftChars="0"/>
                    <w:jc w:val="center"/>
                    <w:rPr>
                      <w:rFonts w:hint="eastAsia"/>
                      <w:sz w:val="21"/>
                      <w:szCs w:val="21"/>
                    </w:rPr>
                  </w:pPr>
                  <w:r>
                    <w:rPr>
                      <w:rFonts w:hint="eastAsia"/>
                      <w:sz w:val="21"/>
                      <w:szCs w:val="21"/>
                    </w:rPr>
                    <w:t>南厂界噪声监测点</w:t>
                  </w:r>
                </w:p>
              </w:tc>
              <w:tc>
                <w:tcPr>
                  <w:tcW w:w="1392" w:type="dxa"/>
                  <w:noWrap w:val="0"/>
                  <w:vAlign w:val="center"/>
                </w:tcPr>
                <w:p w14:paraId="43910CD8">
                  <w:pPr>
                    <w:pStyle w:val="14"/>
                    <w:spacing w:after="0"/>
                    <w:ind w:left="0" w:leftChars="0"/>
                    <w:jc w:val="center"/>
                    <w:rPr>
                      <w:rFonts w:hint="eastAsia"/>
                      <w:sz w:val="21"/>
                      <w:szCs w:val="21"/>
                    </w:rPr>
                  </w:pPr>
                  <w:r>
                    <w:rPr>
                      <w:rFonts w:hint="eastAsia"/>
                      <w:sz w:val="21"/>
                      <w:szCs w:val="21"/>
                    </w:rPr>
                    <w:t>工业企业厂界环境噪声</w:t>
                  </w:r>
                </w:p>
              </w:tc>
              <w:tc>
                <w:tcPr>
                  <w:tcW w:w="695" w:type="dxa"/>
                  <w:noWrap w:val="0"/>
                  <w:vAlign w:val="center"/>
                </w:tcPr>
                <w:p w14:paraId="4FD10AA4">
                  <w:pPr>
                    <w:pStyle w:val="14"/>
                    <w:spacing w:after="0"/>
                    <w:ind w:left="0" w:leftChars="0"/>
                    <w:jc w:val="center"/>
                    <w:rPr>
                      <w:sz w:val="21"/>
                      <w:szCs w:val="21"/>
                    </w:rPr>
                  </w:pPr>
                  <w:r>
                    <w:rPr>
                      <w:rFonts w:hint="eastAsia"/>
                      <w:sz w:val="21"/>
                      <w:szCs w:val="21"/>
                    </w:rPr>
                    <w:t>55.8</w:t>
                  </w:r>
                </w:p>
              </w:tc>
              <w:tc>
                <w:tcPr>
                  <w:tcW w:w="697" w:type="dxa"/>
                  <w:noWrap w:val="0"/>
                  <w:vAlign w:val="center"/>
                </w:tcPr>
                <w:p w14:paraId="0C603F87">
                  <w:pPr>
                    <w:pStyle w:val="14"/>
                    <w:spacing w:after="0"/>
                    <w:ind w:left="0" w:leftChars="0"/>
                    <w:jc w:val="center"/>
                    <w:rPr>
                      <w:sz w:val="21"/>
                      <w:szCs w:val="21"/>
                    </w:rPr>
                  </w:pPr>
                  <w:r>
                    <w:rPr>
                      <w:rFonts w:hint="eastAsia"/>
                      <w:sz w:val="21"/>
                      <w:szCs w:val="21"/>
                    </w:rPr>
                    <w:t>45.2</w:t>
                  </w:r>
                </w:p>
              </w:tc>
              <w:tc>
                <w:tcPr>
                  <w:tcW w:w="696" w:type="dxa"/>
                  <w:noWrap w:val="0"/>
                  <w:vAlign w:val="center"/>
                </w:tcPr>
                <w:p w14:paraId="49D7726E">
                  <w:pPr>
                    <w:pStyle w:val="14"/>
                    <w:spacing w:after="0"/>
                    <w:ind w:left="0" w:leftChars="0"/>
                    <w:jc w:val="center"/>
                    <w:rPr>
                      <w:rFonts w:hint="eastAsia"/>
                      <w:sz w:val="21"/>
                      <w:szCs w:val="21"/>
                    </w:rPr>
                  </w:pPr>
                  <w:r>
                    <w:rPr>
                      <w:rFonts w:hint="eastAsia"/>
                      <w:sz w:val="21"/>
                      <w:szCs w:val="21"/>
                    </w:rPr>
                    <w:t>60</w:t>
                  </w:r>
                </w:p>
              </w:tc>
              <w:tc>
                <w:tcPr>
                  <w:tcW w:w="698" w:type="dxa"/>
                  <w:noWrap w:val="0"/>
                  <w:vAlign w:val="center"/>
                </w:tcPr>
                <w:p w14:paraId="71EC951A">
                  <w:pPr>
                    <w:pStyle w:val="14"/>
                    <w:spacing w:after="0"/>
                    <w:ind w:left="0" w:leftChars="0"/>
                    <w:jc w:val="center"/>
                    <w:rPr>
                      <w:rFonts w:hint="eastAsia"/>
                      <w:sz w:val="21"/>
                      <w:szCs w:val="21"/>
                    </w:rPr>
                  </w:pPr>
                  <w:r>
                    <w:rPr>
                      <w:rFonts w:hint="eastAsia"/>
                      <w:sz w:val="21"/>
                      <w:szCs w:val="21"/>
                    </w:rPr>
                    <w:t>50</w:t>
                  </w:r>
                </w:p>
              </w:tc>
              <w:tc>
                <w:tcPr>
                  <w:tcW w:w="1394" w:type="dxa"/>
                  <w:noWrap w:val="0"/>
                  <w:vAlign w:val="center"/>
                </w:tcPr>
                <w:p w14:paraId="5F75576C">
                  <w:pPr>
                    <w:pStyle w:val="14"/>
                    <w:spacing w:after="0"/>
                    <w:ind w:left="0" w:leftChars="0"/>
                    <w:jc w:val="center"/>
                    <w:rPr>
                      <w:rFonts w:hint="eastAsia"/>
                      <w:sz w:val="21"/>
                      <w:szCs w:val="21"/>
                    </w:rPr>
                  </w:pPr>
                  <w:r>
                    <w:rPr>
                      <w:rFonts w:hint="eastAsia"/>
                      <w:sz w:val="21"/>
                      <w:szCs w:val="21"/>
                    </w:rPr>
                    <w:t>达标</w:t>
                  </w:r>
                </w:p>
              </w:tc>
            </w:tr>
            <w:tr w14:paraId="1CA0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63" w:type="dxa"/>
                  <w:vMerge w:val="continue"/>
                  <w:noWrap w:val="0"/>
                  <w:vAlign w:val="center"/>
                </w:tcPr>
                <w:p w14:paraId="2CC56E8E">
                  <w:pPr>
                    <w:autoSpaceDE w:val="0"/>
                    <w:autoSpaceDN w:val="0"/>
                    <w:adjustRightInd w:val="0"/>
                    <w:jc w:val="center"/>
                    <w:rPr>
                      <w:rFonts w:hint="eastAsia" w:ascii="宋体" w:hAnsi="宋体" w:cs="宋体"/>
                      <w:sz w:val="24"/>
                    </w:rPr>
                  </w:pPr>
                </w:p>
              </w:tc>
              <w:tc>
                <w:tcPr>
                  <w:tcW w:w="1621" w:type="dxa"/>
                  <w:noWrap w:val="0"/>
                  <w:vAlign w:val="center"/>
                </w:tcPr>
                <w:p w14:paraId="106D2E20">
                  <w:pPr>
                    <w:pStyle w:val="14"/>
                    <w:spacing w:after="0"/>
                    <w:ind w:left="0" w:leftChars="0"/>
                    <w:jc w:val="center"/>
                    <w:rPr>
                      <w:rFonts w:hint="eastAsia"/>
                      <w:sz w:val="21"/>
                      <w:szCs w:val="21"/>
                    </w:rPr>
                  </w:pPr>
                  <w:r>
                    <w:rPr>
                      <w:rFonts w:hint="eastAsia"/>
                      <w:sz w:val="21"/>
                      <w:szCs w:val="21"/>
                    </w:rPr>
                    <w:t>西厂界噪声监测点</w:t>
                  </w:r>
                </w:p>
              </w:tc>
              <w:tc>
                <w:tcPr>
                  <w:tcW w:w="1392" w:type="dxa"/>
                  <w:noWrap w:val="0"/>
                  <w:vAlign w:val="center"/>
                </w:tcPr>
                <w:p w14:paraId="0208B3BB">
                  <w:pPr>
                    <w:pStyle w:val="14"/>
                    <w:spacing w:after="0"/>
                    <w:ind w:left="0" w:leftChars="0"/>
                    <w:jc w:val="center"/>
                    <w:rPr>
                      <w:rFonts w:hint="eastAsia"/>
                      <w:sz w:val="21"/>
                      <w:szCs w:val="21"/>
                    </w:rPr>
                  </w:pPr>
                  <w:r>
                    <w:rPr>
                      <w:rFonts w:hint="eastAsia"/>
                      <w:sz w:val="21"/>
                      <w:szCs w:val="21"/>
                    </w:rPr>
                    <w:t>工业企业厂界环境噪声</w:t>
                  </w:r>
                </w:p>
              </w:tc>
              <w:tc>
                <w:tcPr>
                  <w:tcW w:w="695" w:type="dxa"/>
                  <w:noWrap w:val="0"/>
                  <w:vAlign w:val="center"/>
                </w:tcPr>
                <w:p w14:paraId="3C50E24E">
                  <w:pPr>
                    <w:pStyle w:val="14"/>
                    <w:spacing w:after="0"/>
                    <w:ind w:left="0" w:leftChars="0"/>
                    <w:jc w:val="center"/>
                    <w:rPr>
                      <w:sz w:val="21"/>
                      <w:szCs w:val="21"/>
                    </w:rPr>
                  </w:pPr>
                  <w:r>
                    <w:rPr>
                      <w:rFonts w:hint="eastAsia"/>
                      <w:sz w:val="21"/>
                      <w:szCs w:val="21"/>
                    </w:rPr>
                    <w:t>54.7</w:t>
                  </w:r>
                </w:p>
              </w:tc>
              <w:tc>
                <w:tcPr>
                  <w:tcW w:w="697" w:type="dxa"/>
                  <w:noWrap w:val="0"/>
                  <w:vAlign w:val="center"/>
                </w:tcPr>
                <w:p w14:paraId="225FF544">
                  <w:pPr>
                    <w:pStyle w:val="14"/>
                    <w:spacing w:after="0"/>
                    <w:ind w:left="0" w:leftChars="0"/>
                    <w:jc w:val="center"/>
                    <w:rPr>
                      <w:sz w:val="21"/>
                      <w:szCs w:val="21"/>
                    </w:rPr>
                  </w:pPr>
                  <w:r>
                    <w:rPr>
                      <w:rFonts w:hint="eastAsia"/>
                      <w:sz w:val="21"/>
                      <w:szCs w:val="21"/>
                    </w:rPr>
                    <w:t>45.8</w:t>
                  </w:r>
                </w:p>
              </w:tc>
              <w:tc>
                <w:tcPr>
                  <w:tcW w:w="696" w:type="dxa"/>
                  <w:noWrap w:val="0"/>
                  <w:vAlign w:val="center"/>
                </w:tcPr>
                <w:p w14:paraId="0923C44A">
                  <w:pPr>
                    <w:pStyle w:val="14"/>
                    <w:spacing w:after="0"/>
                    <w:ind w:left="0" w:leftChars="0"/>
                    <w:jc w:val="center"/>
                    <w:rPr>
                      <w:rFonts w:hint="eastAsia"/>
                      <w:sz w:val="21"/>
                      <w:szCs w:val="21"/>
                    </w:rPr>
                  </w:pPr>
                  <w:r>
                    <w:rPr>
                      <w:rFonts w:hint="eastAsia"/>
                      <w:sz w:val="21"/>
                      <w:szCs w:val="21"/>
                    </w:rPr>
                    <w:t>60</w:t>
                  </w:r>
                </w:p>
              </w:tc>
              <w:tc>
                <w:tcPr>
                  <w:tcW w:w="698" w:type="dxa"/>
                  <w:noWrap w:val="0"/>
                  <w:vAlign w:val="center"/>
                </w:tcPr>
                <w:p w14:paraId="49B9C297">
                  <w:pPr>
                    <w:pStyle w:val="14"/>
                    <w:spacing w:after="0"/>
                    <w:ind w:left="0" w:leftChars="0"/>
                    <w:jc w:val="center"/>
                    <w:rPr>
                      <w:rFonts w:hint="eastAsia"/>
                      <w:sz w:val="21"/>
                      <w:szCs w:val="21"/>
                    </w:rPr>
                  </w:pPr>
                  <w:r>
                    <w:rPr>
                      <w:rFonts w:hint="eastAsia"/>
                      <w:sz w:val="21"/>
                      <w:szCs w:val="21"/>
                    </w:rPr>
                    <w:t>50</w:t>
                  </w:r>
                </w:p>
              </w:tc>
              <w:tc>
                <w:tcPr>
                  <w:tcW w:w="1394" w:type="dxa"/>
                  <w:noWrap w:val="0"/>
                  <w:vAlign w:val="center"/>
                </w:tcPr>
                <w:p w14:paraId="5E26CF55">
                  <w:pPr>
                    <w:pStyle w:val="14"/>
                    <w:spacing w:after="0"/>
                    <w:ind w:left="0" w:leftChars="0"/>
                    <w:jc w:val="center"/>
                    <w:rPr>
                      <w:rFonts w:hint="eastAsia"/>
                      <w:sz w:val="21"/>
                      <w:szCs w:val="21"/>
                    </w:rPr>
                  </w:pPr>
                  <w:r>
                    <w:rPr>
                      <w:rFonts w:hint="eastAsia"/>
                      <w:sz w:val="21"/>
                      <w:szCs w:val="21"/>
                    </w:rPr>
                    <w:t>达标</w:t>
                  </w:r>
                </w:p>
              </w:tc>
            </w:tr>
            <w:tr w14:paraId="1AEB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3" w:type="dxa"/>
                  <w:vMerge w:val="continue"/>
                  <w:noWrap w:val="0"/>
                  <w:vAlign w:val="center"/>
                </w:tcPr>
                <w:p w14:paraId="20AE0DCC">
                  <w:pPr>
                    <w:autoSpaceDE w:val="0"/>
                    <w:autoSpaceDN w:val="0"/>
                    <w:adjustRightInd w:val="0"/>
                    <w:jc w:val="center"/>
                    <w:rPr>
                      <w:rFonts w:hint="eastAsia" w:ascii="宋体" w:hAnsi="宋体" w:cs="宋体"/>
                      <w:sz w:val="24"/>
                    </w:rPr>
                  </w:pPr>
                </w:p>
              </w:tc>
              <w:tc>
                <w:tcPr>
                  <w:tcW w:w="1621" w:type="dxa"/>
                  <w:noWrap w:val="0"/>
                  <w:vAlign w:val="center"/>
                </w:tcPr>
                <w:p w14:paraId="447A2BFF">
                  <w:pPr>
                    <w:pStyle w:val="14"/>
                    <w:spacing w:after="0"/>
                    <w:ind w:left="0" w:leftChars="0"/>
                    <w:jc w:val="center"/>
                    <w:rPr>
                      <w:rFonts w:hint="eastAsia"/>
                      <w:sz w:val="21"/>
                      <w:szCs w:val="21"/>
                    </w:rPr>
                  </w:pPr>
                  <w:r>
                    <w:rPr>
                      <w:rFonts w:hint="eastAsia"/>
                      <w:sz w:val="21"/>
                      <w:szCs w:val="21"/>
                    </w:rPr>
                    <w:t>北厂界噪声监测点</w:t>
                  </w:r>
                </w:p>
              </w:tc>
              <w:tc>
                <w:tcPr>
                  <w:tcW w:w="1392" w:type="dxa"/>
                  <w:noWrap w:val="0"/>
                  <w:vAlign w:val="center"/>
                </w:tcPr>
                <w:p w14:paraId="0875F12B">
                  <w:pPr>
                    <w:pStyle w:val="14"/>
                    <w:spacing w:after="0"/>
                    <w:ind w:left="0" w:leftChars="0"/>
                    <w:jc w:val="center"/>
                    <w:rPr>
                      <w:rFonts w:hint="eastAsia"/>
                      <w:sz w:val="21"/>
                      <w:szCs w:val="21"/>
                    </w:rPr>
                  </w:pPr>
                  <w:r>
                    <w:rPr>
                      <w:rFonts w:hint="eastAsia"/>
                      <w:sz w:val="21"/>
                      <w:szCs w:val="21"/>
                    </w:rPr>
                    <w:t>工业企业厂界环境噪声</w:t>
                  </w:r>
                </w:p>
              </w:tc>
              <w:tc>
                <w:tcPr>
                  <w:tcW w:w="695" w:type="dxa"/>
                  <w:noWrap w:val="0"/>
                  <w:vAlign w:val="center"/>
                </w:tcPr>
                <w:p w14:paraId="61DA3382">
                  <w:pPr>
                    <w:pStyle w:val="14"/>
                    <w:spacing w:after="0"/>
                    <w:ind w:left="0" w:leftChars="0"/>
                    <w:jc w:val="center"/>
                    <w:rPr>
                      <w:sz w:val="21"/>
                      <w:szCs w:val="21"/>
                    </w:rPr>
                  </w:pPr>
                  <w:r>
                    <w:rPr>
                      <w:rFonts w:hint="eastAsia"/>
                      <w:sz w:val="21"/>
                      <w:szCs w:val="21"/>
                    </w:rPr>
                    <w:t>58.3</w:t>
                  </w:r>
                </w:p>
              </w:tc>
              <w:tc>
                <w:tcPr>
                  <w:tcW w:w="697" w:type="dxa"/>
                  <w:noWrap w:val="0"/>
                  <w:vAlign w:val="center"/>
                </w:tcPr>
                <w:p w14:paraId="6123F08C">
                  <w:pPr>
                    <w:pStyle w:val="14"/>
                    <w:spacing w:after="0"/>
                    <w:ind w:left="0" w:leftChars="0"/>
                    <w:jc w:val="center"/>
                    <w:rPr>
                      <w:sz w:val="21"/>
                      <w:szCs w:val="21"/>
                    </w:rPr>
                  </w:pPr>
                  <w:r>
                    <w:rPr>
                      <w:rFonts w:hint="eastAsia"/>
                      <w:sz w:val="21"/>
                      <w:szCs w:val="21"/>
                    </w:rPr>
                    <w:t>44.9</w:t>
                  </w:r>
                </w:p>
              </w:tc>
              <w:tc>
                <w:tcPr>
                  <w:tcW w:w="696" w:type="dxa"/>
                  <w:noWrap w:val="0"/>
                  <w:vAlign w:val="center"/>
                </w:tcPr>
                <w:p w14:paraId="3E36ACC4">
                  <w:pPr>
                    <w:pStyle w:val="14"/>
                    <w:spacing w:after="0"/>
                    <w:ind w:left="0" w:leftChars="0"/>
                    <w:jc w:val="center"/>
                    <w:rPr>
                      <w:rFonts w:hint="eastAsia"/>
                      <w:sz w:val="21"/>
                      <w:szCs w:val="21"/>
                    </w:rPr>
                  </w:pPr>
                  <w:r>
                    <w:rPr>
                      <w:rFonts w:hint="eastAsia"/>
                      <w:sz w:val="21"/>
                      <w:szCs w:val="21"/>
                    </w:rPr>
                    <w:t>60</w:t>
                  </w:r>
                </w:p>
              </w:tc>
              <w:tc>
                <w:tcPr>
                  <w:tcW w:w="698" w:type="dxa"/>
                  <w:noWrap w:val="0"/>
                  <w:vAlign w:val="center"/>
                </w:tcPr>
                <w:p w14:paraId="7804EC43">
                  <w:pPr>
                    <w:pStyle w:val="14"/>
                    <w:spacing w:after="0"/>
                    <w:ind w:left="0" w:leftChars="0"/>
                    <w:jc w:val="center"/>
                    <w:rPr>
                      <w:rFonts w:hint="eastAsia"/>
                      <w:sz w:val="21"/>
                      <w:szCs w:val="21"/>
                    </w:rPr>
                  </w:pPr>
                  <w:r>
                    <w:rPr>
                      <w:rFonts w:hint="eastAsia"/>
                      <w:sz w:val="21"/>
                      <w:szCs w:val="21"/>
                    </w:rPr>
                    <w:t>50</w:t>
                  </w:r>
                </w:p>
              </w:tc>
              <w:tc>
                <w:tcPr>
                  <w:tcW w:w="1394" w:type="dxa"/>
                  <w:noWrap w:val="0"/>
                  <w:vAlign w:val="center"/>
                </w:tcPr>
                <w:p w14:paraId="6B01305A">
                  <w:pPr>
                    <w:pStyle w:val="14"/>
                    <w:spacing w:after="0"/>
                    <w:ind w:left="0" w:leftChars="0"/>
                    <w:jc w:val="center"/>
                    <w:rPr>
                      <w:rFonts w:hint="eastAsia"/>
                      <w:sz w:val="21"/>
                      <w:szCs w:val="21"/>
                    </w:rPr>
                  </w:pPr>
                  <w:r>
                    <w:rPr>
                      <w:rFonts w:hint="eastAsia"/>
                      <w:sz w:val="21"/>
                      <w:szCs w:val="21"/>
                    </w:rPr>
                    <w:t>达标</w:t>
                  </w:r>
                </w:p>
              </w:tc>
            </w:tr>
          </w:tbl>
          <w:p w14:paraId="53063074">
            <w:pPr>
              <w:autoSpaceDE w:val="0"/>
              <w:autoSpaceDN w:val="0"/>
              <w:adjustRightInd w:val="0"/>
              <w:snapToGrid w:val="0"/>
              <w:spacing w:line="480" w:lineRule="exact"/>
              <w:ind w:firstLine="480" w:firstLineChars="200"/>
              <w:rPr>
                <w:rFonts w:hint="eastAsia" w:ascii="宋体" w:hAnsi="宋体" w:cs="宋体"/>
                <w:sz w:val="24"/>
              </w:rPr>
            </w:pPr>
          </w:p>
          <w:p w14:paraId="5CB715E7">
            <w:pPr>
              <w:autoSpaceDE w:val="0"/>
              <w:autoSpaceDN w:val="0"/>
              <w:adjustRightInd w:val="0"/>
              <w:snapToGrid w:val="0"/>
              <w:spacing w:line="480" w:lineRule="exact"/>
              <w:ind w:firstLine="480" w:firstLineChars="200"/>
              <w:rPr>
                <w:rFonts w:ascii="宋体" w:hAnsi="宋体" w:cs="宋体"/>
                <w:sz w:val="24"/>
              </w:rPr>
            </w:pPr>
            <w:r>
              <w:rPr>
                <w:rFonts w:hint="eastAsia" w:ascii="宋体" w:hAnsi="宋体" w:cs="宋体"/>
                <w:sz w:val="24"/>
              </w:rPr>
              <w:t>⑤</w:t>
            </w:r>
            <w:r>
              <w:rPr>
                <w:rFonts w:ascii="宋体" w:hAnsi="宋体" w:cs="宋体"/>
                <w:sz w:val="24"/>
              </w:rPr>
              <w:t>现有工程污染物排放量汇总一览表</w:t>
            </w:r>
          </w:p>
          <w:p w14:paraId="381D8770">
            <w:pPr>
              <w:autoSpaceDE w:val="0"/>
              <w:autoSpaceDN w:val="0"/>
              <w:adjustRightInd w:val="0"/>
              <w:snapToGrid w:val="0"/>
              <w:spacing w:line="480" w:lineRule="exact"/>
              <w:ind w:firstLine="480" w:firstLineChars="200"/>
              <w:rPr>
                <w:rFonts w:hint="eastAsia"/>
                <w:color w:val="0000FF"/>
                <w:sz w:val="24"/>
                <w:highlight w:val="none"/>
                <w:lang w:val="en-US" w:eastAsia="zh-CN"/>
              </w:rPr>
            </w:pPr>
            <w:r>
              <w:rPr>
                <w:color w:val="0000FF"/>
                <w:sz w:val="24"/>
                <w:highlight w:val="none"/>
              </w:rPr>
              <w:t>根据《凤台县粹彬墙体材料有限公司排污许可2025年年度执行报告》中数据，</w:t>
            </w:r>
            <w:r>
              <w:rPr>
                <w:rFonts w:hint="eastAsia"/>
                <w:color w:val="0000FF"/>
                <w:sz w:val="24"/>
                <w:highlight w:val="none"/>
                <w:lang w:val="en-US" w:eastAsia="zh-CN"/>
              </w:rPr>
              <w:t>建设单位2025年颗粒物排放量为0.78t，二氧化硫排放量为6.95t，氮氧化物排放量为7.11t。本次评价按最不利情况，即：干燥焙烧废气颗粒物最大排放浓度3.52mg/m</w:t>
            </w:r>
            <w:r>
              <w:rPr>
                <w:rFonts w:hint="eastAsia"/>
                <w:color w:val="0000FF"/>
                <w:sz w:val="24"/>
                <w:highlight w:val="none"/>
                <w:vertAlign w:val="superscript"/>
                <w:lang w:val="en-US" w:eastAsia="zh-CN"/>
              </w:rPr>
              <w:t>3</w:t>
            </w:r>
            <w:r>
              <w:rPr>
                <w:rFonts w:hint="eastAsia"/>
                <w:color w:val="0000FF"/>
                <w:sz w:val="24"/>
                <w:highlight w:val="none"/>
                <w:lang w:val="en-US" w:eastAsia="zh-CN"/>
              </w:rPr>
              <w:t>，二氧化硫最大排放浓度25.58mg/m</w:t>
            </w:r>
            <w:r>
              <w:rPr>
                <w:rFonts w:hint="eastAsia"/>
                <w:color w:val="0000FF"/>
                <w:sz w:val="24"/>
                <w:highlight w:val="none"/>
                <w:vertAlign w:val="superscript"/>
                <w:lang w:val="en-US" w:eastAsia="zh-CN"/>
              </w:rPr>
              <w:t>3</w:t>
            </w:r>
            <w:r>
              <w:rPr>
                <w:rFonts w:hint="eastAsia"/>
                <w:color w:val="0000FF"/>
                <w:sz w:val="24"/>
                <w:highlight w:val="none"/>
                <w:lang w:val="en-US" w:eastAsia="zh-CN"/>
              </w:rPr>
              <w:t>，氮氧化物最大排放浓度30.47mg/m</w:t>
            </w:r>
            <w:r>
              <w:rPr>
                <w:rFonts w:hint="eastAsia"/>
                <w:color w:val="0000FF"/>
                <w:sz w:val="24"/>
                <w:highlight w:val="none"/>
                <w:vertAlign w:val="superscript"/>
                <w:lang w:val="en-US" w:eastAsia="zh-CN"/>
              </w:rPr>
              <w:t>3</w:t>
            </w:r>
            <w:r>
              <w:rPr>
                <w:rFonts w:hint="eastAsia"/>
                <w:color w:val="0000FF"/>
                <w:sz w:val="24"/>
                <w:highlight w:val="none"/>
                <w:lang w:val="en-US" w:eastAsia="zh-CN"/>
              </w:rPr>
              <w:t>，氟化物最大排放浓度0.88mg/m</w:t>
            </w:r>
            <w:r>
              <w:rPr>
                <w:rFonts w:hint="eastAsia"/>
                <w:color w:val="0000FF"/>
                <w:sz w:val="24"/>
                <w:highlight w:val="none"/>
                <w:vertAlign w:val="superscript"/>
                <w:lang w:val="en-US" w:eastAsia="zh-CN"/>
              </w:rPr>
              <w:t>3</w:t>
            </w:r>
            <w:r>
              <w:rPr>
                <w:rFonts w:hint="eastAsia"/>
                <w:color w:val="0000FF"/>
                <w:sz w:val="24"/>
                <w:highlight w:val="none"/>
                <w:lang w:val="en-US" w:eastAsia="zh-CN"/>
              </w:rPr>
              <w:t>，筛分破碎最大排放速率0.091kg/h，对现有项目排放量进行核算。</w:t>
            </w:r>
          </w:p>
          <w:p w14:paraId="06D0AD74">
            <w:pPr>
              <w:autoSpaceDE w:val="0"/>
              <w:autoSpaceDN w:val="0"/>
              <w:adjustRightInd w:val="0"/>
              <w:snapToGrid w:val="0"/>
              <w:spacing w:line="480" w:lineRule="exact"/>
              <w:ind w:firstLine="480" w:firstLineChars="200"/>
              <w:rPr>
                <w:rFonts w:hint="default" w:ascii="宋体" w:hAnsi="宋体" w:eastAsia="宋体" w:cs="宋体"/>
                <w:sz w:val="24"/>
                <w:lang w:val="en-US" w:eastAsia="zh-CN"/>
              </w:rPr>
            </w:pPr>
            <w:r>
              <w:rPr>
                <w:rFonts w:hint="eastAsia"/>
                <w:color w:val="000000"/>
                <w:sz w:val="24"/>
                <w:highlight w:val="none"/>
                <w:lang w:val="en-US" w:eastAsia="zh-CN"/>
              </w:rPr>
              <w:t>项目废气排放量及排放量汇总表见下表：</w:t>
            </w:r>
          </w:p>
          <w:p w14:paraId="3DC31D6A">
            <w:pPr>
              <w:spacing w:line="480" w:lineRule="exact"/>
              <w:jc w:val="center"/>
              <w:rPr>
                <w:rFonts w:hint="eastAsia" w:ascii="黑体" w:hAnsi="黑体" w:eastAsia="黑体" w:cs="黑体"/>
                <w:sz w:val="24"/>
                <w:szCs w:val="32"/>
              </w:rPr>
            </w:pPr>
            <w:r>
              <w:rPr>
                <w:rFonts w:hint="eastAsia" w:ascii="黑体" w:hAnsi="黑体" w:eastAsia="黑体" w:cs="黑体"/>
                <w:sz w:val="24"/>
              </w:rPr>
              <w:t>表2-16 现有工程污染物排放量汇总一览表</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3666"/>
              <w:gridCol w:w="2845"/>
            </w:tblGrid>
            <w:tr w14:paraId="650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4" w:type="pct"/>
                  <w:vMerge w:val="restart"/>
                  <w:noWrap w:val="0"/>
                  <w:vAlign w:val="center"/>
                </w:tcPr>
                <w:p w14:paraId="3ACDAA12">
                  <w:pPr>
                    <w:pStyle w:val="14"/>
                    <w:spacing w:after="0"/>
                    <w:ind w:left="0" w:leftChars="0"/>
                    <w:jc w:val="center"/>
                    <w:rPr>
                      <w:sz w:val="21"/>
                      <w:szCs w:val="21"/>
                    </w:rPr>
                  </w:pPr>
                  <w:r>
                    <w:rPr>
                      <w:sz w:val="21"/>
                      <w:szCs w:val="21"/>
                    </w:rPr>
                    <w:t>种类</w:t>
                  </w:r>
                </w:p>
              </w:tc>
              <w:tc>
                <w:tcPr>
                  <w:tcW w:w="2165" w:type="pct"/>
                  <w:vMerge w:val="restart"/>
                  <w:noWrap w:val="0"/>
                  <w:vAlign w:val="center"/>
                </w:tcPr>
                <w:p w14:paraId="7F31692B">
                  <w:pPr>
                    <w:pStyle w:val="14"/>
                    <w:spacing w:after="0"/>
                    <w:ind w:left="0" w:leftChars="0"/>
                    <w:jc w:val="center"/>
                    <w:rPr>
                      <w:sz w:val="21"/>
                      <w:szCs w:val="21"/>
                    </w:rPr>
                  </w:pPr>
                  <w:r>
                    <w:rPr>
                      <w:sz w:val="21"/>
                      <w:szCs w:val="21"/>
                    </w:rPr>
                    <w:t>污染物名称</w:t>
                  </w:r>
                </w:p>
              </w:tc>
              <w:tc>
                <w:tcPr>
                  <w:tcW w:w="1680" w:type="pct"/>
                  <w:vMerge w:val="restart"/>
                  <w:noWrap w:val="0"/>
                  <w:vAlign w:val="center"/>
                </w:tcPr>
                <w:p w14:paraId="22F47C5C">
                  <w:pPr>
                    <w:pStyle w:val="14"/>
                    <w:spacing w:after="0"/>
                    <w:ind w:left="0" w:leftChars="0"/>
                    <w:jc w:val="center"/>
                    <w:rPr>
                      <w:sz w:val="21"/>
                      <w:szCs w:val="21"/>
                    </w:rPr>
                  </w:pPr>
                  <w:r>
                    <w:rPr>
                      <w:sz w:val="21"/>
                      <w:szCs w:val="21"/>
                    </w:rPr>
                    <w:t>现有工程排放量</w:t>
                  </w:r>
                </w:p>
              </w:tc>
            </w:tr>
            <w:tr w14:paraId="1B49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4" w:type="pct"/>
                  <w:vMerge w:val="continue"/>
                  <w:noWrap w:val="0"/>
                  <w:vAlign w:val="center"/>
                </w:tcPr>
                <w:p w14:paraId="5178A3C4">
                  <w:pPr>
                    <w:pStyle w:val="14"/>
                    <w:spacing w:after="0"/>
                    <w:ind w:left="0" w:leftChars="0"/>
                    <w:jc w:val="center"/>
                    <w:rPr>
                      <w:sz w:val="21"/>
                      <w:szCs w:val="21"/>
                    </w:rPr>
                  </w:pPr>
                </w:p>
              </w:tc>
              <w:tc>
                <w:tcPr>
                  <w:tcW w:w="2165" w:type="pct"/>
                  <w:vMerge w:val="continue"/>
                  <w:noWrap w:val="0"/>
                  <w:vAlign w:val="center"/>
                </w:tcPr>
                <w:p w14:paraId="108F63C0">
                  <w:pPr>
                    <w:pStyle w:val="14"/>
                    <w:spacing w:after="0"/>
                    <w:ind w:left="0" w:leftChars="0"/>
                    <w:jc w:val="center"/>
                    <w:rPr>
                      <w:sz w:val="21"/>
                      <w:szCs w:val="21"/>
                    </w:rPr>
                  </w:pPr>
                </w:p>
              </w:tc>
              <w:tc>
                <w:tcPr>
                  <w:tcW w:w="1680" w:type="pct"/>
                  <w:vMerge w:val="continue"/>
                  <w:noWrap w:val="0"/>
                  <w:vAlign w:val="center"/>
                </w:tcPr>
                <w:p w14:paraId="5DB4FDC9">
                  <w:pPr>
                    <w:pStyle w:val="14"/>
                    <w:spacing w:after="0"/>
                    <w:ind w:left="0" w:leftChars="0"/>
                    <w:jc w:val="center"/>
                    <w:rPr>
                      <w:sz w:val="21"/>
                      <w:szCs w:val="21"/>
                    </w:rPr>
                  </w:pPr>
                </w:p>
              </w:tc>
            </w:tr>
            <w:tr w14:paraId="0208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restart"/>
                  <w:noWrap w:val="0"/>
                  <w:vAlign w:val="center"/>
                </w:tcPr>
                <w:p w14:paraId="20632A0C">
                  <w:pPr>
                    <w:pStyle w:val="14"/>
                    <w:spacing w:after="0"/>
                    <w:ind w:left="0" w:leftChars="0"/>
                    <w:jc w:val="center"/>
                    <w:rPr>
                      <w:sz w:val="21"/>
                      <w:szCs w:val="21"/>
                    </w:rPr>
                  </w:pPr>
                  <w:r>
                    <w:rPr>
                      <w:sz w:val="21"/>
                      <w:szCs w:val="21"/>
                    </w:rPr>
                    <w:t>废气</w:t>
                  </w:r>
                </w:p>
              </w:tc>
              <w:tc>
                <w:tcPr>
                  <w:tcW w:w="2165" w:type="pct"/>
                  <w:noWrap w:val="0"/>
                  <w:vAlign w:val="center"/>
                </w:tcPr>
                <w:p w14:paraId="4122E1C5">
                  <w:pPr>
                    <w:autoSpaceDE w:val="0"/>
                    <w:autoSpaceDN w:val="0"/>
                    <w:adjustRightInd w:val="0"/>
                    <w:snapToGrid w:val="0"/>
                    <w:jc w:val="center"/>
                  </w:pPr>
                  <w:r>
                    <w:rPr>
                      <w:szCs w:val="21"/>
                    </w:rPr>
                    <w:t>颗粒物</w:t>
                  </w:r>
                </w:p>
              </w:tc>
              <w:tc>
                <w:tcPr>
                  <w:tcW w:w="1680" w:type="pct"/>
                  <w:noWrap w:val="0"/>
                  <w:vAlign w:val="center"/>
                </w:tcPr>
                <w:p w14:paraId="57BA5D68">
                  <w:pPr>
                    <w:autoSpaceDE w:val="0"/>
                    <w:autoSpaceDN w:val="0"/>
                    <w:adjustRightInd w:val="0"/>
                    <w:snapToGrid w:val="0"/>
                    <w:jc w:val="center"/>
                    <w:rPr>
                      <w:rFonts w:hint="default" w:eastAsia="宋体"/>
                      <w:szCs w:val="21"/>
                      <w:lang w:val="en-US" w:eastAsia="zh-CN"/>
                    </w:rPr>
                  </w:pPr>
                  <w:r>
                    <w:rPr>
                      <w:rFonts w:hint="eastAsia"/>
                      <w:szCs w:val="21"/>
                      <w:lang w:val="en-US" w:eastAsia="zh-CN"/>
                    </w:rPr>
                    <w:t>5.26</w:t>
                  </w:r>
                </w:p>
              </w:tc>
            </w:tr>
            <w:tr w14:paraId="10B8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7E527A01">
                  <w:pPr>
                    <w:pStyle w:val="14"/>
                    <w:spacing w:after="0"/>
                    <w:ind w:left="0" w:leftChars="0"/>
                    <w:jc w:val="center"/>
                    <w:rPr>
                      <w:sz w:val="21"/>
                      <w:szCs w:val="21"/>
                    </w:rPr>
                  </w:pPr>
                </w:p>
              </w:tc>
              <w:tc>
                <w:tcPr>
                  <w:tcW w:w="2165" w:type="pct"/>
                  <w:noWrap w:val="0"/>
                  <w:vAlign w:val="center"/>
                </w:tcPr>
                <w:p w14:paraId="347CE853">
                  <w:pPr>
                    <w:adjustRightInd w:val="0"/>
                    <w:snapToGrid w:val="0"/>
                    <w:jc w:val="center"/>
                  </w:pPr>
                  <w:r>
                    <w:rPr>
                      <w:bCs/>
                      <w:szCs w:val="21"/>
                    </w:rPr>
                    <w:t>二氧化硫</w:t>
                  </w:r>
                </w:p>
              </w:tc>
              <w:tc>
                <w:tcPr>
                  <w:tcW w:w="1680" w:type="pct"/>
                  <w:noWrap w:val="0"/>
                  <w:vAlign w:val="center"/>
                </w:tcPr>
                <w:p w14:paraId="244CC4AB">
                  <w:pPr>
                    <w:autoSpaceDE w:val="0"/>
                    <w:autoSpaceDN w:val="0"/>
                    <w:adjustRightInd w:val="0"/>
                    <w:snapToGrid w:val="0"/>
                    <w:jc w:val="center"/>
                    <w:rPr>
                      <w:rFonts w:hint="default" w:eastAsia="宋体"/>
                      <w:szCs w:val="21"/>
                      <w:lang w:val="en-US" w:eastAsia="zh-CN"/>
                    </w:rPr>
                  </w:pPr>
                  <w:r>
                    <w:rPr>
                      <w:rFonts w:hint="eastAsia"/>
                      <w:szCs w:val="21"/>
                      <w:lang w:val="en-US" w:eastAsia="zh-CN"/>
                    </w:rPr>
                    <w:t>36.8</w:t>
                  </w:r>
                </w:p>
              </w:tc>
            </w:tr>
            <w:tr w14:paraId="4B1C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65BE7A75">
                  <w:pPr>
                    <w:pStyle w:val="14"/>
                    <w:spacing w:after="0"/>
                    <w:ind w:left="0" w:leftChars="0"/>
                    <w:jc w:val="center"/>
                    <w:rPr>
                      <w:sz w:val="21"/>
                      <w:szCs w:val="21"/>
                    </w:rPr>
                  </w:pPr>
                </w:p>
              </w:tc>
              <w:tc>
                <w:tcPr>
                  <w:tcW w:w="2165" w:type="pct"/>
                  <w:noWrap w:val="0"/>
                  <w:vAlign w:val="center"/>
                </w:tcPr>
                <w:p w14:paraId="4D9FB25E">
                  <w:pPr>
                    <w:adjustRightInd w:val="0"/>
                    <w:snapToGrid w:val="0"/>
                    <w:jc w:val="center"/>
                  </w:pPr>
                  <w:r>
                    <w:rPr>
                      <w:bCs/>
                      <w:szCs w:val="21"/>
                    </w:rPr>
                    <w:t>氮氧化物</w:t>
                  </w:r>
                </w:p>
              </w:tc>
              <w:tc>
                <w:tcPr>
                  <w:tcW w:w="1680" w:type="pct"/>
                  <w:noWrap w:val="0"/>
                  <w:vAlign w:val="center"/>
                </w:tcPr>
                <w:p w14:paraId="5C91AC7A">
                  <w:pPr>
                    <w:autoSpaceDE w:val="0"/>
                    <w:autoSpaceDN w:val="0"/>
                    <w:adjustRightInd w:val="0"/>
                    <w:snapToGrid w:val="0"/>
                    <w:jc w:val="center"/>
                    <w:rPr>
                      <w:rFonts w:hint="default" w:eastAsia="宋体"/>
                      <w:szCs w:val="21"/>
                      <w:lang w:val="en-US" w:eastAsia="zh-CN"/>
                    </w:rPr>
                  </w:pPr>
                  <w:r>
                    <w:rPr>
                      <w:rFonts w:hint="eastAsia"/>
                      <w:szCs w:val="21"/>
                      <w:lang w:val="en-US" w:eastAsia="zh-CN"/>
                    </w:rPr>
                    <w:t>43.9</w:t>
                  </w:r>
                </w:p>
              </w:tc>
            </w:tr>
            <w:tr w14:paraId="72E8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3C2F38EC">
                  <w:pPr>
                    <w:pStyle w:val="14"/>
                    <w:spacing w:after="0"/>
                    <w:ind w:left="0" w:leftChars="0"/>
                    <w:jc w:val="center"/>
                    <w:rPr>
                      <w:sz w:val="21"/>
                      <w:szCs w:val="21"/>
                    </w:rPr>
                  </w:pPr>
                </w:p>
              </w:tc>
              <w:tc>
                <w:tcPr>
                  <w:tcW w:w="2165" w:type="pct"/>
                  <w:noWrap w:val="0"/>
                  <w:vAlign w:val="center"/>
                </w:tcPr>
                <w:p w14:paraId="30F58ACF">
                  <w:pPr>
                    <w:adjustRightInd w:val="0"/>
                    <w:snapToGrid w:val="0"/>
                    <w:jc w:val="center"/>
                    <w:rPr>
                      <w:rFonts w:hint="eastAsia" w:eastAsia="宋体"/>
                      <w:bCs/>
                      <w:szCs w:val="21"/>
                      <w:lang w:val="en-US" w:eastAsia="zh-CN"/>
                    </w:rPr>
                  </w:pPr>
                  <w:r>
                    <w:rPr>
                      <w:rFonts w:hint="eastAsia"/>
                      <w:bCs/>
                      <w:szCs w:val="21"/>
                      <w:lang w:val="en-US" w:eastAsia="zh-CN"/>
                    </w:rPr>
                    <w:t>氟化物</w:t>
                  </w:r>
                </w:p>
              </w:tc>
              <w:tc>
                <w:tcPr>
                  <w:tcW w:w="1680" w:type="pct"/>
                  <w:noWrap w:val="0"/>
                  <w:vAlign w:val="center"/>
                </w:tcPr>
                <w:p w14:paraId="27A2C443">
                  <w:pPr>
                    <w:autoSpaceDE w:val="0"/>
                    <w:autoSpaceDN w:val="0"/>
                    <w:adjustRightInd w:val="0"/>
                    <w:snapToGrid w:val="0"/>
                    <w:jc w:val="center"/>
                    <w:rPr>
                      <w:rFonts w:hint="default"/>
                      <w:szCs w:val="21"/>
                      <w:lang w:val="en-US" w:eastAsia="zh-CN"/>
                    </w:rPr>
                  </w:pPr>
                  <w:r>
                    <w:rPr>
                      <w:rFonts w:hint="eastAsia"/>
                      <w:szCs w:val="21"/>
                      <w:lang w:val="en-US" w:eastAsia="zh-CN"/>
                    </w:rPr>
                    <w:t>1.27</w:t>
                  </w:r>
                </w:p>
              </w:tc>
            </w:tr>
            <w:tr w14:paraId="5916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restart"/>
                  <w:noWrap w:val="0"/>
                  <w:vAlign w:val="center"/>
                </w:tcPr>
                <w:p w14:paraId="792084B4">
                  <w:pPr>
                    <w:pStyle w:val="14"/>
                    <w:spacing w:after="0"/>
                    <w:ind w:left="0" w:leftChars="0"/>
                    <w:jc w:val="center"/>
                    <w:rPr>
                      <w:sz w:val="21"/>
                      <w:szCs w:val="21"/>
                    </w:rPr>
                  </w:pPr>
                  <w:r>
                    <w:rPr>
                      <w:sz w:val="21"/>
                      <w:szCs w:val="21"/>
                    </w:rPr>
                    <w:t>固废(产生量)</w:t>
                  </w:r>
                </w:p>
              </w:tc>
              <w:tc>
                <w:tcPr>
                  <w:tcW w:w="2165" w:type="pct"/>
                  <w:noWrap w:val="0"/>
                  <w:vAlign w:val="center"/>
                </w:tcPr>
                <w:p w14:paraId="707B3042">
                  <w:pPr>
                    <w:pStyle w:val="160"/>
                    <w:keepNext w:val="0"/>
                    <w:widowControl/>
                    <w:snapToGrid w:val="0"/>
                    <w:spacing w:after="0" w:line="240" w:lineRule="auto"/>
                    <w:ind w:firstLine="0" w:firstLineChars="0"/>
                    <w:rPr>
                      <w:rFonts w:hAnsi="Times New Roman" w:eastAsia="宋体"/>
                      <w:szCs w:val="21"/>
                    </w:rPr>
                  </w:pPr>
                  <w:r>
                    <w:rPr>
                      <w:rFonts w:hAnsi="Times New Roman" w:eastAsia="宋体"/>
                      <w:szCs w:val="21"/>
                    </w:rPr>
                    <w:t>生活垃圾</w:t>
                  </w:r>
                </w:p>
              </w:tc>
              <w:tc>
                <w:tcPr>
                  <w:tcW w:w="1680" w:type="pct"/>
                  <w:noWrap w:val="0"/>
                  <w:vAlign w:val="center"/>
                </w:tcPr>
                <w:p w14:paraId="4371E06B">
                  <w:pPr>
                    <w:pStyle w:val="160"/>
                    <w:keepNext w:val="0"/>
                    <w:widowControl/>
                    <w:snapToGrid w:val="0"/>
                    <w:spacing w:after="0" w:line="240" w:lineRule="auto"/>
                    <w:ind w:firstLine="0" w:firstLineChars="0"/>
                    <w:rPr>
                      <w:rFonts w:hAnsi="Times New Roman" w:eastAsia="宋体"/>
                      <w:bCs/>
                      <w:spacing w:val="-10"/>
                      <w:szCs w:val="21"/>
                    </w:rPr>
                  </w:pPr>
                  <w:r>
                    <w:rPr>
                      <w:rFonts w:hAnsi="Times New Roman" w:eastAsia="宋体"/>
                      <w:szCs w:val="21"/>
                    </w:rPr>
                    <w:t>3</w:t>
                  </w:r>
                </w:p>
              </w:tc>
            </w:tr>
            <w:tr w14:paraId="0003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26080943">
                  <w:pPr>
                    <w:pStyle w:val="14"/>
                    <w:spacing w:after="0"/>
                    <w:ind w:left="0" w:leftChars="0"/>
                    <w:jc w:val="center"/>
                    <w:rPr>
                      <w:sz w:val="21"/>
                      <w:szCs w:val="21"/>
                    </w:rPr>
                  </w:pPr>
                </w:p>
              </w:tc>
              <w:tc>
                <w:tcPr>
                  <w:tcW w:w="2165" w:type="pct"/>
                  <w:noWrap w:val="0"/>
                  <w:vAlign w:val="center"/>
                </w:tcPr>
                <w:p w14:paraId="7962B460">
                  <w:pPr>
                    <w:pStyle w:val="160"/>
                    <w:keepNext w:val="0"/>
                    <w:widowControl/>
                    <w:snapToGrid w:val="0"/>
                    <w:spacing w:after="0" w:line="240" w:lineRule="auto"/>
                    <w:ind w:firstLine="0" w:firstLineChars="0"/>
                    <w:rPr>
                      <w:rFonts w:hAnsi="Times New Roman" w:eastAsia="宋体"/>
                      <w:szCs w:val="21"/>
                    </w:rPr>
                  </w:pPr>
                  <w:r>
                    <w:rPr>
                      <w:rFonts w:hint="eastAsia" w:hAnsi="Times New Roman" w:eastAsia="宋体"/>
                      <w:szCs w:val="21"/>
                    </w:rPr>
                    <w:t>磁选废物</w:t>
                  </w:r>
                </w:p>
              </w:tc>
              <w:tc>
                <w:tcPr>
                  <w:tcW w:w="1680" w:type="pct"/>
                  <w:noWrap w:val="0"/>
                  <w:vAlign w:val="center"/>
                </w:tcPr>
                <w:p w14:paraId="0E4689E7">
                  <w:pPr>
                    <w:pStyle w:val="160"/>
                    <w:keepNext w:val="0"/>
                    <w:widowControl/>
                    <w:snapToGrid w:val="0"/>
                    <w:spacing w:after="0" w:line="240" w:lineRule="auto"/>
                    <w:ind w:firstLine="0" w:firstLineChars="0"/>
                    <w:rPr>
                      <w:rFonts w:hAnsi="Times New Roman" w:eastAsia="宋体"/>
                      <w:szCs w:val="21"/>
                    </w:rPr>
                  </w:pPr>
                  <w:r>
                    <w:rPr>
                      <w:rFonts w:hint="eastAsia" w:hAnsi="Times New Roman" w:eastAsia="宋体"/>
                      <w:szCs w:val="21"/>
                    </w:rPr>
                    <w:t>30</w:t>
                  </w:r>
                </w:p>
              </w:tc>
            </w:tr>
            <w:tr w14:paraId="5A0A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29E09710">
                  <w:pPr>
                    <w:pStyle w:val="14"/>
                    <w:spacing w:after="0"/>
                    <w:ind w:left="0" w:leftChars="0"/>
                    <w:jc w:val="center"/>
                    <w:rPr>
                      <w:sz w:val="21"/>
                      <w:szCs w:val="21"/>
                    </w:rPr>
                  </w:pPr>
                </w:p>
              </w:tc>
              <w:tc>
                <w:tcPr>
                  <w:tcW w:w="2165" w:type="pct"/>
                  <w:noWrap w:val="0"/>
                  <w:vAlign w:val="center"/>
                </w:tcPr>
                <w:p w14:paraId="33CA7558">
                  <w:pPr>
                    <w:jc w:val="center"/>
                    <w:rPr>
                      <w:color w:val="000000"/>
                      <w:szCs w:val="21"/>
                    </w:rPr>
                  </w:pPr>
                  <w:r>
                    <w:rPr>
                      <w:rFonts w:hint="eastAsia"/>
                      <w:color w:val="000000"/>
                    </w:rPr>
                    <w:t>废布袋</w:t>
                  </w:r>
                </w:p>
              </w:tc>
              <w:tc>
                <w:tcPr>
                  <w:tcW w:w="1680" w:type="pct"/>
                  <w:noWrap w:val="0"/>
                  <w:vAlign w:val="center"/>
                </w:tcPr>
                <w:p w14:paraId="4C60617C">
                  <w:pPr>
                    <w:pStyle w:val="160"/>
                    <w:keepNext w:val="0"/>
                    <w:widowControl/>
                    <w:snapToGrid w:val="0"/>
                    <w:spacing w:after="0" w:line="240" w:lineRule="auto"/>
                    <w:ind w:firstLine="0" w:firstLineChars="0"/>
                    <w:rPr>
                      <w:rFonts w:hAnsi="Times New Roman" w:eastAsia="宋体"/>
                      <w:bCs/>
                      <w:color w:val="000000"/>
                      <w:spacing w:val="-10"/>
                      <w:szCs w:val="21"/>
                    </w:rPr>
                  </w:pPr>
                  <w:r>
                    <w:rPr>
                      <w:rFonts w:hint="eastAsia" w:hAnsi="Times New Roman" w:eastAsia="宋体"/>
                      <w:color w:val="000000"/>
                      <w:szCs w:val="21"/>
                    </w:rPr>
                    <w:t>0.2</w:t>
                  </w:r>
                </w:p>
              </w:tc>
            </w:tr>
            <w:tr w14:paraId="3FF4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1029754C">
                  <w:pPr>
                    <w:pStyle w:val="14"/>
                    <w:spacing w:after="0"/>
                    <w:ind w:left="0" w:leftChars="0"/>
                    <w:jc w:val="center"/>
                    <w:rPr>
                      <w:sz w:val="21"/>
                      <w:szCs w:val="21"/>
                    </w:rPr>
                  </w:pPr>
                </w:p>
              </w:tc>
              <w:tc>
                <w:tcPr>
                  <w:tcW w:w="2165" w:type="pct"/>
                  <w:noWrap w:val="0"/>
                  <w:vAlign w:val="center"/>
                </w:tcPr>
                <w:p w14:paraId="62EAE923">
                  <w:pPr>
                    <w:jc w:val="center"/>
                    <w:rPr>
                      <w:color w:val="000000"/>
                      <w:szCs w:val="21"/>
                    </w:rPr>
                  </w:pPr>
                  <w:r>
                    <w:rPr>
                      <w:color w:val="000000"/>
                    </w:rPr>
                    <w:t>除尘器收集的粉尘</w:t>
                  </w:r>
                </w:p>
              </w:tc>
              <w:tc>
                <w:tcPr>
                  <w:tcW w:w="1680" w:type="pct"/>
                  <w:noWrap w:val="0"/>
                  <w:vAlign w:val="center"/>
                </w:tcPr>
                <w:p w14:paraId="0922AFC0">
                  <w:pPr>
                    <w:pStyle w:val="160"/>
                    <w:keepNext w:val="0"/>
                    <w:widowControl/>
                    <w:snapToGrid w:val="0"/>
                    <w:spacing w:after="0" w:line="240" w:lineRule="auto"/>
                    <w:ind w:firstLine="0" w:firstLineChars="0"/>
                    <w:rPr>
                      <w:rFonts w:hint="default" w:hAnsi="Times New Roman" w:eastAsia="宋体"/>
                      <w:color w:val="000000"/>
                      <w:szCs w:val="21"/>
                      <w:lang w:val="en-US" w:eastAsia="zh-CN"/>
                    </w:rPr>
                  </w:pPr>
                  <w:r>
                    <w:rPr>
                      <w:rFonts w:hint="eastAsia" w:hAnsi="Times New Roman" w:eastAsia="宋体"/>
                      <w:color w:val="000000"/>
                      <w:szCs w:val="21"/>
                      <w:lang w:val="en-US" w:eastAsia="zh-CN"/>
                    </w:rPr>
                    <w:t>35</w:t>
                  </w:r>
                </w:p>
              </w:tc>
            </w:tr>
            <w:tr w14:paraId="1561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54" w:type="pct"/>
                  <w:vMerge w:val="continue"/>
                  <w:noWrap w:val="0"/>
                  <w:vAlign w:val="center"/>
                </w:tcPr>
                <w:p w14:paraId="2AB9AFFB">
                  <w:pPr>
                    <w:pStyle w:val="14"/>
                    <w:spacing w:after="0"/>
                    <w:ind w:left="0" w:leftChars="0"/>
                    <w:jc w:val="center"/>
                    <w:rPr>
                      <w:sz w:val="21"/>
                      <w:szCs w:val="21"/>
                    </w:rPr>
                  </w:pPr>
                </w:p>
              </w:tc>
              <w:tc>
                <w:tcPr>
                  <w:tcW w:w="2165" w:type="pct"/>
                  <w:noWrap w:val="0"/>
                  <w:vAlign w:val="center"/>
                </w:tcPr>
                <w:p w14:paraId="1B0BB170">
                  <w:pPr>
                    <w:jc w:val="center"/>
                    <w:rPr>
                      <w:color w:val="000000"/>
                      <w:kern w:val="0"/>
                      <w:szCs w:val="21"/>
                    </w:rPr>
                  </w:pPr>
                  <w:r>
                    <w:rPr>
                      <w:color w:val="000000"/>
                    </w:rPr>
                    <w:t>脱硫废渣</w:t>
                  </w:r>
                </w:p>
              </w:tc>
              <w:tc>
                <w:tcPr>
                  <w:tcW w:w="1680" w:type="pct"/>
                  <w:noWrap w:val="0"/>
                  <w:vAlign w:val="center"/>
                </w:tcPr>
                <w:p w14:paraId="1FAB6FB3">
                  <w:pPr>
                    <w:pStyle w:val="160"/>
                    <w:keepNext w:val="0"/>
                    <w:widowControl/>
                    <w:snapToGrid w:val="0"/>
                    <w:spacing w:after="0" w:line="240" w:lineRule="auto"/>
                    <w:ind w:firstLine="0" w:firstLineChars="0"/>
                    <w:rPr>
                      <w:rFonts w:hAnsi="Times New Roman" w:eastAsia="宋体"/>
                      <w:bCs/>
                      <w:color w:val="000000"/>
                      <w:spacing w:val="-10"/>
                      <w:szCs w:val="21"/>
                    </w:rPr>
                  </w:pPr>
                  <w:r>
                    <w:rPr>
                      <w:rFonts w:hint="eastAsia" w:hAnsi="Times New Roman" w:eastAsia="宋体"/>
                      <w:color w:val="000000"/>
                      <w:szCs w:val="21"/>
                      <w:lang w:val="en-US" w:eastAsia="zh-CN"/>
                    </w:rPr>
                    <w:t>22</w:t>
                  </w:r>
                  <w:r>
                    <w:rPr>
                      <w:rFonts w:hAnsi="Times New Roman" w:eastAsia="宋体"/>
                      <w:color w:val="000000"/>
                      <w:szCs w:val="21"/>
                    </w:rPr>
                    <w:t>00</w:t>
                  </w:r>
                </w:p>
              </w:tc>
            </w:tr>
            <w:tr w14:paraId="15A2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54" w:type="pct"/>
                  <w:vMerge w:val="continue"/>
                  <w:noWrap w:val="0"/>
                  <w:vAlign w:val="center"/>
                </w:tcPr>
                <w:p w14:paraId="487DA294">
                  <w:pPr>
                    <w:pStyle w:val="14"/>
                    <w:spacing w:after="0"/>
                    <w:ind w:left="0" w:leftChars="0"/>
                    <w:jc w:val="center"/>
                    <w:rPr>
                      <w:sz w:val="21"/>
                      <w:szCs w:val="21"/>
                    </w:rPr>
                  </w:pPr>
                </w:p>
              </w:tc>
              <w:tc>
                <w:tcPr>
                  <w:tcW w:w="2165" w:type="pct"/>
                  <w:noWrap w:val="0"/>
                  <w:vAlign w:val="center"/>
                </w:tcPr>
                <w:p w14:paraId="73958442">
                  <w:pPr>
                    <w:jc w:val="center"/>
                    <w:rPr>
                      <w:kern w:val="0"/>
                      <w:szCs w:val="21"/>
                    </w:rPr>
                  </w:pPr>
                  <w:r>
                    <w:rPr>
                      <w:rFonts w:hint="eastAsia"/>
                    </w:rPr>
                    <w:t>湿电除尘沉渣</w:t>
                  </w:r>
                </w:p>
              </w:tc>
              <w:tc>
                <w:tcPr>
                  <w:tcW w:w="1680" w:type="pct"/>
                  <w:noWrap w:val="0"/>
                  <w:vAlign w:val="center"/>
                </w:tcPr>
                <w:p w14:paraId="1918A63D">
                  <w:pPr>
                    <w:pStyle w:val="160"/>
                    <w:keepNext w:val="0"/>
                    <w:widowControl/>
                    <w:snapToGrid w:val="0"/>
                    <w:spacing w:after="0" w:line="240" w:lineRule="auto"/>
                    <w:ind w:firstLine="0" w:firstLineChars="0"/>
                    <w:rPr>
                      <w:rFonts w:hint="default" w:hAnsi="Times New Roman" w:eastAsia="宋体"/>
                      <w:bCs/>
                      <w:spacing w:val="-10"/>
                      <w:szCs w:val="21"/>
                      <w:lang w:val="en-US" w:eastAsia="zh-CN"/>
                    </w:rPr>
                  </w:pPr>
                  <w:r>
                    <w:rPr>
                      <w:rFonts w:hint="eastAsia" w:hAnsi="Times New Roman" w:eastAsia="宋体"/>
                      <w:szCs w:val="21"/>
                      <w:lang w:val="en-US" w:eastAsia="zh-CN"/>
                    </w:rPr>
                    <w:t>150</w:t>
                  </w:r>
                </w:p>
              </w:tc>
            </w:tr>
            <w:tr w14:paraId="7628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54" w:type="pct"/>
                  <w:vMerge w:val="continue"/>
                  <w:noWrap w:val="0"/>
                  <w:vAlign w:val="center"/>
                </w:tcPr>
                <w:p w14:paraId="39489280">
                  <w:pPr>
                    <w:pStyle w:val="14"/>
                    <w:spacing w:after="0"/>
                    <w:ind w:left="0" w:leftChars="0"/>
                    <w:jc w:val="center"/>
                    <w:rPr>
                      <w:sz w:val="21"/>
                      <w:szCs w:val="21"/>
                    </w:rPr>
                  </w:pPr>
                </w:p>
              </w:tc>
              <w:tc>
                <w:tcPr>
                  <w:tcW w:w="2165" w:type="pct"/>
                  <w:noWrap w:val="0"/>
                  <w:vAlign w:val="center"/>
                </w:tcPr>
                <w:p w14:paraId="7DC0F846">
                  <w:pPr>
                    <w:jc w:val="center"/>
                  </w:pPr>
                  <w:r>
                    <w:rPr>
                      <w:rFonts w:hint="eastAsia"/>
                    </w:rPr>
                    <w:t>废机油</w:t>
                  </w:r>
                </w:p>
              </w:tc>
              <w:tc>
                <w:tcPr>
                  <w:tcW w:w="1680" w:type="pct"/>
                  <w:noWrap w:val="0"/>
                  <w:vAlign w:val="center"/>
                </w:tcPr>
                <w:p w14:paraId="6C601A40">
                  <w:pPr>
                    <w:pStyle w:val="160"/>
                    <w:keepNext w:val="0"/>
                    <w:widowControl/>
                    <w:snapToGrid w:val="0"/>
                    <w:spacing w:after="0" w:line="240" w:lineRule="auto"/>
                    <w:ind w:firstLine="0" w:firstLineChars="0"/>
                    <w:rPr>
                      <w:rFonts w:hAnsi="Times New Roman" w:eastAsia="宋体"/>
                      <w:szCs w:val="21"/>
                    </w:rPr>
                  </w:pPr>
                  <w:r>
                    <w:rPr>
                      <w:rFonts w:hint="eastAsia" w:hAnsi="Times New Roman" w:eastAsia="宋体"/>
                      <w:szCs w:val="21"/>
                    </w:rPr>
                    <w:t>0.25</w:t>
                  </w:r>
                </w:p>
              </w:tc>
            </w:tr>
            <w:tr w14:paraId="0B11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54" w:type="pct"/>
                  <w:vMerge w:val="continue"/>
                  <w:noWrap w:val="0"/>
                  <w:vAlign w:val="center"/>
                </w:tcPr>
                <w:p w14:paraId="52D4E3B4">
                  <w:pPr>
                    <w:pStyle w:val="14"/>
                    <w:spacing w:after="0"/>
                    <w:ind w:left="0" w:leftChars="0"/>
                    <w:jc w:val="center"/>
                    <w:rPr>
                      <w:sz w:val="21"/>
                      <w:szCs w:val="21"/>
                    </w:rPr>
                  </w:pPr>
                </w:p>
              </w:tc>
              <w:tc>
                <w:tcPr>
                  <w:tcW w:w="2165" w:type="pct"/>
                  <w:noWrap w:val="0"/>
                  <w:vAlign w:val="center"/>
                </w:tcPr>
                <w:p w14:paraId="04891A64">
                  <w:pPr>
                    <w:jc w:val="center"/>
                  </w:pPr>
                  <w:r>
                    <w:rPr>
                      <w:rFonts w:hint="eastAsia"/>
                    </w:rPr>
                    <w:t>废机油桶</w:t>
                  </w:r>
                </w:p>
              </w:tc>
              <w:tc>
                <w:tcPr>
                  <w:tcW w:w="1680" w:type="pct"/>
                  <w:noWrap w:val="0"/>
                  <w:vAlign w:val="center"/>
                </w:tcPr>
                <w:p w14:paraId="73F16088">
                  <w:pPr>
                    <w:pStyle w:val="160"/>
                    <w:keepNext w:val="0"/>
                    <w:widowControl/>
                    <w:snapToGrid w:val="0"/>
                    <w:spacing w:after="0" w:line="240" w:lineRule="auto"/>
                    <w:ind w:firstLine="0" w:firstLineChars="0"/>
                    <w:rPr>
                      <w:rFonts w:hAnsi="Times New Roman" w:eastAsia="宋体"/>
                      <w:szCs w:val="21"/>
                    </w:rPr>
                  </w:pPr>
                  <w:r>
                    <w:rPr>
                      <w:rFonts w:hint="eastAsia" w:hAnsi="Times New Roman" w:eastAsia="宋体"/>
                      <w:szCs w:val="21"/>
                    </w:rPr>
                    <w:t>0.05</w:t>
                  </w:r>
                </w:p>
              </w:tc>
            </w:tr>
          </w:tbl>
          <w:p w14:paraId="336E0EE1">
            <w:pPr>
              <w:autoSpaceDE w:val="0"/>
              <w:autoSpaceDN w:val="0"/>
              <w:adjustRightInd w:val="0"/>
              <w:snapToGrid w:val="0"/>
              <w:spacing w:before="120" w:beforeLines="50" w:line="360" w:lineRule="auto"/>
              <w:ind w:left="719" w:leftChars="228" w:hanging="240" w:hangingChars="100"/>
              <w:rPr>
                <w:rFonts w:hint="eastAsia" w:ascii="宋体" w:hAnsi="宋体" w:cs="宋体"/>
                <w:sz w:val="24"/>
              </w:rPr>
            </w:pPr>
          </w:p>
          <w:p w14:paraId="292D2A18">
            <w:pPr>
              <w:autoSpaceDE w:val="0"/>
              <w:autoSpaceDN w:val="0"/>
              <w:adjustRightInd w:val="0"/>
              <w:snapToGrid w:val="0"/>
              <w:spacing w:line="480" w:lineRule="exact"/>
              <w:ind w:firstLine="480" w:firstLineChars="200"/>
              <w:rPr>
                <w:rFonts w:hint="eastAsia" w:ascii="宋体" w:hAnsi="宋体" w:cs="宋体"/>
                <w:sz w:val="24"/>
              </w:rPr>
            </w:pPr>
            <w:r>
              <w:rPr>
                <w:rFonts w:hint="eastAsia" w:ascii="宋体" w:hAnsi="宋体" w:cs="宋体"/>
                <w:sz w:val="24"/>
              </w:rPr>
              <w:t>⑥现有工总量控制情况</w:t>
            </w:r>
          </w:p>
          <w:p w14:paraId="79F02696">
            <w:pPr>
              <w:autoSpaceDE w:val="0"/>
              <w:autoSpaceDN w:val="0"/>
              <w:adjustRightInd w:val="0"/>
              <w:snapToGrid w:val="0"/>
              <w:spacing w:line="480" w:lineRule="exact"/>
              <w:ind w:firstLine="480" w:firstLineChars="200"/>
              <w:rPr>
                <w:rFonts w:hint="eastAsia" w:ascii="宋体" w:hAnsi="宋体" w:eastAsia="宋体" w:cs="宋体"/>
                <w:sz w:val="24"/>
                <w:lang w:val="en-US" w:eastAsia="zh-CN"/>
              </w:rPr>
            </w:pPr>
            <w:r>
              <w:rPr>
                <w:rFonts w:hint="eastAsia" w:ascii="宋体" w:hAnsi="宋体" w:cs="宋体"/>
                <w:sz w:val="24"/>
              </w:rPr>
              <w:t>建设单位总量</w:t>
            </w:r>
            <w:r>
              <w:rPr>
                <w:rFonts w:hint="eastAsia" w:ascii="宋体" w:hAnsi="宋体" w:cs="宋体"/>
                <w:sz w:val="24"/>
                <w:lang w:val="en-US" w:eastAsia="zh-CN"/>
              </w:rPr>
              <w:t>控制指标</w:t>
            </w:r>
            <w:r>
              <w:rPr>
                <w:rFonts w:hint="eastAsia" w:ascii="宋体" w:hAnsi="宋体" w:cs="宋体"/>
                <w:sz w:val="24"/>
              </w:rPr>
              <w:t>按原环评核算排放量计，现有项目总量</w:t>
            </w:r>
            <w:r>
              <w:rPr>
                <w:rFonts w:hint="eastAsia" w:ascii="宋体" w:hAnsi="宋体" w:cs="宋体"/>
                <w:sz w:val="24"/>
                <w:lang w:val="en-US" w:eastAsia="zh-CN"/>
              </w:rPr>
              <w:t>符合总量要求，总量</w:t>
            </w:r>
            <w:r>
              <w:rPr>
                <w:rFonts w:hint="eastAsia" w:ascii="宋体" w:hAnsi="宋体" w:cs="宋体"/>
                <w:sz w:val="24"/>
              </w:rPr>
              <w:t>控制情况见下表：</w:t>
            </w:r>
            <w:r>
              <w:rPr>
                <w:rFonts w:hint="eastAsia" w:ascii="宋体" w:hAnsi="宋体" w:cs="宋体"/>
                <w:sz w:val="24"/>
                <w:lang w:val="en-US" w:eastAsia="zh-CN"/>
              </w:rPr>
              <w:t xml:space="preserve"> </w:t>
            </w:r>
          </w:p>
          <w:p w14:paraId="42D287AC">
            <w:pPr>
              <w:autoSpaceDE w:val="0"/>
              <w:autoSpaceDN w:val="0"/>
              <w:adjustRightInd w:val="0"/>
              <w:snapToGrid w:val="0"/>
              <w:spacing w:line="480" w:lineRule="exact"/>
              <w:ind w:firstLine="480" w:firstLineChars="200"/>
              <w:jc w:val="center"/>
              <w:rPr>
                <w:rFonts w:hint="eastAsia" w:ascii="黑体" w:hAnsi="黑体" w:eastAsia="黑体" w:cs="黑体"/>
                <w:sz w:val="24"/>
              </w:rPr>
            </w:pPr>
            <w:r>
              <w:rPr>
                <w:rFonts w:hint="eastAsia" w:ascii="黑体" w:hAnsi="黑体" w:eastAsia="黑体" w:cs="黑体"/>
                <w:sz w:val="24"/>
              </w:rPr>
              <w:t>表2-17 现有项目</w:t>
            </w:r>
            <w:r>
              <w:rPr>
                <w:rFonts w:hint="eastAsia" w:ascii="黑体" w:hAnsi="黑体" w:eastAsia="黑体" w:cs="黑体"/>
                <w:sz w:val="24"/>
                <w:lang w:val="en-US" w:eastAsia="zh-CN"/>
              </w:rPr>
              <w:t>总量控制情况</w:t>
            </w:r>
            <w:r>
              <w:rPr>
                <w:rFonts w:hint="eastAsia" w:ascii="黑体" w:hAnsi="黑体" w:eastAsia="黑体" w:cs="黑体"/>
                <w:sz w:val="24"/>
              </w:rPr>
              <w:t>表</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1282"/>
              <w:gridCol w:w="2714"/>
              <w:gridCol w:w="1486"/>
              <w:gridCol w:w="2051"/>
            </w:tblGrid>
            <w:tr w14:paraId="715C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08" w:type="pct"/>
                  <w:gridSpan w:val="2"/>
                  <w:noWrap w:val="0"/>
                  <w:vAlign w:val="center"/>
                </w:tcPr>
                <w:p w14:paraId="1F37B970">
                  <w:pPr>
                    <w:autoSpaceDE w:val="0"/>
                    <w:autoSpaceDN w:val="0"/>
                    <w:adjustRightInd w:val="0"/>
                    <w:snapToGrid w:val="0"/>
                    <w:jc w:val="center"/>
                    <w:rPr>
                      <w:rFonts w:hint="eastAsia" w:ascii="宋体" w:hAnsi="宋体" w:cs="宋体"/>
                      <w:szCs w:val="21"/>
                    </w:rPr>
                  </w:pPr>
                  <w:r>
                    <w:rPr>
                      <w:rFonts w:hint="eastAsia" w:ascii="宋体" w:hAnsi="宋体" w:cs="宋体"/>
                      <w:szCs w:val="21"/>
                    </w:rPr>
                    <w:t>类别</w:t>
                  </w:r>
                </w:p>
              </w:tc>
              <w:tc>
                <w:tcPr>
                  <w:tcW w:w="1602" w:type="pct"/>
                  <w:noWrap w:val="0"/>
                  <w:vAlign w:val="center"/>
                </w:tcPr>
                <w:p w14:paraId="729BBC19">
                  <w:pPr>
                    <w:pStyle w:val="14"/>
                    <w:spacing w:after="0"/>
                    <w:ind w:left="0" w:leftChars="0"/>
                    <w:jc w:val="center"/>
                    <w:rPr>
                      <w:rFonts w:hint="eastAsia" w:ascii="宋体" w:hAnsi="宋体" w:cs="宋体"/>
                      <w:color w:val="000000"/>
                      <w:sz w:val="21"/>
                      <w:szCs w:val="21"/>
                      <w:highlight w:val="none"/>
                    </w:rPr>
                  </w:pPr>
                  <w:r>
                    <w:rPr>
                      <w:rFonts w:hint="eastAsia"/>
                      <w:color w:val="000000"/>
                      <w:sz w:val="21"/>
                      <w:szCs w:val="21"/>
                      <w:highlight w:val="none"/>
                      <w:lang w:val="en-US" w:eastAsia="zh-CN"/>
                    </w:rPr>
                    <w:t>《凤台县粹彬墙体材料有限公司排污许可2025年年度执行报告》排放量</w:t>
                  </w:r>
                  <w:r>
                    <w:rPr>
                      <w:rFonts w:hint="eastAsia"/>
                      <w:color w:val="000000"/>
                      <w:sz w:val="21"/>
                      <w:szCs w:val="21"/>
                      <w:highlight w:val="none"/>
                    </w:rPr>
                    <w:t>(t/a)</w:t>
                  </w:r>
                </w:p>
              </w:tc>
              <w:tc>
                <w:tcPr>
                  <w:tcW w:w="877" w:type="pct"/>
                  <w:noWrap w:val="0"/>
                  <w:vAlign w:val="center"/>
                </w:tcPr>
                <w:p w14:paraId="42761783">
                  <w:pPr>
                    <w:pStyle w:val="14"/>
                    <w:spacing w:after="0"/>
                    <w:ind w:left="0" w:leftChars="0"/>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最不利条件核算总量</w:t>
                  </w:r>
                </w:p>
              </w:tc>
              <w:tc>
                <w:tcPr>
                  <w:tcW w:w="1211" w:type="pct"/>
                  <w:noWrap w:val="0"/>
                  <w:vAlign w:val="center"/>
                </w:tcPr>
                <w:p w14:paraId="1FD2EB1E">
                  <w:pPr>
                    <w:pStyle w:val="14"/>
                    <w:spacing w:after="0"/>
                    <w:ind w:left="0" w:leftChars="0"/>
                    <w:jc w:val="center"/>
                    <w:rPr>
                      <w:rFonts w:hint="eastAsia"/>
                      <w:color w:val="000000"/>
                      <w:sz w:val="21"/>
                      <w:szCs w:val="21"/>
                      <w:highlight w:val="none"/>
                    </w:rPr>
                  </w:pPr>
                  <w:r>
                    <w:rPr>
                      <w:rFonts w:hint="eastAsia"/>
                      <w:color w:val="000000"/>
                      <w:sz w:val="21"/>
                      <w:szCs w:val="21"/>
                      <w:highlight w:val="none"/>
                      <w:lang w:val="en-US" w:eastAsia="zh-CN"/>
                    </w:rPr>
                    <w:t>现有项目环评</w:t>
                  </w:r>
                  <w:r>
                    <w:rPr>
                      <w:rFonts w:hint="eastAsia"/>
                      <w:color w:val="000000"/>
                      <w:sz w:val="21"/>
                      <w:szCs w:val="21"/>
                      <w:highlight w:val="none"/>
                    </w:rPr>
                    <w:t>污染物排放总量(t/a)</w:t>
                  </w:r>
                </w:p>
              </w:tc>
            </w:tr>
            <w:tr w14:paraId="054B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51" w:type="pct"/>
                  <w:vMerge w:val="restart"/>
                  <w:noWrap w:val="0"/>
                  <w:vAlign w:val="center"/>
                </w:tcPr>
                <w:p w14:paraId="42E05BAB">
                  <w:pPr>
                    <w:autoSpaceDE w:val="0"/>
                    <w:autoSpaceDN w:val="0"/>
                    <w:adjustRightInd w:val="0"/>
                    <w:snapToGrid w:val="0"/>
                    <w:jc w:val="center"/>
                    <w:rPr>
                      <w:rFonts w:hint="eastAsia" w:ascii="宋体" w:hAnsi="宋体" w:cs="宋体"/>
                      <w:szCs w:val="21"/>
                    </w:rPr>
                  </w:pPr>
                  <w:r>
                    <w:rPr>
                      <w:rFonts w:hint="eastAsia" w:ascii="宋体" w:hAnsi="宋体" w:cs="宋体"/>
                      <w:szCs w:val="21"/>
                    </w:rPr>
                    <w:t>有组织</w:t>
                  </w:r>
                </w:p>
              </w:tc>
              <w:tc>
                <w:tcPr>
                  <w:tcW w:w="757" w:type="pct"/>
                  <w:noWrap w:val="0"/>
                  <w:vAlign w:val="center"/>
                </w:tcPr>
                <w:p w14:paraId="3A5AF551">
                  <w:pPr>
                    <w:autoSpaceDE w:val="0"/>
                    <w:autoSpaceDN w:val="0"/>
                    <w:adjustRightInd w:val="0"/>
                    <w:snapToGrid w:val="0"/>
                    <w:jc w:val="center"/>
                    <w:rPr>
                      <w:rFonts w:hint="eastAsia" w:ascii="宋体" w:hAnsi="宋体" w:cs="宋体"/>
                      <w:szCs w:val="21"/>
                    </w:rPr>
                  </w:pPr>
                  <w:r>
                    <w:rPr>
                      <w:rFonts w:hint="eastAsia" w:ascii="宋体" w:hAnsi="宋体" w:cs="宋体"/>
                      <w:szCs w:val="21"/>
                    </w:rPr>
                    <w:t>颗粒物</w:t>
                  </w:r>
                </w:p>
              </w:tc>
              <w:tc>
                <w:tcPr>
                  <w:tcW w:w="1602" w:type="pct"/>
                  <w:noWrap w:val="0"/>
                  <w:vAlign w:val="center"/>
                </w:tcPr>
                <w:p w14:paraId="7630F21D">
                  <w:pPr>
                    <w:autoSpaceDE w:val="0"/>
                    <w:autoSpaceDN w:val="0"/>
                    <w:adjustRightInd w:val="0"/>
                    <w:snapToGrid w:val="0"/>
                    <w:jc w:val="center"/>
                    <w:rPr>
                      <w:rFonts w:hint="eastAsia" w:eastAsia="宋体"/>
                      <w:color w:val="000000"/>
                      <w:szCs w:val="21"/>
                      <w:highlight w:val="none"/>
                      <w:lang w:eastAsia="zh-CN"/>
                    </w:rPr>
                  </w:pPr>
                  <w:r>
                    <w:rPr>
                      <w:color w:val="000000"/>
                      <w:szCs w:val="21"/>
                      <w:highlight w:val="none"/>
                    </w:rPr>
                    <w:t>0.7</w:t>
                  </w:r>
                  <w:r>
                    <w:rPr>
                      <w:rFonts w:hint="eastAsia"/>
                      <w:color w:val="000000"/>
                      <w:szCs w:val="21"/>
                      <w:highlight w:val="none"/>
                      <w:lang w:val="en-US" w:eastAsia="zh-CN"/>
                    </w:rPr>
                    <w:t>8</w:t>
                  </w:r>
                </w:p>
              </w:tc>
              <w:tc>
                <w:tcPr>
                  <w:tcW w:w="877" w:type="pct"/>
                  <w:noWrap w:val="0"/>
                  <w:vAlign w:val="center"/>
                </w:tcPr>
                <w:p w14:paraId="1F43C424">
                  <w:pPr>
                    <w:autoSpaceDE w:val="0"/>
                    <w:autoSpaceDN w:val="0"/>
                    <w:adjustRightInd w:val="0"/>
                    <w:snapToGrid w:val="0"/>
                    <w:jc w:val="center"/>
                    <w:rPr>
                      <w:color w:val="000000"/>
                      <w:szCs w:val="21"/>
                      <w:highlight w:val="none"/>
                    </w:rPr>
                  </w:pPr>
                  <w:r>
                    <w:rPr>
                      <w:rFonts w:hint="eastAsia"/>
                      <w:szCs w:val="21"/>
                      <w:lang w:val="en-US" w:eastAsia="zh-CN"/>
                    </w:rPr>
                    <w:t>5.26</w:t>
                  </w:r>
                </w:p>
              </w:tc>
              <w:tc>
                <w:tcPr>
                  <w:tcW w:w="1211" w:type="pct"/>
                  <w:noWrap w:val="0"/>
                  <w:vAlign w:val="center"/>
                </w:tcPr>
                <w:p w14:paraId="63F8426A">
                  <w:pPr>
                    <w:autoSpaceDE w:val="0"/>
                    <w:autoSpaceDN w:val="0"/>
                    <w:adjustRightInd w:val="0"/>
                    <w:snapToGrid w:val="0"/>
                    <w:jc w:val="center"/>
                    <w:rPr>
                      <w:color w:val="000000"/>
                      <w:szCs w:val="21"/>
                      <w:highlight w:val="none"/>
                    </w:rPr>
                  </w:pPr>
                  <w:r>
                    <w:rPr>
                      <w:color w:val="000000"/>
                      <w:szCs w:val="21"/>
                      <w:highlight w:val="none"/>
                    </w:rPr>
                    <w:t>9.9</w:t>
                  </w:r>
                </w:p>
              </w:tc>
            </w:tr>
            <w:tr w14:paraId="7E8E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551" w:type="pct"/>
                  <w:vMerge w:val="continue"/>
                  <w:noWrap w:val="0"/>
                  <w:vAlign w:val="center"/>
                </w:tcPr>
                <w:p w14:paraId="16DA127B">
                  <w:pPr>
                    <w:autoSpaceDE w:val="0"/>
                    <w:autoSpaceDN w:val="0"/>
                    <w:adjustRightInd w:val="0"/>
                    <w:snapToGrid w:val="0"/>
                    <w:jc w:val="center"/>
                    <w:rPr>
                      <w:rFonts w:hint="eastAsia" w:ascii="宋体" w:hAnsi="宋体" w:cs="宋体"/>
                      <w:szCs w:val="21"/>
                    </w:rPr>
                  </w:pPr>
                </w:p>
              </w:tc>
              <w:tc>
                <w:tcPr>
                  <w:tcW w:w="757" w:type="pct"/>
                  <w:noWrap w:val="0"/>
                  <w:vAlign w:val="center"/>
                </w:tcPr>
                <w:p w14:paraId="25152D21">
                  <w:pPr>
                    <w:adjustRightInd w:val="0"/>
                    <w:snapToGrid w:val="0"/>
                    <w:jc w:val="center"/>
                    <w:rPr>
                      <w:rFonts w:ascii="宋体" w:hAnsi="宋体" w:cs="宋体"/>
                      <w:szCs w:val="21"/>
                    </w:rPr>
                  </w:pPr>
                  <w:r>
                    <w:rPr>
                      <w:rFonts w:hint="eastAsia"/>
                      <w:bCs/>
                      <w:szCs w:val="21"/>
                    </w:rPr>
                    <w:t>二氧化硫</w:t>
                  </w:r>
                </w:p>
              </w:tc>
              <w:tc>
                <w:tcPr>
                  <w:tcW w:w="1602" w:type="pct"/>
                  <w:noWrap w:val="0"/>
                  <w:vAlign w:val="center"/>
                </w:tcPr>
                <w:p w14:paraId="594E58D5">
                  <w:pPr>
                    <w:autoSpaceDE w:val="0"/>
                    <w:autoSpaceDN w:val="0"/>
                    <w:adjustRightInd w:val="0"/>
                    <w:snapToGrid w:val="0"/>
                    <w:jc w:val="center"/>
                    <w:rPr>
                      <w:rFonts w:hint="eastAsia" w:eastAsia="宋体"/>
                      <w:color w:val="000000"/>
                      <w:szCs w:val="21"/>
                      <w:highlight w:val="none"/>
                      <w:lang w:eastAsia="zh-CN"/>
                    </w:rPr>
                  </w:pPr>
                  <w:r>
                    <w:rPr>
                      <w:color w:val="000000"/>
                      <w:szCs w:val="21"/>
                      <w:highlight w:val="none"/>
                    </w:rPr>
                    <w:t>6.9</w:t>
                  </w:r>
                  <w:r>
                    <w:rPr>
                      <w:rFonts w:hint="eastAsia"/>
                      <w:color w:val="000000"/>
                      <w:szCs w:val="21"/>
                      <w:highlight w:val="none"/>
                      <w:lang w:val="en-US" w:eastAsia="zh-CN"/>
                    </w:rPr>
                    <w:t>5</w:t>
                  </w:r>
                </w:p>
              </w:tc>
              <w:tc>
                <w:tcPr>
                  <w:tcW w:w="877" w:type="pct"/>
                  <w:noWrap w:val="0"/>
                  <w:vAlign w:val="center"/>
                </w:tcPr>
                <w:p w14:paraId="708CEFD2">
                  <w:pPr>
                    <w:autoSpaceDE w:val="0"/>
                    <w:autoSpaceDN w:val="0"/>
                    <w:adjustRightInd w:val="0"/>
                    <w:snapToGrid w:val="0"/>
                    <w:jc w:val="center"/>
                    <w:rPr>
                      <w:color w:val="000000"/>
                      <w:szCs w:val="21"/>
                      <w:highlight w:val="none"/>
                    </w:rPr>
                  </w:pPr>
                  <w:r>
                    <w:rPr>
                      <w:rFonts w:hint="eastAsia"/>
                      <w:szCs w:val="21"/>
                      <w:lang w:val="en-US" w:eastAsia="zh-CN"/>
                    </w:rPr>
                    <w:t>36.8</w:t>
                  </w:r>
                </w:p>
              </w:tc>
              <w:tc>
                <w:tcPr>
                  <w:tcW w:w="1211" w:type="pct"/>
                  <w:noWrap w:val="0"/>
                  <w:vAlign w:val="center"/>
                </w:tcPr>
                <w:p w14:paraId="267B8F3D">
                  <w:pPr>
                    <w:autoSpaceDE w:val="0"/>
                    <w:autoSpaceDN w:val="0"/>
                    <w:adjustRightInd w:val="0"/>
                    <w:snapToGrid w:val="0"/>
                    <w:jc w:val="center"/>
                    <w:rPr>
                      <w:color w:val="000000"/>
                      <w:szCs w:val="21"/>
                      <w:highlight w:val="none"/>
                    </w:rPr>
                  </w:pPr>
                  <w:r>
                    <w:rPr>
                      <w:color w:val="000000"/>
                      <w:szCs w:val="21"/>
                      <w:highlight w:val="none"/>
                    </w:rPr>
                    <w:t>108.86</w:t>
                  </w:r>
                </w:p>
              </w:tc>
            </w:tr>
            <w:tr w14:paraId="74A1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51" w:type="pct"/>
                  <w:vMerge w:val="continue"/>
                  <w:noWrap w:val="0"/>
                  <w:vAlign w:val="center"/>
                </w:tcPr>
                <w:p w14:paraId="1115A25F">
                  <w:pPr>
                    <w:autoSpaceDE w:val="0"/>
                    <w:autoSpaceDN w:val="0"/>
                    <w:adjustRightInd w:val="0"/>
                    <w:snapToGrid w:val="0"/>
                    <w:jc w:val="center"/>
                    <w:rPr>
                      <w:rFonts w:hint="eastAsia" w:ascii="宋体" w:hAnsi="宋体" w:cs="宋体"/>
                      <w:szCs w:val="21"/>
                    </w:rPr>
                  </w:pPr>
                </w:p>
              </w:tc>
              <w:tc>
                <w:tcPr>
                  <w:tcW w:w="757" w:type="pct"/>
                  <w:noWrap w:val="0"/>
                  <w:vAlign w:val="center"/>
                </w:tcPr>
                <w:p w14:paraId="0A11B897">
                  <w:pPr>
                    <w:adjustRightInd w:val="0"/>
                    <w:snapToGrid w:val="0"/>
                    <w:jc w:val="center"/>
                    <w:rPr>
                      <w:rFonts w:ascii="宋体" w:hAnsi="宋体" w:cs="宋体"/>
                      <w:szCs w:val="21"/>
                    </w:rPr>
                  </w:pPr>
                  <w:r>
                    <w:rPr>
                      <w:rFonts w:hint="eastAsia"/>
                      <w:bCs/>
                      <w:szCs w:val="21"/>
                    </w:rPr>
                    <w:t>氮氧化物</w:t>
                  </w:r>
                </w:p>
              </w:tc>
              <w:tc>
                <w:tcPr>
                  <w:tcW w:w="1602" w:type="pct"/>
                  <w:noWrap w:val="0"/>
                  <w:vAlign w:val="center"/>
                </w:tcPr>
                <w:p w14:paraId="726DC087">
                  <w:pPr>
                    <w:autoSpaceDE w:val="0"/>
                    <w:autoSpaceDN w:val="0"/>
                    <w:adjustRightInd w:val="0"/>
                    <w:snapToGrid w:val="0"/>
                    <w:jc w:val="center"/>
                    <w:rPr>
                      <w:rFonts w:hint="eastAsia" w:eastAsia="宋体"/>
                      <w:color w:val="000000"/>
                      <w:szCs w:val="21"/>
                      <w:highlight w:val="none"/>
                      <w:lang w:eastAsia="zh-CN"/>
                    </w:rPr>
                  </w:pPr>
                  <w:r>
                    <w:rPr>
                      <w:color w:val="000000"/>
                      <w:szCs w:val="21"/>
                      <w:highlight w:val="none"/>
                    </w:rPr>
                    <w:t>7.1</w:t>
                  </w:r>
                  <w:r>
                    <w:rPr>
                      <w:rFonts w:hint="eastAsia"/>
                      <w:color w:val="000000"/>
                      <w:szCs w:val="21"/>
                      <w:highlight w:val="none"/>
                      <w:lang w:val="en-US" w:eastAsia="zh-CN"/>
                    </w:rPr>
                    <w:t>1</w:t>
                  </w:r>
                </w:p>
              </w:tc>
              <w:tc>
                <w:tcPr>
                  <w:tcW w:w="877" w:type="pct"/>
                  <w:noWrap w:val="0"/>
                  <w:vAlign w:val="center"/>
                </w:tcPr>
                <w:p w14:paraId="21E13163">
                  <w:pPr>
                    <w:autoSpaceDE w:val="0"/>
                    <w:autoSpaceDN w:val="0"/>
                    <w:adjustRightInd w:val="0"/>
                    <w:snapToGrid w:val="0"/>
                    <w:jc w:val="center"/>
                    <w:rPr>
                      <w:color w:val="000000"/>
                      <w:szCs w:val="21"/>
                      <w:highlight w:val="none"/>
                    </w:rPr>
                  </w:pPr>
                  <w:r>
                    <w:rPr>
                      <w:rFonts w:hint="eastAsia"/>
                      <w:szCs w:val="21"/>
                      <w:lang w:val="en-US" w:eastAsia="zh-CN"/>
                    </w:rPr>
                    <w:t>43.9</w:t>
                  </w:r>
                </w:p>
              </w:tc>
              <w:tc>
                <w:tcPr>
                  <w:tcW w:w="1211" w:type="pct"/>
                  <w:noWrap w:val="0"/>
                  <w:vAlign w:val="center"/>
                </w:tcPr>
                <w:p w14:paraId="06FFD706">
                  <w:pPr>
                    <w:autoSpaceDE w:val="0"/>
                    <w:autoSpaceDN w:val="0"/>
                    <w:adjustRightInd w:val="0"/>
                    <w:snapToGrid w:val="0"/>
                    <w:jc w:val="center"/>
                    <w:rPr>
                      <w:color w:val="000000"/>
                      <w:szCs w:val="21"/>
                      <w:highlight w:val="none"/>
                    </w:rPr>
                  </w:pPr>
                  <w:r>
                    <w:rPr>
                      <w:color w:val="000000"/>
                      <w:szCs w:val="21"/>
                      <w:highlight w:val="none"/>
                    </w:rPr>
                    <w:t>179.55</w:t>
                  </w:r>
                </w:p>
              </w:tc>
            </w:tr>
          </w:tbl>
          <w:p w14:paraId="702F58AA">
            <w:pPr>
              <w:pStyle w:val="12"/>
              <w:spacing w:before="0" w:after="0" w:line="480" w:lineRule="exact"/>
              <w:ind w:right="0" w:firstLine="360" w:firstLineChars="200"/>
              <w:rPr>
                <w:rFonts w:hint="eastAsia"/>
              </w:rPr>
            </w:pPr>
          </w:p>
          <w:p w14:paraId="3E0A0022">
            <w:pPr>
              <w:autoSpaceDE w:val="0"/>
              <w:autoSpaceDN w:val="0"/>
              <w:adjustRightInd w:val="0"/>
              <w:snapToGrid w:val="0"/>
              <w:spacing w:line="480" w:lineRule="exact"/>
              <w:ind w:firstLine="480" w:firstLineChars="200"/>
              <w:rPr>
                <w:sz w:val="24"/>
              </w:rPr>
            </w:pPr>
            <w:r>
              <w:rPr>
                <w:sz w:val="24"/>
              </w:rPr>
              <w:t>3、现有项目存在问题及整改措施</w:t>
            </w:r>
          </w:p>
          <w:p w14:paraId="045EDD18">
            <w:pPr>
              <w:adjustRightInd w:val="0"/>
              <w:spacing w:line="480" w:lineRule="exact"/>
              <w:ind w:firstLine="480" w:firstLineChars="200"/>
              <w:rPr>
                <w:sz w:val="24"/>
                <w:szCs w:val="32"/>
              </w:rPr>
            </w:pPr>
            <w:r>
              <w:rPr>
                <w:sz w:val="24"/>
                <w:szCs w:val="32"/>
              </w:rPr>
              <w:t>根据现场勘查，现有工程存在的环境问题及整改措施如下。</w:t>
            </w:r>
          </w:p>
          <w:p w14:paraId="00D794A8">
            <w:pPr>
              <w:adjustRightInd w:val="0"/>
              <w:spacing w:line="480" w:lineRule="exact"/>
              <w:jc w:val="center"/>
              <w:rPr>
                <w:rFonts w:hint="eastAsia" w:ascii="黑体" w:hAnsi="黑体" w:eastAsia="黑体" w:cs="黑体"/>
                <w:sz w:val="24"/>
                <w:szCs w:val="32"/>
              </w:rPr>
            </w:pPr>
            <w:r>
              <w:rPr>
                <w:rFonts w:hint="eastAsia" w:ascii="黑体" w:hAnsi="黑体" w:eastAsia="黑体" w:cs="黑体"/>
                <w:sz w:val="24"/>
                <w:szCs w:val="32"/>
              </w:rPr>
              <w:t>表2-18  厂区现有工程主要环境问题及整改措施一览表</w:t>
            </w:r>
          </w:p>
          <w:tbl>
            <w:tblPr>
              <w:tblStyle w:val="38"/>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2816"/>
              <w:gridCol w:w="3847"/>
              <w:gridCol w:w="1194"/>
            </w:tblGrid>
            <w:tr w14:paraId="4257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61" w:type="dxa"/>
                  <w:noWrap w:val="0"/>
                  <w:vAlign w:val="center"/>
                </w:tcPr>
                <w:p w14:paraId="6E4C63A9">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rFonts w:ascii="Calibri" w:hAnsi="Calibri"/>
                      <w:bCs/>
                      <w:color w:val="000000"/>
                      <w:szCs w:val="21"/>
                      <w:highlight w:val="none"/>
                    </w:rPr>
                  </w:pPr>
                  <w:r>
                    <w:rPr>
                      <w:rFonts w:ascii="Calibri" w:hAnsi="Calibri"/>
                      <w:bCs/>
                      <w:color w:val="000000"/>
                      <w:szCs w:val="21"/>
                      <w:highlight w:val="none"/>
                    </w:rPr>
                    <w:t>序号</w:t>
                  </w:r>
                </w:p>
              </w:tc>
              <w:tc>
                <w:tcPr>
                  <w:tcW w:w="2816" w:type="dxa"/>
                  <w:noWrap w:val="0"/>
                  <w:vAlign w:val="center"/>
                </w:tcPr>
                <w:p w14:paraId="3FE60420">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rFonts w:ascii="Calibri" w:hAnsi="Calibri"/>
                      <w:bCs/>
                      <w:color w:val="000000"/>
                      <w:szCs w:val="21"/>
                      <w:highlight w:val="none"/>
                    </w:rPr>
                  </w:pPr>
                  <w:r>
                    <w:rPr>
                      <w:rFonts w:ascii="Calibri" w:hAnsi="Calibri"/>
                      <w:bCs/>
                      <w:color w:val="000000"/>
                      <w:szCs w:val="21"/>
                      <w:highlight w:val="none"/>
                    </w:rPr>
                    <w:t>存在的问题</w:t>
                  </w:r>
                </w:p>
              </w:tc>
              <w:tc>
                <w:tcPr>
                  <w:tcW w:w="3847" w:type="dxa"/>
                  <w:noWrap w:val="0"/>
                  <w:vAlign w:val="center"/>
                </w:tcPr>
                <w:p w14:paraId="7E45E203">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rFonts w:ascii="Calibri" w:hAnsi="Calibri"/>
                      <w:bCs/>
                      <w:color w:val="000000"/>
                      <w:szCs w:val="21"/>
                      <w:highlight w:val="none"/>
                    </w:rPr>
                  </w:pPr>
                  <w:r>
                    <w:rPr>
                      <w:rFonts w:ascii="Calibri" w:hAnsi="Calibri"/>
                      <w:bCs/>
                      <w:color w:val="000000"/>
                      <w:szCs w:val="21"/>
                      <w:highlight w:val="none"/>
                    </w:rPr>
                    <w:t>整改措施</w:t>
                  </w:r>
                </w:p>
              </w:tc>
              <w:tc>
                <w:tcPr>
                  <w:tcW w:w="1194" w:type="dxa"/>
                  <w:noWrap w:val="0"/>
                  <w:vAlign w:val="center"/>
                </w:tcPr>
                <w:p w14:paraId="1DCA63D7">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rFonts w:ascii="Calibri" w:hAnsi="Calibri"/>
                      <w:bCs/>
                      <w:color w:val="000000"/>
                      <w:szCs w:val="21"/>
                      <w:highlight w:val="none"/>
                    </w:rPr>
                  </w:pPr>
                  <w:r>
                    <w:rPr>
                      <w:rFonts w:ascii="Calibri" w:hAnsi="Calibri"/>
                      <w:bCs/>
                      <w:color w:val="000000"/>
                      <w:szCs w:val="21"/>
                      <w:highlight w:val="none"/>
                    </w:rPr>
                    <w:t>整改时限</w:t>
                  </w:r>
                </w:p>
              </w:tc>
            </w:tr>
            <w:tr w14:paraId="7D67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61" w:type="dxa"/>
                  <w:noWrap w:val="0"/>
                  <w:vAlign w:val="center"/>
                </w:tcPr>
                <w:p w14:paraId="4543A73D">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bCs/>
                      <w:color w:val="000000"/>
                      <w:szCs w:val="21"/>
                      <w:highlight w:val="none"/>
                    </w:rPr>
                  </w:pPr>
                  <w:r>
                    <w:rPr>
                      <w:rFonts w:hint="eastAsia"/>
                      <w:bCs/>
                      <w:color w:val="000000"/>
                      <w:szCs w:val="21"/>
                      <w:highlight w:val="none"/>
                    </w:rPr>
                    <w:t>1</w:t>
                  </w:r>
                </w:p>
              </w:tc>
              <w:tc>
                <w:tcPr>
                  <w:tcW w:w="2816" w:type="dxa"/>
                  <w:noWrap w:val="0"/>
                  <w:vAlign w:val="center"/>
                </w:tcPr>
                <w:p w14:paraId="2F623E92">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bCs/>
                      <w:color w:val="000000"/>
                      <w:szCs w:val="21"/>
                      <w:highlight w:val="none"/>
                    </w:rPr>
                  </w:pPr>
                  <w:r>
                    <w:rPr>
                      <w:rFonts w:hint="eastAsia" w:hAnsi="Calibri"/>
                      <w:bCs/>
                      <w:color w:val="000000"/>
                      <w:szCs w:val="21"/>
                      <w:highlight w:val="none"/>
                    </w:rPr>
                    <w:t>一般固废未按要求</w:t>
                  </w:r>
                  <w:r>
                    <w:rPr>
                      <w:rFonts w:hint="eastAsia" w:hAnsi="Calibri"/>
                      <w:bCs/>
                      <w:color w:val="000000"/>
                      <w:szCs w:val="21"/>
                      <w:highlight w:val="none"/>
                      <w:lang w:val="en-US" w:eastAsia="zh-CN"/>
                    </w:rPr>
                    <w:t>及时</w:t>
                  </w:r>
                  <w:r>
                    <w:rPr>
                      <w:rFonts w:hint="eastAsia" w:hAnsi="Calibri"/>
                      <w:bCs/>
                      <w:color w:val="000000"/>
                      <w:szCs w:val="21"/>
                      <w:highlight w:val="none"/>
                    </w:rPr>
                    <w:t>存放</w:t>
                  </w:r>
                </w:p>
              </w:tc>
              <w:tc>
                <w:tcPr>
                  <w:tcW w:w="3847" w:type="dxa"/>
                  <w:noWrap w:val="0"/>
                  <w:vAlign w:val="center"/>
                </w:tcPr>
                <w:p w14:paraId="46CDDA8D">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bCs/>
                      <w:color w:val="000000"/>
                      <w:szCs w:val="21"/>
                      <w:highlight w:val="none"/>
                    </w:rPr>
                  </w:pPr>
                  <w:r>
                    <w:rPr>
                      <w:rFonts w:hint="eastAsia"/>
                      <w:bCs/>
                      <w:color w:val="000000"/>
                      <w:szCs w:val="21"/>
                      <w:highlight w:val="none"/>
                    </w:rPr>
                    <w:t>一般固废及时收集，按要求回用或外售</w:t>
                  </w:r>
                </w:p>
              </w:tc>
              <w:tc>
                <w:tcPr>
                  <w:tcW w:w="1194" w:type="dxa"/>
                  <w:noWrap w:val="0"/>
                  <w:vAlign w:val="center"/>
                </w:tcPr>
                <w:p w14:paraId="416E4A53">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bCs/>
                      <w:color w:val="000000"/>
                      <w:szCs w:val="21"/>
                      <w:highlight w:val="none"/>
                    </w:rPr>
                  </w:pPr>
                  <w:r>
                    <w:rPr>
                      <w:bCs/>
                      <w:color w:val="000000"/>
                      <w:szCs w:val="21"/>
                      <w:highlight w:val="none"/>
                    </w:rPr>
                    <w:t>立即整改</w:t>
                  </w:r>
                </w:p>
              </w:tc>
            </w:tr>
          </w:tbl>
          <w:p w14:paraId="71D1ED46">
            <w:pPr>
              <w:adjustRightInd w:val="0"/>
              <w:snapToGrid w:val="0"/>
              <w:spacing w:line="480" w:lineRule="exact"/>
              <w:ind w:firstLine="480" w:firstLineChars="200"/>
              <w:rPr>
                <w:rFonts w:hint="eastAsia" w:ascii="宋体" w:hAnsi="宋体" w:cs="宋体"/>
                <w:sz w:val="24"/>
              </w:rPr>
            </w:pPr>
          </w:p>
          <w:p w14:paraId="3D0C6281">
            <w:pPr>
              <w:adjustRightInd w:val="0"/>
              <w:snapToGrid w:val="0"/>
              <w:spacing w:line="480" w:lineRule="exact"/>
              <w:ind w:firstLine="420" w:firstLineChars="200"/>
              <w:rPr>
                <w:rFonts w:hint="eastAsia"/>
                <w:bCs/>
                <w:szCs w:val="21"/>
              </w:rPr>
            </w:pPr>
          </w:p>
          <w:p w14:paraId="64504417">
            <w:pPr>
              <w:adjustRightInd w:val="0"/>
              <w:snapToGrid w:val="0"/>
              <w:spacing w:line="480" w:lineRule="exact"/>
              <w:ind w:firstLine="420" w:firstLineChars="200"/>
              <w:rPr>
                <w:rFonts w:hint="eastAsia"/>
                <w:bCs/>
                <w:szCs w:val="21"/>
              </w:rPr>
            </w:pPr>
          </w:p>
          <w:p w14:paraId="0B930E3B">
            <w:pPr>
              <w:adjustRightInd w:val="0"/>
              <w:snapToGrid w:val="0"/>
              <w:spacing w:line="480" w:lineRule="exact"/>
              <w:ind w:firstLine="420" w:firstLineChars="200"/>
              <w:rPr>
                <w:rFonts w:hint="eastAsia"/>
                <w:bCs/>
                <w:szCs w:val="21"/>
              </w:rPr>
            </w:pPr>
          </w:p>
          <w:p w14:paraId="1431245D">
            <w:pPr>
              <w:adjustRightInd w:val="0"/>
              <w:snapToGrid w:val="0"/>
              <w:spacing w:line="480" w:lineRule="exact"/>
              <w:ind w:firstLine="420" w:firstLineChars="200"/>
              <w:rPr>
                <w:rFonts w:hint="eastAsia"/>
                <w:bCs/>
                <w:szCs w:val="21"/>
              </w:rPr>
            </w:pPr>
          </w:p>
          <w:p w14:paraId="4B11DE6F">
            <w:pPr>
              <w:adjustRightInd w:val="0"/>
              <w:snapToGrid w:val="0"/>
              <w:spacing w:line="480" w:lineRule="exact"/>
              <w:ind w:firstLine="420" w:firstLineChars="200"/>
              <w:rPr>
                <w:rFonts w:hint="eastAsia"/>
                <w:bCs/>
                <w:szCs w:val="21"/>
              </w:rPr>
            </w:pPr>
          </w:p>
          <w:p w14:paraId="1705A67F">
            <w:pPr>
              <w:adjustRightInd w:val="0"/>
              <w:snapToGrid w:val="0"/>
              <w:spacing w:line="480" w:lineRule="exact"/>
              <w:ind w:firstLine="420" w:firstLineChars="200"/>
              <w:rPr>
                <w:rFonts w:hint="eastAsia"/>
                <w:bCs/>
                <w:szCs w:val="21"/>
              </w:rPr>
            </w:pPr>
          </w:p>
          <w:p w14:paraId="30809070">
            <w:pPr>
              <w:adjustRightInd w:val="0"/>
              <w:snapToGrid w:val="0"/>
              <w:spacing w:line="480" w:lineRule="exact"/>
              <w:ind w:firstLine="420" w:firstLineChars="200"/>
              <w:rPr>
                <w:rFonts w:hint="eastAsia"/>
                <w:bCs/>
                <w:szCs w:val="21"/>
              </w:rPr>
            </w:pPr>
          </w:p>
          <w:p w14:paraId="0F0E9419">
            <w:pPr>
              <w:adjustRightInd w:val="0"/>
              <w:snapToGrid w:val="0"/>
              <w:spacing w:line="480" w:lineRule="exact"/>
              <w:ind w:firstLine="420" w:firstLineChars="200"/>
              <w:rPr>
                <w:rFonts w:hint="eastAsia"/>
                <w:bCs/>
                <w:szCs w:val="21"/>
              </w:rPr>
            </w:pPr>
          </w:p>
          <w:p w14:paraId="3A701444">
            <w:pPr>
              <w:adjustRightInd w:val="0"/>
              <w:snapToGrid w:val="0"/>
              <w:spacing w:line="480" w:lineRule="exact"/>
              <w:ind w:firstLine="420" w:firstLineChars="200"/>
              <w:rPr>
                <w:rFonts w:hint="eastAsia"/>
                <w:bCs/>
                <w:szCs w:val="21"/>
              </w:rPr>
            </w:pPr>
          </w:p>
          <w:p w14:paraId="1C68BEFF">
            <w:pPr>
              <w:adjustRightInd w:val="0"/>
              <w:snapToGrid w:val="0"/>
              <w:spacing w:line="480" w:lineRule="exact"/>
              <w:rPr>
                <w:rFonts w:hint="eastAsia" w:eastAsia="宋体"/>
                <w:bCs/>
                <w:szCs w:val="21"/>
                <w:lang w:val="en-US" w:eastAsia="zh-CN"/>
              </w:rPr>
            </w:pPr>
          </w:p>
        </w:tc>
      </w:tr>
    </w:tbl>
    <w:p w14:paraId="782D18D9">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sectPr>
          <w:pgSz w:w="11907" w:h="16840"/>
          <w:pgMar w:top="1440" w:right="1440" w:bottom="1440" w:left="1440" w:header="851" w:footer="851" w:gutter="0"/>
          <w:pgNumType w:fmt="numberInDash"/>
          <w:cols w:space="720" w:num="1"/>
          <w:docGrid w:linePitch="312" w:charSpace="0"/>
        </w:sectPr>
      </w:pPr>
    </w:p>
    <w:p w14:paraId="7CF2C85F">
      <w:pPr>
        <w:pStyle w:val="34"/>
        <w:spacing w:before="0" w:beforeAutospacing="0" w:after="0" w:afterAutospacing="0" w:line="480" w:lineRule="exact"/>
        <w:jc w:val="center"/>
        <w:outlineLvl w:val="0"/>
        <w:rPr>
          <w:rFonts w:ascii="Times New Roman" w:hAnsi="Times New Roman" w:eastAsia="黑体"/>
          <w:snapToGrid w:val="0"/>
          <w:sz w:val="36"/>
          <w:szCs w:val="36"/>
        </w:rPr>
      </w:pPr>
      <w:bookmarkStart w:id="13" w:name="_Toc67775553"/>
      <w:r>
        <w:rPr>
          <w:rFonts w:ascii="Times New Roman" w:hAnsi="Times New Roman" w:eastAsia="黑体"/>
          <w:snapToGrid w:val="0"/>
          <w:sz w:val="36"/>
          <w:szCs w:val="36"/>
        </w:rPr>
        <w:t>三、区域环境质量现状、环境保护目标及评价标准</w:t>
      </w:r>
      <w:bookmarkEnd w:id="13"/>
    </w:p>
    <w:tbl>
      <w:tblPr>
        <w:tblStyle w:val="38"/>
        <w:tblW w:w="93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542"/>
      </w:tblGrid>
      <w:tr w14:paraId="4328F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noWrap w:val="0"/>
            <w:vAlign w:val="center"/>
          </w:tcPr>
          <w:p w14:paraId="4D7DE0F4">
            <w:pPr>
              <w:adjustRightInd w:val="0"/>
              <w:spacing w:line="420" w:lineRule="exact"/>
              <w:jc w:val="center"/>
              <w:rPr>
                <w:kern w:val="0"/>
                <w:sz w:val="24"/>
              </w:rPr>
            </w:pPr>
          </w:p>
          <w:p w14:paraId="786B6138">
            <w:pPr>
              <w:adjustRightInd w:val="0"/>
              <w:spacing w:line="420" w:lineRule="exact"/>
              <w:jc w:val="center"/>
              <w:rPr>
                <w:kern w:val="0"/>
                <w:sz w:val="24"/>
              </w:rPr>
            </w:pPr>
          </w:p>
          <w:p w14:paraId="08937577">
            <w:pPr>
              <w:adjustRightInd w:val="0"/>
              <w:spacing w:line="420" w:lineRule="exact"/>
              <w:jc w:val="center"/>
              <w:rPr>
                <w:kern w:val="0"/>
                <w:sz w:val="24"/>
              </w:rPr>
            </w:pPr>
          </w:p>
          <w:p w14:paraId="755CF866">
            <w:pPr>
              <w:adjustRightInd w:val="0"/>
              <w:spacing w:line="420" w:lineRule="exact"/>
              <w:jc w:val="center"/>
              <w:rPr>
                <w:kern w:val="0"/>
                <w:sz w:val="24"/>
              </w:rPr>
            </w:pPr>
          </w:p>
          <w:p w14:paraId="7A27E5E3">
            <w:pPr>
              <w:adjustRightInd w:val="0"/>
              <w:spacing w:line="420" w:lineRule="exact"/>
              <w:jc w:val="center"/>
              <w:rPr>
                <w:kern w:val="0"/>
                <w:sz w:val="24"/>
              </w:rPr>
            </w:pPr>
          </w:p>
          <w:p w14:paraId="3070E29E">
            <w:pPr>
              <w:adjustRightInd w:val="0"/>
              <w:spacing w:line="420" w:lineRule="exact"/>
              <w:jc w:val="center"/>
              <w:rPr>
                <w:kern w:val="0"/>
                <w:sz w:val="24"/>
              </w:rPr>
            </w:pPr>
          </w:p>
          <w:p w14:paraId="1C640ECE">
            <w:pPr>
              <w:adjustRightInd w:val="0"/>
              <w:spacing w:line="420" w:lineRule="exact"/>
              <w:jc w:val="center"/>
              <w:rPr>
                <w:kern w:val="0"/>
                <w:sz w:val="24"/>
              </w:rPr>
            </w:pPr>
          </w:p>
          <w:p w14:paraId="69144025">
            <w:pPr>
              <w:adjustRightInd w:val="0"/>
              <w:spacing w:line="420" w:lineRule="exact"/>
              <w:jc w:val="center"/>
              <w:rPr>
                <w:kern w:val="0"/>
                <w:sz w:val="24"/>
              </w:rPr>
            </w:pPr>
          </w:p>
          <w:p w14:paraId="53E6BC2A">
            <w:pPr>
              <w:adjustRightInd w:val="0"/>
              <w:spacing w:line="420" w:lineRule="exact"/>
              <w:jc w:val="center"/>
              <w:rPr>
                <w:kern w:val="0"/>
                <w:sz w:val="24"/>
              </w:rPr>
            </w:pPr>
          </w:p>
          <w:p w14:paraId="635BB79F">
            <w:pPr>
              <w:adjustRightInd w:val="0"/>
              <w:spacing w:line="420" w:lineRule="exact"/>
              <w:jc w:val="center"/>
              <w:rPr>
                <w:kern w:val="0"/>
                <w:sz w:val="24"/>
              </w:rPr>
            </w:pPr>
          </w:p>
          <w:p w14:paraId="2A48949E">
            <w:pPr>
              <w:adjustRightInd w:val="0"/>
              <w:spacing w:line="420" w:lineRule="exact"/>
              <w:jc w:val="center"/>
              <w:rPr>
                <w:kern w:val="0"/>
                <w:sz w:val="24"/>
              </w:rPr>
            </w:pPr>
          </w:p>
          <w:p w14:paraId="61E354EC">
            <w:pPr>
              <w:adjustRightInd w:val="0"/>
              <w:spacing w:line="420" w:lineRule="exact"/>
              <w:jc w:val="center"/>
              <w:rPr>
                <w:kern w:val="0"/>
                <w:sz w:val="24"/>
              </w:rPr>
            </w:pPr>
          </w:p>
          <w:p w14:paraId="01CCECB8">
            <w:pPr>
              <w:adjustRightInd w:val="0"/>
              <w:spacing w:line="420" w:lineRule="exact"/>
              <w:jc w:val="center"/>
              <w:rPr>
                <w:kern w:val="0"/>
                <w:sz w:val="24"/>
              </w:rPr>
            </w:pPr>
          </w:p>
          <w:p w14:paraId="14150674">
            <w:pPr>
              <w:adjustRightInd w:val="0"/>
              <w:spacing w:line="440" w:lineRule="exact"/>
              <w:jc w:val="center"/>
              <w:rPr>
                <w:kern w:val="0"/>
                <w:sz w:val="24"/>
              </w:rPr>
            </w:pPr>
            <w:r>
              <w:rPr>
                <w:kern w:val="0"/>
                <w:sz w:val="24"/>
              </w:rPr>
              <w:t>区域</w:t>
            </w:r>
          </w:p>
          <w:p w14:paraId="6E70C7E6">
            <w:pPr>
              <w:adjustRightInd w:val="0"/>
              <w:spacing w:line="440" w:lineRule="exact"/>
              <w:jc w:val="center"/>
              <w:rPr>
                <w:kern w:val="0"/>
                <w:sz w:val="24"/>
              </w:rPr>
            </w:pPr>
            <w:r>
              <w:rPr>
                <w:kern w:val="0"/>
                <w:sz w:val="24"/>
              </w:rPr>
              <w:t>环境</w:t>
            </w:r>
          </w:p>
          <w:p w14:paraId="1B2A484F">
            <w:pPr>
              <w:adjustRightInd w:val="0"/>
              <w:spacing w:line="440" w:lineRule="exact"/>
              <w:jc w:val="center"/>
              <w:rPr>
                <w:kern w:val="0"/>
                <w:sz w:val="24"/>
              </w:rPr>
            </w:pPr>
            <w:r>
              <w:rPr>
                <w:kern w:val="0"/>
                <w:sz w:val="24"/>
              </w:rPr>
              <w:t>质量</w:t>
            </w:r>
          </w:p>
          <w:p w14:paraId="427E8059">
            <w:pPr>
              <w:adjustRightInd w:val="0"/>
              <w:spacing w:line="440" w:lineRule="exact"/>
              <w:jc w:val="center"/>
              <w:rPr>
                <w:kern w:val="0"/>
                <w:sz w:val="24"/>
              </w:rPr>
            </w:pPr>
            <w:r>
              <w:rPr>
                <w:kern w:val="0"/>
                <w:sz w:val="24"/>
              </w:rPr>
              <w:t>现状</w:t>
            </w:r>
          </w:p>
          <w:p w14:paraId="7E0A497A">
            <w:pPr>
              <w:adjustRightInd w:val="0"/>
              <w:spacing w:line="420" w:lineRule="exact"/>
              <w:jc w:val="center"/>
              <w:rPr>
                <w:kern w:val="0"/>
                <w:sz w:val="24"/>
              </w:rPr>
            </w:pPr>
          </w:p>
          <w:p w14:paraId="1C3027B6">
            <w:pPr>
              <w:adjustRightInd w:val="0"/>
              <w:spacing w:line="420" w:lineRule="exact"/>
              <w:jc w:val="center"/>
              <w:rPr>
                <w:kern w:val="0"/>
                <w:sz w:val="24"/>
              </w:rPr>
            </w:pPr>
          </w:p>
          <w:p w14:paraId="370C3780">
            <w:pPr>
              <w:adjustRightInd w:val="0"/>
              <w:spacing w:line="420" w:lineRule="exact"/>
              <w:jc w:val="center"/>
              <w:rPr>
                <w:kern w:val="0"/>
                <w:sz w:val="24"/>
              </w:rPr>
            </w:pPr>
          </w:p>
          <w:p w14:paraId="532C7B9B">
            <w:pPr>
              <w:adjustRightInd w:val="0"/>
              <w:spacing w:line="420" w:lineRule="exact"/>
              <w:jc w:val="center"/>
              <w:rPr>
                <w:kern w:val="0"/>
                <w:sz w:val="24"/>
              </w:rPr>
            </w:pPr>
          </w:p>
          <w:p w14:paraId="246C1060">
            <w:pPr>
              <w:adjustRightInd w:val="0"/>
              <w:spacing w:line="420" w:lineRule="exact"/>
              <w:jc w:val="center"/>
              <w:rPr>
                <w:kern w:val="0"/>
                <w:sz w:val="24"/>
              </w:rPr>
            </w:pPr>
          </w:p>
          <w:p w14:paraId="04A74B19">
            <w:pPr>
              <w:adjustRightInd w:val="0"/>
              <w:spacing w:line="420" w:lineRule="exact"/>
              <w:jc w:val="center"/>
              <w:rPr>
                <w:kern w:val="0"/>
                <w:sz w:val="24"/>
              </w:rPr>
            </w:pPr>
          </w:p>
          <w:p w14:paraId="5C93EEB6">
            <w:pPr>
              <w:adjustRightInd w:val="0"/>
              <w:spacing w:line="420" w:lineRule="exact"/>
              <w:jc w:val="center"/>
              <w:rPr>
                <w:kern w:val="0"/>
                <w:sz w:val="24"/>
              </w:rPr>
            </w:pPr>
          </w:p>
          <w:p w14:paraId="39169AD1">
            <w:pPr>
              <w:adjustRightInd w:val="0"/>
              <w:spacing w:line="420" w:lineRule="exact"/>
              <w:jc w:val="center"/>
              <w:rPr>
                <w:kern w:val="0"/>
                <w:sz w:val="24"/>
              </w:rPr>
            </w:pPr>
          </w:p>
          <w:p w14:paraId="31797EE5">
            <w:pPr>
              <w:adjustRightInd w:val="0"/>
              <w:spacing w:line="420" w:lineRule="exact"/>
              <w:jc w:val="center"/>
              <w:rPr>
                <w:kern w:val="0"/>
                <w:sz w:val="24"/>
              </w:rPr>
            </w:pPr>
          </w:p>
          <w:p w14:paraId="43641DEC">
            <w:pPr>
              <w:adjustRightInd w:val="0"/>
              <w:spacing w:line="420" w:lineRule="exact"/>
              <w:jc w:val="center"/>
              <w:rPr>
                <w:kern w:val="0"/>
                <w:sz w:val="24"/>
              </w:rPr>
            </w:pPr>
          </w:p>
          <w:p w14:paraId="02A5FDB9">
            <w:pPr>
              <w:adjustRightInd w:val="0"/>
              <w:spacing w:line="420" w:lineRule="exact"/>
              <w:jc w:val="center"/>
              <w:rPr>
                <w:kern w:val="0"/>
                <w:sz w:val="24"/>
              </w:rPr>
            </w:pPr>
          </w:p>
          <w:p w14:paraId="07C97DEF">
            <w:pPr>
              <w:adjustRightInd w:val="0"/>
              <w:spacing w:line="420" w:lineRule="exact"/>
              <w:jc w:val="center"/>
              <w:rPr>
                <w:kern w:val="0"/>
                <w:sz w:val="24"/>
              </w:rPr>
            </w:pPr>
          </w:p>
          <w:p w14:paraId="674354ED">
            <w:pPr>
              <w:adjustRightInd w:val="0"/>
              <w:spacing w:line="440" w:lineRule="exact"/>
              <w:jc w:val="center"/>
              <w:rPr>
                <w:kern w:val="0"/>
                <w:sz w:val="24"/>
              </w:rPr>
            </w:pPr>
          </w:p>
          <w:p w14:paraId="16410724">
            <w:pPr>
              <w:adjustRightInd w:val="0"/>
              <w:spacing w:line="440" w:lineRule="exact"/>
              <w:jc w:val="center"/>
              <w:rPr>
                <w:kern w:val="0"/>
                <w:sz w:val="24"/>
              </w:rPr>
            </w:pPr>
          </w:p>
          <w:p w14:paraId="00213F4B">
            <w:pPr>
              <w:adjustRightInd w:val="0"/>
              <w:spacing w:line="420" w:lineRule="exact"/>
              <w:jc w:val="center"/>
              <w:rPr>
                <w:kern w:val="0"/>
                <w:sz w:val="24"/>
              </w:rPr>
            </w:pPr>
          </w:p>
          <w:p w14:paraId="3F9B9C4B">
            <w:pPr>
              <w:adjustRightInd w:val="0"/>
              <w:spacing w:line="420" w:lineRule="exact"/>
              <w:jc w:val="center"/>
              <w:rPr>
                <w:kern w:val="0"/>
                <w:sz w:val="24"/>
              </w:rPr>
            </w:pPr>
          </w:p>
          <w:p w14:paraId="3E16C956">
            <w:pPr>
              <w:adjustRightInd w:val="0"/>
              <w:spacing w:line="420" w:lineRule="exact"/>
              <w:jc w:val="center"/>
              <w:rPr>
                <w:kern w:val="0"/>
                <w:sz w:val="24"/>
              </w:rPr>
            </w:pPr>
          </w:p>
          <w:p w14:paraId="6E66F0AF">
            <w:pPr>
              <w:adjustRightInd w:val="0"/>
              <w:spacing w:line="420" w:lineRule="exact"/>
              <w:jc w:val="center"/>
              <w:rPr>
                <w:kern w:val="0"/>
                <w:sz w:val="24"/>
              </w:rPr>
            </w:pPr>
          </w:p>
          <w:p w14:paraId="259F00A4">
            <w:pPr>
              <w:adjustRightInd w:val="0"/>
              <w:spacing w:line="420" w:lineRule="exact"/>
              <w:jc w:val="center"/>
              <w:rPr>
                <w:kern w:val="0"/>
                <w:sz w:val="24"/>
              </w:rPr>
            </w:pPr>
          </w:p>
          <w:p w14:paraId="634C40EE">
            <w:pPr>
              <w:adjustRightInd w:val="0"/>
              <w:spacing w:line="420" w:lineRule="exact"/>
              <w:jc w:val="center"/>
              <w:rPr>
                <w:kern w:val="0"/>
                <w:sz w:val="24"/>
              </w:rPr>
            </w:pPr>
          </w:p>
          <w:p w14:paraId="2AC06186">
            <w:pPr>
              <w:adjustRightInd w:val="0"/>
              <w:spacing w:line="420" w:lineRule="exact"/>
              <w:jc w:val="center"/>
              <w:rPr>
                <w:kern w:val="0"/>
                <w:sz w:val="24"/>
              </w:rPr>
            </w:pPr>
          </w:p>
          <w:p w14:paraId="68CA6EB3">
            <w:pPr>
              <w:adjustRightInd w:val="0"/>
              <w:spacing w:line="420" w:lineRule="exact"/>
              <w:jc w:val="center"/>
              <w:rPr>
                <w:kern w:val="0"/>
                <w:sz w:val="24"/>
              </w:rPr>
            </w:pPr>
          </w:p>
          <w:p w14:paraId="706A6E62">
            <w:pPr>
              <w:adjustRightInd w:val="0"/>
              <w:spacing w:line="420" w:lineRule="exact"/>
              <w:jc w:val="center"/>
              <w:rPr>
                <w:kern w:val="0"/>
                <w:sz w:val="24"/>
              </w:rPr>
            </w:pPr>
          </w:p>
          <w:p w14:paraId="31A81CE7">
            <w:pPr>
              <w:adjustRightInd w:val="0"/>
              <w:spacing w:line="420" w:lineRule="exact"/>
              <w:jc w:val="center"/>
              <w:rPr>
                <w:kern w:val="0"/>
                <w:sz w:val="24"/>
              </w:rPr>
            </w:pPr>
          </w:p>
          <w:p w14:paraId="1761772D">
            <w:pPr>
              <w:adjustRightInd w:val="0"/>
              <w:spacing w:line="420" w:lineRule="exact"/>
              <w:jc w:val="center"/>
              <w:rPr>
                <w:kern w:val="0"/>
                <w:sz w:val="24"/>
              </w:rPr>
            </w:pPr>
          </w:p>
          <w:p w14:paraId="3F1773BA">
            <w:pPr>
              <w:adjustRightInd w:val="0"/>
              <w:spacing w:line="420" w:lineRule="exact"/>
              <w:jc w:val="center"/>
              <w:rPr>
                <w:kern w:val="0"/>
                <w:sz w:val="24"/>
              </w:rPr>
            </w:pPr>
          </w:p>
          <w:p w14:paraId="3DA405F9">
            <w:pPr>
              <w:adjustRightInd w:val="0"/>
              <w:spacing w:line="420" w:lineRule="exact"/>
              <w:jc w:val="center"/>
              <w:rPr>
                <w:kern w:val="0"/>
                <w:sz w:val="24"/>
              </w:rPr>
            </w:pPr>
          </w:p>
          <w:p w14:paraId="79AA6815">
            <w:pPr>
              <w:adjustRightInd w:val="0"/>
              <w:spacing w:line="440" w:lineRule="exact"/>
              <w:jc w:val="center"/>
              <w:rPr>
                <w:kern w:val="0"/>
                <w:sz w:val="24"/>
              </w:rPr>
            </w:pPr>
            <w:r>
              <w:rPr>
                <w:kern w:val="0"/>
                <w:sz w:val="24"/>
              </w:rPr>
              <w:t>区域</w:t>
            </w:r>
          </w:p>
          <w:p w14:paraId="633F95C8">
            <w:pPr>
              <w:adjustRightInd w:val="0"/>
              <w:spacing w:line="440" w:lineRule="exact"/>
              <w:jc w:val="center"/>
              <w:rPr>
                <w:kern w:val="0"/>
                <w:sz w:val="24"/>
              </w:rPr>
            </w:pPr>
            <w:r>
              <w:rPr>
                <w:kern w:val="0"/>
                <w:sz w:val="24"/>
              </w:rPr>
              <w:t>环境</w:t>
            </w:r>
          </w:p>
          <w:p w14:paraId="5716AD14">
            <w:pPr>
              <w:adjustRightInd w:val="0"/>
              <w:spacing w:line="440" w:lineRule="exact"/>
              <w:jc w:val="center"/>
              <w:rPr>
                <w:kern w:val="0"/>
                <w:sz w:val="24"/>
              </w:rPr>
            </w:pPr>
            <w:r>
              <w:rPr>
                <w:kern w:val="0"/>
                <w:sz w:val="24"/>
              </w:rPr>
              <w:t>质量</w:t>
            </w:r>
          </w:p>
          <w:p w14:paraId="5FCB8BCA">
            <w:pPr>
              <w:adjustRightInd w:val="0"/>
              <w:spacing w:line="440" w:lineRule="exact"/>
              <w:jc w:val="center"/>
              <w:rPr>
                <w:kern w:val="0"/>
                <w:sz w:val="24"/>
              </w:rPr>
            </w:pPr>
            <w:r>
              <w:rPr>
                <w:kern w:val="0"/>
                <w:sz w:val="24"/>
              </w:rPr>
              <w:t>现状</w:t>
            </w:r>
          </w:p>
          <w:p w14:paraId="13FBAA4A">
            <w:pPr>
              <w:adjustRightInd w:val="0"/>
              <w:spacing w:line="420" w:lineRule="exact"/>
              <w:jc w:val="center"/>
              <w:rPr>
                <w:kern w:val="0"/>
                <w:sz w:val="24"/>
              </w:rPr>
            </w:pPr>
          </w:p>
          <w:p w14:paraId="251A75CB">
            <w:pPr>
              <w:adjustRightInd w:val="0"/>
              <w:spacing w:line="420" w:lineRule="exact"/>
              <w:jc w:val="center"/>
              <w:rPr>
                <w:kern w:val="0"/>
                <w:sz w:val="24"/>
              </w:rPr>
            </w:pPr>
          </w:p>
          <w:p w14:paraId="5B86A2CD">
            <w:pPr>
              <w:adjustRightInd w:val="0"/>
              <w:spacing w:line="420" w:lineRule="exact"/>
              <w:jc w:val="center"/>
              <w:rPr>
                <w:kern w:val="0"/>
                <w:sz w:val="24"/>
              </w:rPr>
            </w:pPr>
          </w:p>
          <w:p w14:paraId="3086936A">
            <w:pPr>
              <w:adjustRightInd w:val="0"/>
              <w:spacing w:line="420" w:lineRule="exact"/>
              <w:jc w:val="center"/>
              <w:rPr>
                <w:kern w:val="0"/>
                <w:sz w:val="24"/>
              </w:rPr>
            </w:pPr>
          </w:p>
          <w:p w14:paraId="5716E9EF">
            <w:pPr>
              <w:adjustRightInd w:val="0"/>
              <w:spacing w:line="420" w:lineRule="exact"/>
              <w:jc w:val="center"/>
              <w:rPr>
                <w:kern w:val="0"/>
                <w:sz w:val="24"/>
              </w:rPr>
            </w:pPr>
          </w:p>
          <w:p w14:paraId="1D5642B2">
            <w:pPr>
              <w:adjustRightInd w:val="0"/>
              <w:spacing w:line="420" w:lineRule="exact"/>
              <w:jc w:val="center"/>
              <w:rPr>
                <w:kern w:val="0"/>
                <w:sz w:val="24"/>
              </w:rPr>
            </w:pPr>
          </w:p>
          <w:p w14:paraId="1CA1B33C">
            <w:pPr>
              <w:adjustRightInd w:val="0"/>
              <w:spacing w:line="420" w:lineRule="exact"/>
              <w:jc w:val="center"/>
              <w:rPr>
                <w:kern w:val="0"/>
                <w:sz w:val="24"/>
              </w:rPr>
            </w:pPr>
          </w:p>
          <w:p w14:paraId="6AF9EC4A">
            <w:pPr>
              <w:adjustRightInd w:val="0"/>
              <w:spacing w:line="420" w:lineRule="exact"/>
              <w:jc w:val="center"/>
              <w:rPr>
                <w:kern w:val="0"/>
                <w:sz w:val="24"/>
              </w:rPr>
            </w:pPr>
          </w:p>
          <w:p w14:paraId="33B44AC2">
            <w:pPr>
              <w:adjustRightInd w:val="0"/>
              <w:spacing w:line="420" w:lineRule="exact"/>
              <w:jc w:val="center"/>
              <w:rPr>
                <w:kern w:val="0"/>
                <w:sz w:val="24"/>
              </w:rPr>
            </w:pPr>
          </w:p>
          <w:p w14:paraId="0C50FA34">
            <w:pPr>
              <w:adjustRightInd w:val="0"/>
              <w:spacing w:line="420" w:lineRule="exact"/>
              <w:jc w:val="center"/>
              <w:rPr>
                <w:kern w:val="0"/>
                <w:sz w:val="24"/>
              </w:rPr>
            </w:pPr>
          </w:p>
          <w:p w14:paraId="6948A779">
            <w:pPr>
              <w:adjustRightInd w:val="0"/>
              <w:spacing w:line="420" w:lineRule="exact"/>
              <w:jc w:val="center"/>
              <w:rPr>
                <w:kern w:val="0"/>
                <w:sz w:val="24"/>
              </w:rPr>
            </w:pPr>
          </w:p>
          <w:p w14:paraId="3C87813E">
            <w:pPr>
              <w:adjustRightInd w:val="0"/>
              <w:spacing w:line="420" w:lineRule="exact"/>
              <w:jc w:val="center"/>
              <w:rPr>
                <w:kern w:val="0"/>
                <w:sz w:val="24"/>
              </w:rPr>
            </w:pPr>
          </w:p>
          <w:p w14:paraId="5A9EC014">
            <w:pPr>
              <w:adjustRightInd w:val="0"/>
              <w:spacing w:line="440" w:lineRule="exact"/>
              <w:jc w:val="center"/>
              <w:rPr>
                <w:kern w:val="0"/>
                <w:sz w:val="24"/>
              </w:rPr>
            </w:pPr>
          </w:p>
          <w:p w14:paraId="6B4F2A48">
            <w:pPr>
              <w:adjustRightInd w:val="0"/>
              <w:spacing w:line="440" w:lineRule="exact"/>
              <w:jc w:val="center"/>
              <w:rPr>
                <w:kern w:val="0"/>
                <w:sz w:val="24"/>
              </w:rPr>
            </w:pPr>
          </w:p>
          <w:p w14:paraId="0EEA7755">
            <w:pPr>
              <w:adjustRightInd w:val="0"/>
              <w:spacing w:line="440" w:lineRule="exact"/>
              <w:jc w:val="center"/>
              <w:rPr>
                <w:kern w:val="0"/>
                <w:sz w:val="24"/>
              </w:rPr>
            </w:pPr>
          </w:p>
          <w:p w14:paraId="1120EAF2">
            <w:pPr>
              <w:adjustRightInd w:val="0"/>
              <w:spacing w:line="420" w:lineRule="exact"/>
              <w:jc w:val="center"/>
              <w:rPr>
                <w:kern w:val="0"/>
                <w:sz w:val="24"/>
              </w:rPr>
            </w:pPr>
          </w:p>
          <w:p w14:paraId="44A605CC">
            <w:pPr>
              <w:adjustRightInd w:val="0"/>
              <w:spacing w:line="420" w:lineRule="exact"/>
              <w:jc w:val="center"/>
              <w:rPr>
                <w:kern w:val="0"/>
                <w:sz w:val="24"/>
              </w:rPr>
            </w:pPr>
          </w:p>
          <w:p w14:paraId="5ADF9023">
            <w:pPr>
              <w:adjustRightInd w:val="0"/>
              <w:spacing w:line="420" w:lineRule="exact"/>
              <w:jc w:val="center"/>
              <w:rPr>
                <w:kern w:val="0"/>
                <w:sz w:val="24"/>
              </w:rPr>
            </w:pPr>
          </w:p>
          <w:p w14:paraId="5CFFD1A0">
            <w:pPr>
              <w:adjustRightInd w:val="0"/>
              <w:spacing w:line="420" w:lineRule="exact"/>
              <w:jc w:val="center"/>
              <w:rPr>
                <w:kern w:val="0"/>
                <w:sz w:val="24"/>
              </w:rPr>
            </w:pPr>
          </w:p>
          <w:p w14:paraId="0CA09EA0">
            <w:pPr>
              <w:adjustRightInd w:val="0"/>
              <w:spacing w:line="420" w:lineRule="exact"/>
              <w:jc w:val="center"/>
              <w:rPr>
                <w:kern w:val="0"/>
                <w:sz w:val="24"/>
              </w:rPr>
            </w:pPr>
          </w:p>
          <w:p w14:paraId="54E86EE0">
            <w:pPr>
              <w:adjustRightInd w:val="0"/>
              <w:spacing w:line="420" w:lineRule="exact"/>
              <w:jc w:val="center"/>
              <w:rPr>
                <w:kern w:val="0"/>
                <w:sz w:val="24"/>
              </w:rPr>
            </w:pPr>
          </w:p>
          <w:p w14:paraId="0D37F066">
            <w:pPr>
              <w:adjustRightInd w:val="0"/>
              <w:spacing w:line="420" w:lineRule="exact"/>
              <w:jc w:val="center"/>
              <w:rPr>
                <w:kern w:val="0"/>
                <w:sz w:val="24"/>
              </w:rPr>
            </w:pPr>
          </w:p>
          <w:p w14:paraId="3B7D178A">
            <w:pPr>
              <w:adjustRightInd w:val="0"/>
              <w:spacing w:line="420" w:lineRule="exact"/>
              <w:jc w:val="center"/>
              <w:rPr>
                <w:kern w:val="0"/>
                <w:sz w:val="24"/>
              </w:rPr>
            </w:pPr>
          </w:p>
          <w:p w14:paraId="608A9994">
            <w:pPr>
              <w:adjustRightInd w:val="0"/>
              <w:spacing w:line="420" w:lineRule="exact"/>
              <w:jc w:val="center"/>
              <w:rPr>
                <w:kern w:val="0"/>
                <w:sz w:val="24"/>
              </w:rPr>
            </w:pPr>
          </w:p>
          <w:p w14:paraId="167FDA29">
            <w:pPr>
              <w:adjustRightInd w:val="0"/>
              <w:spacing w:line="420" w:lineRule="exact"/>
              <w:jc w:val="center"/>
              <w:rPr>
                <w:kern w:val="0"/>
                <w:sz w:val="24"/>
              </w:rPr>
            </w:pPr>
          </w:p>
          <w:p w14:paraId="24F1B970">
            <w:pPr>
              <w:adjustRightInd w:val="0"/>
              <w:spacing w:line="420" w:lineRule="exact"/>
              <w:jc w:val="center"/>
              <w:rPr>
                <w:kern w:val="0"/>
                <w:sz w:val="24"/>
              </w:rPr>
            </w:pPr>
          </w:p>
          <w:p w14:paraId="034BA838">
            <w:pPr>
              <w:adjustRightInd w:val="0"/>
              <w:spacing w:line="420" w:lineRule="exact"/>
              <w:jc w:val="center"/>
              <w:rPr>
                <w:kern w:val="0"/>
                <w:sz w:val="24"/>
              </w:rPr>
            </w:pPr>
          </w:p>
          <w:p w14:paraId="6E17D377">
            <w:pPr>
              <w:adjustRightInd w:val="0"/>
              <w:spacing w:line="420" w:lineRule="exact"/>
              <w:jc w:val="center"/>
              <w:rPr>
                <w:kern w:val="0"/>
                <w:sz w:val="24"/>
              </w:rPr>
            </w:pPr>
          </w:p>
          <w:p w14:paraId="2183C3BE">
            <w:pPr>
              <w:adjustRightInd w:val="0"/>
              <w:spacing w:line="440" w:lineRule="exact"/>
              <w:jc w:val="center"/>
              <w:rPr>
                <w:kern w:val="0"/>
                <w:sz w:val="24"/>
              </w:rPr>
            </w:pPr>
            <w:r>
              <w:rPr>
                <w:kern w:val="0"/>
                <w:sz w:val="24"/>
              </w:rPr>
              <w:t>区域</w:t>
            </w:r>
          </w:p>
          <w:p w14:paraId="0BA37F56">
            <w:pPr>
              <w:adjustRightInd w:val="0"/>
              <w:spacing w:line="440" w:lineRule="exact"/>
              <w:jc w:val="center"/>
              <w:rPr>
                <w:kern w:val="0"/>
                <w:sz w:val="24"/>
              </w:rPr>
            </w:pPr>
            <w:r>
              <w:rPr>
                <w:kern w:val="0"/>
                <w:sz w:val="24"/>
              </w:rPr>
              <w:t>环境</w:t>
            </w:r>
          </w:p>
          <w:p w14:paraId="1D783578">
            <w:pPr>
              <w:adjustRightInd w:val="0"/>
              <w:spacing w:line="440" w:lineRule="exact"/>
              <w:jc w:val="center"/>
              <w:rPr>
                <w:kern w:val="0"/>
                <w:sz w:val="24"/>
              </w:rPr>
            </w:pPr>
            <w:r>
              <w:rPr>
                <w:kern w:val="0"/>
                <w:sz w:val="24"/>
              </w:rPr>
              <w:t>质量</w:t>
            </w:r>
          </w:p>
          <w:p w14:paraId="73C3428A">
            <w:pPr>
              <w:adjustRightInd w:val="0"/>
              <w:spacing w:line="440" w:lineRule="exact"/>
              <w:jc w:val="center"/>
              <w:rPr>
                <w:kern w:val="0"/>
                <w:sz w:val="24"/>
              </w:rPr>
            </w:pPr>
            <w:r>
              <w:rPr>
                <w:kern w:val="0"/>
                <w:sz w:val="24"/>
              </w:rPr>
              <w:t>现状</w:t>
            </w:r>
          </w:p>
          <w:p w14:paraId="46D5AE74">
            <w:pPr>
              <w:adjustRightInd w:val="0"/>
              <w:spacing w:line="420" w:lineRule="exact"/>
              <w:jc w:val="center"/>
              <w:rPr>
                <w:kern w:val="0"/>
                <w:sz w:val="24"/>
              </w:rPr>
            </w:pPr>
          </w:p>
          <w:p w14:paraId="3CCE7C7E">
            <w:pPr>
              <w:adjustRightInd w:val="0"/>
              <w:spacing w:line="420" w:lineRule="exact"/>
              <w:jc w:val="center"/>
              <w:rPr>
                <w:kern w:val="0"/>
                <w:sz w:val="24"/>
              </w:rPr>
            </w:pPr>
          </w:p>
          <w:p w14:paraId="5F50FF64">
            <w:pPr>
              <w:adjustRightInd w:val="0"/>
              <w:spacing w:line="420" w:lineRule="exact"/>
              <w:jc w:val="center"/>
              <w:rPr>
                <w:kern w:val="0"/>
                <w:sz w:val="24"/>
              </w:rPr>
            </w:pPr>
          </w:p>
          <w:p w14:paraId="15876D6E">
            <w:pPr>
              <w:adjustRightInd w:val="0"/>
              <w:spacing w:line="420" w:lineRule="exact"/>
              <w:jc w:val="center"/>
              <w:rPr>
                <w:kern w:val="0"/>
                <w:sz w:val="24"/>
              </w:rPr>
            </w:pPr>
          </w:p>
          <w:p w14:paraId="68AA1F05">
            <w:pPr>
              <w:adjustRightInd w:val="0"/>
              <w:spacing w:line="420" w:lineRule="exact"/>
              <w:jc w:val="center"/>
              <w:rPr>
                <w:kern w:val="0"/>
                <w:sz w:val="24"/>
              </w:rPr>
            </w:pPr>
          </w:p>
          <w:p w14:paraId="2875695E">
            <w:pPr>
              <w:adjustRightInd w:val="0"/>
              <w:spacing w:line="420" w:lineRule="exact"/>
              <w:jc w:val="center"/>
              <w:rPr>
                <w:kern w:val="0"/>
                <w:sz w:val="24"/>
              </w:rPr>
            </w:pPr>
          </w:p>
          <w:p w14:paraId="0E402787">
            <w:pPr>
              <w:adjustRightInd w:val="0"/>
              <w:spacing w:line="420" w:lineRule="exact"/>
              <w:jc w:val="center"/>
              <w:rPr>
                <w:kern w:val="0"/>
                <w:sz w:val="24"/>
              </w:rPr>
            </w:pPr>
          </w:p>
          <w:p w14:paraId="0A4B8A39">
            <w:pPr>
              <w:adjustRightInd w:val="0"/>
              <w:spacing w:line="420" w:lineRule="exact"/>
              <w:jc w:val="center"/>
              <w:rPr>
                <w:kern w:val="0"/>
                <w:sz w:val="24"/>
              </w:rPr>
            </w:pPr>
          </w:p>
          <w:p w14:paraId="78D0A8FD">
            <w:pPr>
              <w:adjustRightInd w:val="0"/>
              <w:spacing w:line="420" w:lineRule="exact"/>
              <w:jc w:val="center"/>
              <w:rPr>
                <w:kern w:val="0"/>
                <w:sz w:val="24"/>
              </w:rPr>
            </w:pPr>
          </w:p>
          <w:p w14:paraId="74DFD0BE">
            <w:pPr>
              <w:adjustRightInd w:val="0"/>
              <w:spacing w:line="420" w:lineRule="exact"/>
              <w:jc w:val="center"/>
              <w:rPr>
                <w:kern w:val="0"/>
                <w:sz w:val="24"/>
              </w:rPr>
            </w:pPr>
          </w:p>
          <w:p w14:paraId="02C2D6F5">
            <w:pPr>
              <w:adjustRightInd w:val="0"/>
              <w:spacing w:line="420" w:lineRule="exact"/>
              <w:jc w:val="center"/>
              <w:rPr>
                <w:kern w:val="0"/>
                <w:sz w:val="24"/>
              </w:rPr>
            </w:pPr>
          </w:p>
          <w:p w14:paraId="0428B0FC">
            <w:pPr>
              <w:adjustRightInd w:val="0"/>
              <w:spacing w:line="420" w:lineRule="exact"/>
              <w:jc w:val="center"/>
              <w:rPr>
                <w:kern w:val="0"/>
                <w:sz w:val="24"/>
              </w:rPr>
            </w:pPr>
          </w:p>
          <w:p w14:paraId="3C0398D2">
            <w:pPr>
              <w:adjustRightInd w:val="0"/>
              <w:spacing w:line="440" w:lineRule="exact"/>
              <w:jc w:val="center"/>
              <w:rPr>
                <w:kern w:val="0"/>
                <w:sz w:val="24"/>
              </w:rPr>
            </w:pPr>
          </w:p>
          <w:p w14:paraId="1187FE65">
            <w:pPr>
              <w:adjustRightInd w:val="0"/>
              <w:spacing w:line="440" w:lineRule="exact"/>
              <w:jc w:val="center"/>
              <w:rPr>
                <w:kern w:val="0"/>
                <w:sz w:val="24"/>
              </w:rPr>
            </w:pPr>
          </w:p>
          <w:p w14:paraId="11361547">
            <w:pPr>
              <w:adjustRightInd w:val="0"/>
              <w:spacing w:line="440" w:lineRule="exact"/>
              <w:rPr>
                <w:kern w:val="0"/>
                <w:sz w:val="24"/>
              </w:rPr>
            </w:pPr>
          </w:p>
        </w:tc>
        <w:tc>
          <w:tcPr>
            <w:tcW w:w="8542" w:type="dxa"/>
            <w:noWrap w:val="0"/>
            <w:vAlign w:val="center"/>
          </w:tcPr>
          <w:p w14:paraId="23273B3F">
            <w:pPr>
              <w:pStyle w:val="12"/>
              <w:snapToGrid/>
              <w:spacing w:before="0" w:after="0" w:line="480" w:lineRule="exact"/>
              <w:ind w:right="0" w:firstLine="360" w:firstLineChars="150"/>
              <w:rPr>
                <w:rFonts w:hint="eastAsia" w:ascii="黑体" w:hAnsi="黑体" w:eastAsia="黑体" w:cs="黑体"/>
                <w:bCs/>
                <w:sz w:val="24"/>
                <w:szCs w:val="24"/>
              </w:rPr>
            </w:pPr>
            <w:r>
              <w:rPr>
                <w:rFonts w:hint="eastAsia" w:ascii="黑体" w:hAnsi="黑体" w:eastAsia="黑体" w:cs="黑体"/>
                <w:bCs/>
                <w:sz w:val="24"/>
                <w:szCs w:val="24"/>
              </w:rPr>
              <w:t>1、环境空气质量现状</w:t>
            </w:r>
          </w:p>
          <w:p w14:paraId="627B6DEB">
            <w:pPr>
              <w:spacing w:line="480" w:lineRule="exact"/>
              <w:ind w:firstLine="480" w:firstLineChars="200"/>
              <w:rPr>
                <w:rFonts w:hint="eastAsia" w:ascii="黑体" w:hAnsi="黑体" w:eastAsia="黑体" w:cs="黑体"/>
                <w:bCs/>
                <w:sz w:val="24"/>
              </w:rPr>
            </w:pPr>
            <w:r>
              <w:rPr>
                <w:rFonts w:hint="eastAsia" w:ascii="黑体" w:hAnsi="黑体" w:eastAsia="黑体" w:cs="黑体"/>
                <w:bCs/>
                <w:sz w:val="24"/>
              </w:rPr>
              <w:t>(1)达标区判定</w:t>
            </w:r>
          </w:p>
          <w:p w14:paraId="3A147B1F">
            <w:pPr>
              <w:pStyle w:val="205"/>
              <w:spacing w:line="480" w:lineRule="exact"/>
              <w:ind w:firstLine="383"/>
              <w:rPr>
                <w:rFonts w:hint="eastAsia" w:ascii="Times New Roman" w:hAnsi="Times New Roman" w:eastAsia="Times New Roman" w:cs="Times New Roman"/>
                <w:spacing w:val="-4"/>
                <w:sz w:val="24"/>
                <w:szCs w:val="24"/>
                <w:lang w:eastAsia="zh-CN"/>
              </w:rPr>
            </w:pPr>
            <w:r>
              <w:rPr>
                <w:spacing w:val="-4"/>
                <w:sz w:val="24"/>
                <w:szCs w:val="24"/>
                <w:lang w:eastAsia="zh-CN"/>
              </w:rPr>
              <w:t>根据淮南市生态环境局发布的《</w:t>
            </w:r>
            <w:r>
              <w:rPr>
                <w:rFonts w:ascii="Times New Roman" w:hAnsi="Times New Roman" w:eastAsia="Times New Roman" w:cs="Times New Roman"/>
                <w:spacing w:val="-4"/>
                <w:sz w:val="24"/>
                <w:szCs w:val="24"/>
                <w:lang w:eastAsia="zh-CN"/>
              </w:rPr>
              <w:t>202</w:t>
            </w:r>
            <w:r>
              <w:rPr>
                <w:rFonts w:hint="eastAsia" w:ascii="Times New Roman" w:hAnsi="Times New Roman" w:cs="Times New Roman"/>
                <w:spacing w:val="-4"/>
                <w:sz w:val="24"/>
                <w:szCs w:val="24"/>
                <w:lang w:eastAsia="zh-CN"/>
              </w:rPr>
              <w:t>5</w:t>
            </w:r>
            <w:r>
              <w:rPr>
                <w:spacing w:val="-4"/>
                <w:sz w:val="24"/>
                <w:szCs w:val="24"/>
                <w:lang w:eastAsia="zh-CN"/>
              </w:rPr>
              <w:t>年淮南市环境质量公报》可知，</w:t>
            </w:r>
            <w:r>
              <w:rPr>
                <w:rFonts w:hint="eastAsia" w:ascii="Times New Roman" w:hAnsi="Times New Roman" w:eastAsia="Times New Roman" w:cs="Times New Roman"/>
                <w:spacing w:val="-4"/>
                <w:sz w:val="24"/>
                <w:szCs w:val="24"/>
                <w:lang w:eastAsia="zh-CN"/>
              </w:rPr>
              <w:t>2025年，全市环境空气质量一级(优</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97天，二级(良</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203天，三级(轻度污染</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56天，四级(中度污染</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6天，五级(重度污染)2天，六级(严重污染</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1天(由沙尘引起的重度污染1天，严重污染1天</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；全市年度环境空气达标天数比例为82.2%，与上年相比增加了4.9个百分点；全市环境空气综合指数为3.62，首要污染物为细颗粒物。</w:t>
            </w:r>
          </w:p>
          <w:p w14:paraId="3EE6B525">
            <w:pPr>
              <w:pStyle w:val="205"/>
              <w:spacing w:line="480" w:lineRule="exact"/>
              <w:ind w:firstLine="383"/>
              <w:rPr>
                <w:rFonts w:hint="eastAsia" w:ascii="Times New Roman" w:hAnsi="Times New Roman" w:eastAsia="Times New Roman" w:cs="Times New Roman"/>
                <w:spacing w:val="-4"/>
                <w:sz w:val="24"/>
                <w:szCs w:val="24"/>
                <w:lang w:eastAsia="zh-CN"/>
              </w:rPr>
            </w:pPr>
            <w:r>
              <w:rPr>
                <w:rFonts w:hint="eastAsia" w:ascii="Times New Roman" w:hAnsi="Times New Roman" w:eastAsia="Times New Roman" w:cs="Times New Roman"/>
                <w:spacing w:val="-4"/>
                <w:sz w:val="24"/>
                <w:szCs w:val="24"/>
                <w:lang w:eastAsia="zh-CN"/>
              </w:rPr>
              <w:t>细颗粒物(PM</w:t>
            </w:r>
            <w:r>
              <w:rPr>
                <w:rFonts w:hint="eastAsia" w:ascii="Times New Roman" w:hAnsi="Times New Roman" w:eastAsia="Times New Roman" w:cs="Times New Roman"/>
                <w:spacing w:val="-4"/>
                <w:sz w:val="24"/>
                <w:szCs w:val="24"/>
                <w:vertAlign w:val="subscript"/>
                <w:lang w:eastAsia="zh-CN"/>
              </w:rPr>
              <w:t>2.5</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日均浓度范围为5～172微克/立方米，日均值达标率为89.5%。年均值为37.1微克/立方米，与上年相比下降了7.25个百分点。</w:t>
            </w:r>
          </w:p>
          <w:p w14:paraId="31056CC4">
            <w:pPr>
              <w:pStyle w:val="205"/>
              <w:spacing w:line="480" w:lineRule="exact"/>
              <w:ind w:firstLine="383"/>
              <w:rPr>
                <w:rFonts w:hint="eastAsia" w:ascii="Times New Roman" w:hAnsi="Times New Roman" w:eastAsia="Times New Roman" w:cs="Times New Roman"/>
                <w:spacing w:val="-4"/>
                <w:sz w:val="24"/>
                <w:szCs w:val="24"/>
                <w:lang w:eastAsia="zh-CN"/>
              </w:rPr>
            </w:pPr>
            <w:r>
              <w:rPr>
                <w:rFonts w:hint="eastAsia" w:ascii="Times New Roman" w:hAnsi="Times New Roman" w:eastAsia="Times New Roman" w:cs="Times New Roman"/>
                <w:spacing w:val="-4"/>
                <w:sz w:val="24"/>
                <w:szCs w:val="24"/>
                <w:lang w:eastAsia="zh-CN"/>
              </w:rPr>
              <w:t>可吸入颗粒物(PM</w:t>
            </w:r>
            <w:r>
              <w:rPr>
                <w:rFonts w:hint="eastAsia" w:ascii="Times New Roman" w:hAnsi="Times New Roman" w:eastAsia="Times New Roman" w:cs="Times New Roman"/>
                <w:spacing w:val="-4"/>
                <w:sz w:val="24"/>
                <w:szCs w:val="24"/>
                <w:vertAlign w:val="subscript"/>
                <w:lang w:eastAsia="zh-CN"/>
              </w:rPr>
              <w:t>10</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日均浓度范围为7～218微克/立方米，日均值达标率为96.4%。年均值为61微克/立方米，与上年相比下降了6.2个百分点。</w:t>
            </w:r>
          </w:p>
          <w:p w14:paraId="7C247886">
            <w:pPr>
              <w:pStyle w:val="205"/>
              <w:spacing w:line="480" w:lineRule="exact"/>
              <w:ind w:firstLine="383"/>
              <w:rPr>
                <w:rFonts w:hint="eastAsia" w:ascii="Times New Roman" w:hAnsi="Times New Roman" w:eastAsia="Times New Roman" w:cs="Times New Roman"/>
                <w:spacing w:val="-4"/>
                <w:sz w:val="24"/>
                <w:szCs w:val="24"/>
                <w:lang w:eastAsia="zh-CN"/>
              </w:rPr>
            </w:pPr>
            <w:r>
              <w:rPr>
                <w:rFonts w:hint="eastAsia" w:ascii="Times New Roman" w:hAnsi="Times New Roman" w:eastAsia="Times New Roman" w:cs="Times New Roman"/>
                <w:spacing w:val="-4"/>
                <w:sz w:val="24"/>
                <w:szCs w:val="24"/>
                <w:lang w:eastAsia="zh-CN"/>
              </w:rPr>
              <w:t>二氧化氮(NO</w:t>
            </w:r>
            <w:r>
              <w:rPr>
                <w:rFonts w:hint="eastAsia" w:ascii="Times New Roman" w:hAnsi="Times New Roman" w:eastAsia="Times New Roman" w:cs="Times New Roman"/>
                <w:spacing w:val="-4"/>
                <w:sz w:val="24"/>
                <w:szCs w:val="24"/>
                <w:vertAlign w:val="subscript"/>
                <w:lang w:eastAsia="zh-CN"/>
              </w:rPr>
              <w:t>2</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日均浓度范围为5～56微克/立方米，日均值达标率为100%。年均浓度为18微克/立方米，与上年相比下降了5.3个百分点。</w:t>
            </w:r>
          </w:p>
          <w:p w14:paraId="54A59380">
            <w:pPr>
              <w:pStyle w:val="205"/>
              <w:spacing w:line="480" w:lineRule="exact"/>
              <w:ind w:firstLine="383"/>
              <w:rPr>
                <w:rFonts w:hint="eastAsia" w:ascii="Times New Roman" w:hAnsi="Times New Roman" w:eastAsia="Times New Roman" w:cs="Times New Roman"/>
                <w:spacing w:val="-4"/>
                <w:sz w:val="24"/>
                <w:szCs w:val="24"/>
                <w:lang w:eastAsia="zh-CN"/>
              </w:rPr>
            </w:pPr>
            <w:r>
              <w:rPr>
                <w:rFonts w:hint="eastAsia" w:ascii="Times New Roman" w:hAnsi="Times New Roman" w:eastAsia="Times New Roman" w:cs="Times New Roman"/>
                <w:spacing w:val="-4"/>
                <w:sz w:val="24"/>
                <w:szCs w:val="24"/>
                <w:lang w:eastAsia="zh-CN"/>
              </w:rPr>
              <w:t>二氧化硫(SO</w:t>
            </w:r>
            <w:r>
              <w:rPr>
                <w:rFonts w:hint="eastAsia" w:ascii="Times New Roman" w:hAnsi="Times New Roman" w:eastAsia="Times New Roman" w:cs="Times New Roman"/>
                <w:spacing w:val="-4"/>
                <w:sz w:val="24"/>
                <w:szCs w:val="24"/>
                <w:vertAlign w:val="subscript"/>
                <w:lang w:eastAsia="zh-CN"/>
              </w:rPr>
              <w:t>2</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日均浓度范围为4～17微克/立方米，日均值达标率为100%。年均浓度为7微克/立方米，与上年持平。</w:t>
            </w:r>
          </w:p>
          <w:p w14:paraId="53414928">
            <w:pPr>
              <w:pStyle w:val="205"/>
              <w:spacing w:line="480" w:lineRule="exact"/>
              <w:ind w:firstLine="383"/>
              <w:rPr>
                <w:rFonts w:hint="eastAsia" w:ascii="Times New Roman" w:hAnsi="Times New Roman" w:eastAsia="Times New Roman" w:cs="Times New Roman"/>
                <w:spacing w:val="-4"/>
                <w:sz w:val="24"/>
                <w:szCs w:val="24"/>
                <w:lang w:eastAsia="zh-CN"/>
              </w:rPr>
            </w:pPr>
            <w:r>
              <w:rPr>
                <w:rFonts w:hint="eastAsia" w:ascii="Times New Roman" w:hAnsi="Times New Roman" w:eastAsia="Times New Roman" w:cs="Times New Roman"/>
                <w:spacing w:val="-4"/>
                <w:sz w:val="24"/>
                <w:szCs w:val="24"/>
                <w:lang w:eastAsia="zh-CN"/>
              </w:rPr>
              <w:t>一氧化碳(CO</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日均浓度范围为0.2～1.1毫克/立方米，日均值达标率为100%。日均值第95百分位数为0.8毫克/立方米，与上年持平。</w:t>
            </w:r>
          </w:p>
          <w:p w14:paraId="6BA12368">
            <w:pPr>
              <w:pStyle w:val="205"/>
              <w:spacing w:line="480" w:lineRule="exact"/>
              <w:ind w:firstLine="383"/>
              <w:rPr>
                <w:rFonts w:ascii="Times New Roman" w:hAnsi="Times New Roman" w:eastAsia="Times New Roman" w:cs="Times New Roman"/>
                <w:spacing w:val="-4"/>
                <w:sz w:val="24"/>
                <w:szCs w:val="24"/>
                <w:lang w:eastAsia="zh-CN"/>
              </w:rPr>
            </w:pPr>
            <w:r>
              <w:rPr>
                <w:rFonts w:hint="eastAsia" w:ascii="Times New Roman" w:hAnsi="Times New Roman" w:eastAsia="Times New Roman" w:cs="Times New Roman"/>
                <w:spacing w:val="-4"/>
                <w:sz w:val="24"/>
                <w:szCs w:val="24"/>
                <w:lang w:eastAsia="zh-CN"/>
              </w:rPr>
              <w:t>臭氧日最大8小时(O</w:t>
            </w:r>
            <w:r>
              <w:rPr>
                <w:rFonts w:hint="eastAsia" w:ascii="Times New Roman" w:hAnsi="Times New Roman" w:eastAsia="Times New Roman" w:cs="Times New Roman"/>
                <w:spacing w:val="-4"/>
                <w:sz w:val="24"/>
                <w:szCs w:val="24"/>
                <w:vertAlign w:val="subscript"/>
                <w:lang w:eastAsia="zh-CN"/>
              </w:rPr>
              <w:t>3</w:t>
            </w:r>
            <w:r>
              <w:rPr>
                <w:rFonts w:hint="eastAsia" w:ascii="Times New Roman" w:hAnsi="Times New Roman" w:eastAsia="Times New Roman" w:cs="Times New Roman"/>
                <w:spacing w:val="-4"/>
                <w:sz w:val="24"/>
                <w:szCs w:val="24"/>
                <w:lang w:eastAsia="zh-CN"/>
              </w:rPr>
              <w:t>-</w:t>
            </w:r>
            <w:r>
              <w:rPr>
                <w:rFonts w:hint="eastAsia" w:ascii="Times New Roman" w:hAnsi="Times New Roman" w:eastAsia="Times New Roman" w:cs="Times New Roman"/>
                <w:spacing w:val="-4"/>
                <w:sz w:val="24"/>
                <w:szCs w:val="24"/>
                <w:vertAlign w:val="subscript"/>
                <w:lang w:eastAsia="zh-CN"/>
              </w:rPr>
              <w:t>8h</w:t>
            </w:r>
            <w:r>
              <w:rPr>
                <w:rFonts w:hint="eastAsia"/>
                <w:spacing w:val="-4"/>
                <w:sz w:val="24"/>
                <w:szCs w:val="24"/>
                <w:lang w:eastAsia="zh-CN"/>
              </w:rPr>
              <w:t>)</w:t>
            </w:r>
            <w:r>
              <w:rPr>
                <w:rFonts w:hint="eastAsia" w:ascii="Times New Roman" w:hAnsi="Times New Roman" w:eastAsia="Times New Roman" w:cs="Times New Roman"/>
                <w:spacing w:val="-4"/>
                <w:sz w:val="24"/>
                <w:szCs w:val="24"/>
                <w:lang w:eastAsia="zh-CN"/>
              </w:rPr>
              <w:t>滑动平均值范围为16～197微克/立方米，达标率为94.8%。日最大8小时滑动平均值第90百分位数为149微克/立方米，与上年相比下降了6.9个百分点。</w:t>
            </w:r>
          </w:p>
          <w:p w14:paraId="4CD7EB13">
            <w:pPr>
              <w:pStyle w:val="205"/>
              <w:spacing w:line="480" w:lineRule="exact"/>
              <w:ind w:firstLine="476" w:firstLineChars="200"/>
              <w:rPr>
                <w:lang w:eastAsia="zh-CN"/>
              </w:rPr>
            </w:pPr>
            <w:r>
              <w:rPr>
                <w:spacing w:val="-1"/>
                <w:sz w:val="24"/>
                <w:szCs w:val="24"/>
                <w:lang w:eastAsia="zh-CN"/>
              </w:rPr>
              <w:t>区域空气质量现状如</w:t>
            </w:r>
            <w:r>
              <w:rPr>
                <w:spacing w:val="-2"/>
                <w:sz w:val="24"/>
                <w:szCs w:val="24"/>
                <w:lang w:eastAsia="zh-CN"/>
              </w:rPr>
              <w:t>下表所示。</w:t>
            </w:r>
          </w:p>
          <w:p w14:paraId="7C864B1A">
            <w:pPr>
              <w:pStyle w:val="205"/>
              <w:spacing w:before="142" w:line="232" w:lineRule="auto"/>
              <w:jc w:val="center"/>
              <w:rPr>
                <w:rFonts w:hint="eastAsia" w:ascii="黑体" w:hAnsi="黑体" w:eastAsia="黑体" w:cs="黑体"/>
                <w:sz w:val="24"/>
                <w:szCs w:val="24"/>
                <w:lang w:eastAsia="zh-CN"/>
              </w:rPr>
            </w:pPr>
            <w:r>
              <w:rPr>
                <w:rFonts w:hint="eastAsia" w:ascii="黑体" w:hAnsi="黑体" w:eastAsia="黑体" w:cs="黑体"/>
                <w:spacing w:val="-2"/>
                <w:sz w:val="24"/>
                <w:szCs w:val="24"/>
                <w:lang w:eastAsia="zh-CN"/>
              </w:rPr>
              <w:t>表3-1区域空气质量现状评价表</w:t>
            </w:r>
          </w:p>
          <w:tbl>
            <w:tblPr>
              <w:tblStyle w:val="38"/>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7"/>
              <w:gridCol w:w="3009"/>
              <w:gridCol w:w="1108"/>
              <w:gridCol w:w="1020"/>
              <w:gridCol w:w="1316"/>
              <w:gridCol w:w="1069"/>
            </w:tblGrid>
            <w:tr w14:paraId="1AFF2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73" w:type="pct"/>
                  <w:noWrap w:val="0"/>
                  <w:vAlign w:val="center"/>
                </w:tcPr>
                <w:p w14:paraId="5216391D">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5"/>
                      <w:sz w:val="21"/>
                      <w:szCs w:val="21"/>
                    </w:rPr>
                    <w:t>污染物</w:t>
                  </w:r>
                </w:p>
              </w:tc>
              <w:tc>
                <w:tcPr>
                  <w:tcW w:w="1809" w:type="pct"/>
                  <w:noWrap w:val="0"/>
                  <w:vAlign w:val="center"/>
                </w:tcPr>
                <w:p w14:paraId="29CCBD2D">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4"/>
                      <w:sz w:val="21"/>
                      <w:szCs w:val="21"/>
                    </w:rPr>
                    <w:t>年评价指标</w:t>
                  </w:r>
                </w:p>
              </w:tc>
              <w:tc>
                <w:tcPr>
                  <w:tcW w:w="667" w:type="pct"/>
                  <w:noWrap w:val="0"/>
                  <w:vAlign w:val="center"/>
                </w:tcPr>
                <w:p w14:paraId="35D28DCB">
                  <w:pPr>
                    <w:pStyle w:val="205"/>
                    <w:keepNext w:val="0"/>
                    <w:keepLines w:val="0"/>
                    <w:pageBreakBefore w:val="0"/>
                    <w:kinsoku/>
                    <w:wordWrap/>
                    <w:overflowPunct/>
                    <w:topLinePunct w:val="0"/>
                    <w:autoSpaceDE/>
                    <w:autoSpaceDN/>
                    <w:bidi w:val="0"/>
                    <w:adjustRightInd/>
                    <w:snapToGrid/>
                    <w:spacing w:line="320" w:lineRule="exact"/>
                    <w:ind w:hanging="56"/>
                    <w:jc w:val="center"/>
                    <w:rPr>
                      <w:sz w:val="21"/>
                      <w:szCs w:val="21"/>
                    </w:rPr>
                  </w:pPr>
                  <w:r>
                    <w:rPr>
                      <w:spacing w:val="-4"/>
                      <w:sz w:val="21"/>
                      <w:szCs w:val="21"/>
                    </w:rPr>
                    <w:t>现状浓度</w:t>
                  </w:r>
                  <w:r>
                    <w:rPr>
                      <w:spacing w:val="-5"/>
                      <w:sz w:val="21"/>
                      <w:szCs w:val="21"/>
                    </w:rPr>
                    <w:t>(</w:t>
                  </w:r>
                  <w:r>
                    <w:rPr>
                      <w:rFonts w:ascii="Times New Roman" w:hAnsi="Times New Roman" w:eastAsia="Times New Roman" w:cs="Times New Roman"/>
                      <w:spacing w:val="-5"/>
                      <w:sz w:val="21"/>
                      <w:szCs w:val="21"/>
                    </w:rPr>
                    <w:t>μg/m</w:t>
                  </w:r>
                  <w:r>
                    <w:rPr>
                      <w:rFonts w:hint="eastAsia" w:ascii="Times New Roman" w:hAnsi="Times New Roman" w:eastAsia="宋体" w:cs="Times New Roman"/>
                      <w:spacing w:val="-5"/>
                      <w:sz w:val="21"/>
                      <w:szCs w:val="21"/>
                      <w:vertAlign w:val="superscript"/>
                      <w:lang w:val="en-US" w:eastAsia="zh-CN"/>
                    </w:rPr>
                    <w:t>3</w:t>
                  </w:r>
                  <w:r>
                    <w:rPr>
                      <w:spacing w:val="-5"/>
                      <w:sz w:val="21"/>
                      <w:szCs w:val="21"/>
                    </w:rPr>
                    <w:t>)</w:t>
                  </w:r>
                </w:p>
              </w:tc>
              <w:tc>
                <w:tcPr>
                  <w:tcW w:w="614" w:type="pct"/>
                  <w:noWrap w:val="0"/>
                  <w:vAlign w:val="center"/>
                </w:tcPr>
                <w:p w14:paraId="7C5E32C9">
                  <w:pPr>
                    <w:pStyle w:val="205"/>
                    <w:keepNext w:val="0"/>
                    <w:keepLines w:val="0"/>
                    <w:pageBreakBefore w:val="0"/>
                    <w:kinsoku/>
                    <w:wordWrap/>
                    <w:overflowPunct/>
                    <w:topLinePunct w:val="0"/>
                    <w:autoSpaceDE/>
                    <w:autoSpaceDN/>
                    <w:bidi w:val="0"/>
                    <w:adjustRightInd/>
                    <w:snapToGrid/>
                    <w:spacing w:line="320" w:lineRule="exact"/>
                    <w:ind w:firstLine="48"/>
                    <w:jc w:val="center"/>
                    <w:rPr>
                      <w:sz w:val="21"/>
                      <w:szCs w:val="21"/>
                    </w:rPr>
                  </w:pPr>
                  <w:r>
                    <w:rPr>
                      <w:spacing w:val="-5"/>
                      <w:sz w:val="21"/>
                      <w:szCs w:val="21"/>
                    </w:rPr>
                    <w:t>标准值(</w:t>
                  </w:r>
                  <w:r>
                    <w:rPr>
                      <w:rFonts w:ascii="Times New Roman" w:hAnsi="Times New Roman" w:eastAsia="Times New Roman" w:cs="Times New Roman"/>
                      <w:spacing w:val="-5"/>
                      <w:sz w:val="21"/>
                      <w:szCs w:val="21"/>
                    </w:rPr>
                    <w:t>μg/m</w:t>
                  </w:r>
                  <w:r>
                    <w:rPr>
                      <w:rFonts w:hint="eastAsia" w:ascii="Times New Roman" w:hAnsi="Times New Roman" w:eastAsia="宋体" w:cs="Times New Roman"/>
                      <w:spacing w:val="-5"/>
                      <w:sz w:val="21"/>
                      <w:szCs w:val="21"/>
                      <w:vertAlign w:val="superscript"/>
                      <w:lang w:val="en-US" w:eastAsia="zh-CN"/>
                    </w:rPr>
                    <w:t>3</w:t>
                  </w:r>
                  <w:r>
                    <w:rPr>
                      <w:spacing w:val="-5"/>
                      <w:sz w:val="21"/>
                      <w:szCs w:val="21"/>
                    </w:rPr>
                    <w:t>)</w:t>
                  </w:r>
                </w:p>
              </w:tc>
              <w:tc>
                <w:tcPr>
                  <w:tcW w:w="792" w:type="pct"/>
                  <w:noWrap w:val="0"/>
                  <w:vAlign w:val="center"/>
                </w:tcPr>
                <w:p w14:paraId="1E84A578">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9"/>
                      <w:sz w:val="21"/>
                      <w:szCs w:val="21"/>
                    </w:rPr>
                    <w:t>占标率(</w:t>
                  </w:r>
                  <w:r>
                    <w:rPr>
                      <w:rFonts w:ascii="Times New Roman" w:hAnsi="Times New Roman" w:eastAsia="Times New Roman" w:cs="Times New Roman"/>
                      <w:spacing w:val="-9"/>
                      <w:sz w:val="21"/>
                      <w:szCs w:val="21"/>
                    </w:rPr>
                    <w:t>%</w:t>
                  </w:r>
                  <w:r>
                    <w:rPr>
                      <w:spacing w:val="-9"/>
                      <w:sz w:val="21"/>
                      <w:szCs w:val="21"/>
                    </w:rPr>
                    <w:t>)</w:t>
                  </w:r>
                </w:p>
              </w:tc>
              <w:tc>
                <w:tcPr>
                  <w:tcW w:w="643" w:type="pct"/>
                  <w:noWrap w:val="0"/>
                  <w:vAlign w:val="center"/>
                </w:tcPr>
                <w:p w14:paraId="7EAC50EB">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4"/>
                      <w:sz w:val="21"/>
                      <w:szCs w:val="21"/>
                    </w:rPr>
                    <w:t>达标情况</w:t>
                  </w:r>
                </w:p>
              </w:tc>
            </w:tr>
            <w:tr w14:paraId="0C5ED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473" w:type="pct"/>
                  <w:noWrap w:val="0"/>
                  <w:vAlign w:val="center"/>
                </w:tcPr>
                <w:p w14:paraId="74CFA170">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pacing w:val="-5"/>
                      <w:sz w:val="21"/>
                      <w:szCs w:val="21"/>
                    </w:rPr>
                    <w:t>SO</w:t>
                  </w:r>
                  <w:r>
                    <w:rPr>
                      <w:rFonts w:eastAsia="Times New Roman"/>
                      <w:spacing w:val="-5"/>
                      <w:position w:val="-1"/>
                      <w:sz w:val="21"/>
                      <w:szCs w:val="21"/>
                      <w:vertAlign w:val="subscript"/>
                    </w:rPr>
                    <w:t>2</w:t>
                  </w:r>
                </w:p>
              </w:tc>
              <w:tc>
                <w:tcPr>
                  <w:tcW w:w="1809" w:type="pct"/>
                  <w:noWrap w:val="0"/>
                  <w:vAlign w:val="center"/>
                </w:tcPr>
                <w:p w14:paraId="6C8FBCDE">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年平均质量浓度</w:t>
                  </w:r>
                </w:p>
              </w:tc>
              <w:tc>
                <w:tcPr>
                  <w:tcW w:w="667" w:type="pct"/>
                  <w:noWrap w:val="0"/>
                  <w:vAlign w:val="center"/>
                </w:tcPr>
                <w:p w14:paraId="74AA4E7A">
                  <w:pPr>
                    <w:keepNext w:val="0"/>
                    <w:keepLines w:val="0"/>
                    <w:pageBreakBefore w:val="0"/>
                    <w:kinsoku/>
                    <w:wordWrap/>
                    <w:overflowPunct/>
                    <w:topLinePunct w:val="0"/>
                    <w:autoSpaceDE/>
                    <w:autoSpaceDN/>
                    <w:bidi w:val="0"/>
                    <w:adjustRightInd/>
                    <w:snapToGrid/>
                    <w:spacing w:line="320" w:lineRule="exact"/>
                    <w:jc w:val="center"/>
                    <w:rPr>
                      <w:rFonts w:hint="eastAsia"/>
                      <w:sz w:val="21"/>
                      <w:szCs w:val="21"/>
                    </w:rPr>
                  </w:pPr>
                  <w:r>
                    <w:rPr>
                      <w:rFonts w:hint="eastAsia"/>
                      <w:sz w:val="21"/>
                      <w:szCs w:val="21"/>
                    </w:rPr>
                    <w:t>7</w:t>
                  </w:r>
                </w:p>
              </w:tc>
              <w:tc>
                <w:tcPr>
                  <w:tcW w:w="1021" w:type="dxa"/>
                  <w:noWrap w:val="0"/>
                  <w:vAlign w:val="center"/>
                </w:tcPr>
                <w:p w14:paraId="7766E2C2">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sz w:val="21"/>
                      <w:szCs w:val="21"/>
                    </w:rPr>
                    <w:t>60</w:t>
                  </w:r>
                </w:p>
              </w:tc>
              <w:tc>
                <w:tcPr>
                  <w:tcW w:w="1317" w:type="dxa"/>
                  <w:noWrap w:val="0"/>
                  <w:vAlign w:val="center"/>
                </w:tcPr>
                <w:p w14:paraId="1681683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eastAsia="Times New Roman"/>
                      <w:sz w:val="21"/>
                      <w:szCs w:val="21"/>
                    </w:rPr>
                  </w:pPr>
                  <w:r>
                    <w:rPr>
                      <w:color w:val="000000"/>
                      <w:kern w:val="0"/>
                      <w:sz w:val="21"/>
                      <w:szCs w:val="21"/>
                      <w:lang w:bidi="ar"/>
                    </w:rPr>
                    <w:t>11.7</w:t>
                  </w:r>
                </w:p>
              </w:tc>
              <w:tc>
                <w:tcPr>
                  <w:tcW w:w="643" w:type="pct"/>
                  <w:noWrap w:val="0"/>
                  <w:vAlign w:val="center"/>
                </w:tcPr>
                <w:p w14:paraId="4E61A969">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达标</w:t>
                  </w:r>
                </w:p>
              </w:tc>
            </w:tr>
            <w:tr w14:paraId="4749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473" w:type="pct"/>
                  <w:noWrap w:val="0"/>
                  <w:vAlign w:val="center"/>
                </w:tcPr>
                <w:p w14:paraId="2C20CA88">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z w:val="21"/>
                      <w:szCs w:val="21"/>
                    </w:rPr>
                    <w:t>NO</w:t>
                  </w:r>
                  <w:r>
                    <w:rPr>
                      <w:rFonts w:eastAsia="Times New Roman"/>
                      <w:spacing w:val="3"/>
                      <w:position w:val="-1"/>
                      <w:sz w:val="21"/>
                      <w:szCs w:val="21"/>
                      <w:vertAlign w:val="subscript"/>
                    </w:rPr>
                    <w:t>2</w:t>
                  </w:r>
                </w:p>
              </w:tc>
              <w:tc>
                <w:tcPr>
                  <w:tcW w:w="1809" w:type="pct"/>
                  <w:noWrap w:val="0"/>
                  <w:vAlign w:val="center"/>
                </w:tcPr>
                <w:p w14:paraId="35431B58">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年平均质量浓度</w:t>
                  </w:r>
                </w:p>
              </w:tc>
              <w:tc>
                <w:tcPr>
                  <w:tcW w:w="667" w:type="pct"/>
                  <w:noWrap w:val="0"/>
                  <w:vAlign w:val="center"/>
                </w:tcPr>
                <w:p w14:paraId="5C0A32D3">
                  <w:pPr>
                    <w:keepNext w:val="0"/>
                    <w:keepLines w:val="0"/>
                    <w:pageBreakBefore w:val="0"/>
                    <w:kinsoku/>
                    <w:wordWrap/>
                    <w:overflowPunct/>
                    <w:topLinePunct w:val="0"/>
                    <w:autoSpaceDE/>
                    <w:autoSpaceDN/>
                    <w:bidi w:val="0"/>
                    <w:adjustRightInd/>
                    <w:snapToGrid/>
                    <w:spacing w:line="320" w:lineRule="exact"/>
                    <w:jc w:val="center"/>
                    <w:rPr>
                      <w:sz w:val="21"/>
                      <w:szCs w:val="21"/>
                    </w:rPr>
                  </w:pPr>
                  <w:r>
                    <w:rPr>
                      <w:rFonts w:hint="eastAsia"/>
                      <w:spacing w:val="-12"/>
                      <w:sz w:val="21"/>
                      <w:szCs w:val="21"/>
                    </w:rPr>
                    <w:t>18</w:t>
                  </w:r>
                </w:p>
              </w:tc>
              <w:tc>
                <w:tcPr>
                  <w:tcW w:w="1021" w:type="dxa"/>
                  <w:noWrap w:val="0"/>
                  <w:vAlign w:val="center"/>
                </w:tcPr>
                <w:p w14:paraId="1C8B41B7">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sz w:val="21"/>
                      <w:szCs w:val="21"/>
                    </w:rPr>
                    <w:t>40</w:t>
                  </w:r>
                </w:p>
              </w:tc>
              <w:tc>
                <w:tcPr>
                  <w:tcW w:w="1317" w:type="dxa"/>
                  <w:noWrap w:val="0"/>
                  <w:vAlign w:val="center"/>
                </w:tcPr>
                <w:p w14:paraId="1C30462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eastAsia="Times New Roman"/>
                      <w:sz w:val="21"/>
                      <w:szCs w:val="21"/>
                    </w:rPr>
                  </w:pPr>
                  <w:r>
                    <w:rPr>
                      <w:color w:val="000000"/>
                      <w:kern w:val="0"/>
                      <w:sz w:val="21"/>
                      <w:szCs w:val="21"/>
                      <w:lang w:bidi="ar"/>
                    </w:rPr>
                    <w:t>45.0</w:t>
                  </w:r>
                </w:p>
              </w:tc>
              <w:tc>
                <w:tcPr>
                  <w:tcW w:w="643" w:type="pct"/>
                  <w:noWrap w:val="0"/>
                  <w:vAlign w:val="center"/>
                </w:tcPr>
                <w:p w14:paraId="5BC96FD9">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达标</w:t>
                  </w:r>
                </w:p>
              </w:tc>
            </w:tr>
            <w:tr w14:paraId="0FDBF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473" w:type="pct"/>
                  <w:noWrap w:val="0"/>
                  <w:vAlign w:val="center"/>
                </w:tcPr>
                <w:p w14:paraId="5987930B">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z w:val="21"/>
                      <w:szCs w:val="21"/>
                    </w:rPr>
                    <w:t>PM</w:t>
                  </w:r>
                  <w:r>
                    <w:rPr>
                      <w:rFonts w:eastAsia="Times New Roman"/>
                      <w:spacing w:val="1"/>
                      <w:position w:val="-1"/>
                      <w:sz w:val="21"/>
                      <w:szCs w:val="21"/>
                      <w:vertAlign w:val="subscript"/>
                    </w:rPr>
                    <w:t>10</w:t>
                  </w:r>
                </w:p>
              </w:tc>
              <w:tc>
                <w:tcPr>
                  <w:tcW w:w="1809" w:type="pct"/>
                  <w:noWrap w:val="0"/>
                  <w:vAlign w:val="center"/>
                </w:tcPr>
                <w:p w14:paraId="5780A577">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年平均质量浓度</w:t>
                  </w:r>
                </w:p>
              </w:tc>
              <w:tc>
                <w:tcPr>
                  <w:tcW w:w="667" w:type="pct"/>
                  <w:noWrap w:val="0"/>
                  <w:vAlign w:val="center"/>
                </w:tcPr>
                <w:p w14:paraId="4BB3ECF3">
                  <w:pPr>
                    <w:keepNext w:val="0"/>
                    <w:keepLines w:val="0"/>
                    <w:pageBreakBefore w:val="0"/>
                    <w:kinsoku/>
                    <w:wordWrap/>
                    <w:overflowPunct/>
                    <w:topLinePunct w:val="0"/>
                    <w:autoSpaceDE/>
                    <w:autoSpaceDN/>
                    <w:bidi w:val="0"/>
                    <w:adjustRightInd/>
                    <w:snapToGrid/>
                    <w:spacing w:line="320" w:lineRule="exact"/>
                    <w:jc w:val="center"/>
                    <w:rPr>
                      <w:sz w:val="21"/>
                      <w:szCs w:val="21"/>
                    </w:rPr>
                  </w:pPr>
                  <w:r>
                    <w:rPr>
                      <w:rFonts w:hint="eastAsia"/>
                      <w:spacing w:val="-5"/>
                      <w:sz w:val="21"/>
                      <w:szCs w:val="21"/>
                    </w:rPr>
                    <w:t>61</w:t>
                  </w:r>
                </w:p>
              </w:tc>
              <w:tc>
                <w:tcPr>
                  <w:tcW w:w="1021" w:type="dxa"/>
                  <w:noWrap w:val="0"/>
                  <w:vAlign w:val="center"/>
                </w:tcPr>
                <w:p w14:paraId="03A2C91E">
                  <w:pPr>
                    <w:keepNext w:val="0"/>
                    <w:keepLines w:val="0"/>
                    <w:pageBreakBefore w:val="0"/>
                    <w:kinsoku/>
                    <w:wordWrap/>
                    <w:overflowPunct/>
                    <w:topLinePunct w:val="0"/>
                    <w:autoSpaceDE/>
                    <w:autoSpaceDN/>
                    <w:bidi w:val="0"/>
                    <w:adjustRightInd/>
                    <w:snapToGrid/>
                    <w:spacing w:line="320" w:lineRule="exact"/>
                    <w:jc w:val="center"/>
                    <w:rPr>
                      <w:rFonts w:hint="default" w:eastAsia="宋体"/>
                      <w:sz w:val="21"/>
                      <w:szCs w:val="21"/>
                      <w:lang w:val="en-US" w:eastAsia="zh-CN"/>
                    </w:rPr>
                  </w:pPr>
                  <w:r>
                    <w:rPr>
                      <w:rFonts w:hint="eastAsia"/>
                      <w:sz w:val="21"/>
                      <w:szCs w:val="21"/>
                      <w:lang w:val="en-US" w:eastAsia="zh-CN"/>
                    </w:rPr>
                    <w:t>60</w:t>
                  </w:r>
                </w:p>
              </w:tc>
              <w:tc>
                <w:tcPr>
                  <w:tcW w:w="1317" w:type="dxa"/>
                  <w:noWrap w:val="0"/>
                  <w:vAlign w:val="center"/>
                </w:tcPr>
                <w:p w14:paraId="53AB176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eastAsia="宋体"/>
                      <w:sz w:val="21"/>
                      <w:szCs w:val="21"/>
                      <w:lang w:val="en-US" w:eastAsia="zh-CN"/>
                    </w:rPr>
                  </w:pPr>
                  <w:r>
                    <w:rPr>
                      <w:rFonts w:hint="eastAsia" w:eastAsia="宋体"/>
                      <w:color w:val="000000"/>
                      <w:kern w:val="0"/>
                      <w:sz w:val="21"/>
                      <w:szCs w:val="21"/>
                      <w:lang w:val="en-US" w:eastAsia="zh-CN" w:bidi="ar"/>
                    </w:rPr>
                    <w:t>101.7</w:t>
                  </w:r>
                </w:p>
              </w:tc>
              <w:tc>
                <w:tcPr>
                  <w:tcW w:w="643" w:type="pct"/>
                  <w:noWrap w:val="0"/>
                  <w:vAlign w:val="center"/>
                </w:tcPr>
                <w:p w14:paraId="5BE2571C">
                  <w:pPr>
                    <w:pStyle w:val="205"/>
                    <w:keepNext w:val="0"/>
                    <w:keepLines w:val="0"/>
                    <w:pageBreakBefore w:val="0"/>
                    <w:kinsoku/>
                    <w:wordWrap/>
                    <w:overflowPunct/>
                    <w:topLinePunct w:val="0"/>
                    <w:autoSpaceDE/>
                    <w:autoSpaceDN/>
                    <w:bidi w:val="0"/>
                    <w:adjustRightInd/>
                    <w:snapToGrid/>
                    <w:spacing w:line="320" w:lineRule="exact"/>
                    <w:jc w:val="center"/>
                    <w:rPr>
                      <w:sz w:val="21"/>
                      <w:szCs w:val="21"/>
                      <w:lang w:eastAsia="zh-CN"/>
                    </w:rPr>
                  </w:pPr>
                  <w:r>
                    <w:rPr>
                      <w:spacing w:val="-2"/>
                      <w:sz w:val="21"/>
                      <w:szCs w:val="21"/>
                    </w:rPr>
                    <w:t>超标</w:t>
                  </w:r>
                </w:p>
              </w:tc>
            </w:tr>
            <w:tr w14:paraId="67225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473" w:type="pct"/>
                  <w:noWrap w:val="0"/>
                  <w:vAlign w:val="center"/>
                </w:tcPr>
                <w:p w14:paraId="123A1C94">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pacing w:val="-1"/>
                      <w:position w:val="1"/>
                      <w:sz w:val="21"/>
                      <w:szCs w:val="21"/>
                    </w:rPr>
                    <w:t>PM</w:t>
                  </w:r>
                  <w:r>
                    <w:rPr>
                      <w:rFonts w:eastAsia="Times New Roman"/>
                      <w:spacing w:val="-1"/>
                      <w:sz w:val="21"/>
                      <w:szCs w:val="21"/>
                      <w:vertAlign w:val="subscript"/>
                    </w:rPr>
                    <w:t>2.5</w:t>
                  </w:r>
                </w:p>
              </w:tc>
              <w:tc>
                <w:tcPr>
                  <w:tcW w:w="1809" w:type="pct"/>
                  <w:noWrap w:val="0"/>
                  <w:vAlign w:val="center"/>
                </w:tcPr>
                <w:p w14:paraId="2793D642">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年平均质量浓度</w:t>
                  </w:r>
                </w:p>
              </w:tc>
              <w:tc>
                <w:tcPr>
                  <w:tcW w:w="667" w:type="pct"/>
                  <w:noWrap w:val="0"/>
                  <w:vAlign w:val="center"/>
                </w:tcPr>
                <w:p w14:paraId="526659DB">
                  <w:pPr>
                    <w:keepNext w:val="0"/>
                    <w:keepLines w:val="0"/>
                    <w:pageBreakBefore w:val="0"/>
                    <w:kinsoku/>
                    <w:wordWrap/>
                    <w:overflowPunct/>
                    <w:topLinePunct w:val="0"/>
                    <w:autoSpaceDE/>
                    <w:autoSpaceDN/>
                    <w:bidi w:val="0"/>
                    <w:adjustRightInd/>
                    <w:snapToGrid/>
                    <w:spacing w:line="320" w:lineRule="exact"/>
                    <w:jc w:val="center"/>
                    <w:rPr>
                      <w:sz w:val="21"/>
                      <w:szCs w:val="21"/>
                    </w:rPr>
                  </w:pPr>
                  <w:r>
                    <w:rPr>
                      <w:rFonts w:hint="eastAsia"/>
                      <w:spacing w:val="-2"/>
                      <w:sz w:val="21"/>
                      <w:szCs w:val="21"/>
                    </w:rPr>
                    <w:t>37.1</w:t>
                  </w:r>
                </w:p>
              </w:tc>
              <w:tc>
                <w:tcPr>
                  <w:tcW w:w="1021" w:type="dxa"/>
                  <w:noWrap w:val="0"/>
                  <w:vAlign w:val="center"/>
                </w:tcPr>
                <w:p w14:paraId="3E504F7F">
                  <w:pPr>
                    <w:keepNext w:val="0"/>
                    <w:keepLines w:val="0"/>
                    <w:pageBreakBefore w:val="0"/>
                    <w:kinsoku/>
                    <w:wordWrap/>
                    <w:overflowPunct/>
                    <w:topLinePunct w:val="0"/>
                    <w:autoSpaceDE/>
                    <w:autoSpaceDN/>
                    <w:bidi w:val="0"/>
                    <w:adjustRightInd/>
                    <w:snapToGrid/>
                    <w:spacing w:line="320" w:lineRule="exact"/>
                    <w:jc w:val="center"/>
                    <w:rPr>
                      <w:rFonts w:hint="default" w:eastAsia="宋体"/>
                      <w:sz w:val="21"/>
                      <w:szCs w:val="21"/>
                      <w:lang w:val="en-US" w:eastAsia="zh-CN"/>
                    </w:rPr>
                  </w:pPr>
                  <w:r>
                    <w:rPr>
                      <w:rFonts w:hint="eastAsia"/>
                      <w:sz w:val="21"/>
                      <w:szCs w:val="21"/>
                      <w:lang w:val="en-US" w:eastAsia="zh-CN"/>
                    </w:rPr>
                    <w:t>30</w:t>
                  </w:r>
                </w:p>
              </w:tc>
              <w:tc>
                <w:tcPr>
                  <w:tcW w:w="1317" w:type="dxa"/>
                  <w:noWrap w:val="0"/>
                  <w:vAlign w:val="center"/>
                </w:tcPr>
                <w:p w14:paraId="4F4AC54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eastAsia="宋体"/>
                      <w:sz w:val="21"/>
                      <w:szCs w:val="21"/>
                      <w:lang w:val="en-US" w:eastAsia="zh-CN"/>
                    </w:rPr>
                  </w:pPr>
                  <w:r>
                    <w:rPr>
                      <w:color w:val="000000"/>
                      <w:kern w:val="0"/>
                      <w:sz w:val="21"/>
                      <w:szCs w:val="21"/>
                      <w:lang w:bidi="ar"/>
                    </w:rPr>
                    <w:t>1</w:t>
                  </w:r>
                  <w:r>
                    <w:rPr>
                      <w:rFonts w:hint="eastAsia"/>
                      <w:color w:val="000000"/>
                      <w:kern w:val="0"/>
                      <w:sz w:val="21"/>
                      <w:szCs w:val="21"/>
                      <w:lang w:val="en-US" w:eastAsia="zh-CN" w:bidi="ar"/>
                    </w:rPr>
                    <w:t>23.7</w:t>
                  </w:r>
                </w:p>
              </w:tc>
              <w:tc>
                <w:tcPr>
                  <w:tcW w:w="643" w:type="pct"/>
                  <w:noWrap w:val="0"/>
                  <w:vAlign w:val="center"/>
                </w:tcPr>
                <w:p w14:paraId="35E26025">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超标</w:t>
                  </w:r>
                </w:p>
              </w:tc>
            </w:tr>
            <w:tr w14:paraId="74064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473" w:type="pct"/>
                  <w:noWrap w:val="0"/>
                  <w:vAlign w:val="center"/>
                </w:tcPr>
                <w:p w14:paraId="487FB6C9">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pacing w:val="-2"/>
                      <w:sz w:val="21"/>
                      <w:szCs w:val="21"/>
                    </w:rPr>
                    <w:t>CO</w:t>
                  </w:r>
                </w:p>
              </w:tc>
              <w:tc>
                <w:tcPr>
                  <w:tcW w:w="1809" w:type="pct"/>
                  <w:noWrap w:val="0"/>
                  <w:vAlign w:val="center"/>
                </w:tcPr>
                <w:p w14:paraId="0AF428DA">
                  <w:pPr>
                    <w:pStyle w:val="205"/>
                    <w:keepNext w:val="0"/>
                    <w:keepLines w:val="0"/>
                    <w:pageBreakBefore w:val="0"/>
                    <w:kinsoku/>
                    <w:wordWrap/>
                    <w:overflowPunct/>
                    <w:topLinePunct w:val="0"/>
                    <w:autoSpaceDE/>
                    <w:autoSpaceDN/>
                    <w:bidi w:val="0"/>
                    <w:adjustRightInd/>
                    <w:snapToGrid/>
                    <w:spacing w:line="320" w:lineRule="exact"/>
                    <w:jc w:val="center"/>
                    <w:rPr>
                      <w:sz w:val="21"/>
                      <w:szCs w:val="21"/>
                      <w:lang w:eastAsia="zh-CN"/>
                    </w:rPr>
                  </w:pPr>
                  <w:r>
                    <w:rPr>
                      <w:rFonts w:ascii="Times New Roman" w:hAnsi="Times New Roman" w:eastAsia="Times New Roman" w:cs="Times New Roman"/>
                      <w:spacing w:val="-3"/>
                      <w:sz w:val="21"/>
                      <w:szCs w:val="21"/>
                      <w:lang w:eastAsia="zh-CN"/>
                    </w:rPr>
                    <w:t>24</w:t>
                  </w:r>
                  <w:r>
                    <w:rPr>
                      <w:spacing w:val="-3"/>
                      <w:sz w:val="21"/>
                      <w:szCs w:val="21"/>
                      <w:lang w:eastAsia="zh-CN"/>
                    </w:rPr>
                    <w:t>小时平均第</w:t>
                  </w:r>
                  <w:r>
                    <w:rPr>
                      <w:rFonts w:ascii="Times New Roman" w:hAnsi="Times New Roman" w:eastAsia="Times New Roman" w:cs="Times New Roman"/>
                      <w:spacing w:val="-3"/>
                      <w:sz w:val="21"/>
                      <w:szCs w:val="21"/>
                      <w:lang w:eastAsia="zh-CN"/>
                    </w:rPr>
                    <w:t>95</w:t>
                  </w:r>
                  <w:r>
                    <w:rPr>
                      <w:spacing w:val="-3"/>
                      <w:sz w:val="21"/>
                      <w:szCs w:val="21"/>
                      <w:lang w:eastAsia="zh-CN"/>
                    </w:rPr>
                    <w:t>百分位浓度</w:t>
                  </w:r>
                </w:p>
              </w:tc>
              <w:tc>
                <w:tcPr>
                  <w:tcW w:w="667" w:type="pct"/>
                  <w:noWrap w:val="0"/>
                  <w:vAlign w:val="center"/>
                </w:tcPr>
                <w:p w14:paraId="53D76405">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pacing w:val="-4"/>
                      <w:sz w:val="21"/>
                      <w:szCs w:val="21"/>
                    </w:rPr>
                    <w:t>800</w:t>
                  </w:r>
                </w:p>
              </w:tc>
              <w:tc>
                <w:tcPr>
                  <w:tcW w:w="1021" w:type="dxa"/>
                  <w:noWrap w:val="0"/>
                  <w:vAlign w:val="center"/>
                </w:tcPr>
                <w:p w14:paraId="7DDC4795">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sz w:val="21"/>
                      <w:szCs w:val="21"/>
                    </w:rPr>
                    <w:t>4000</w:t>
                  </w:r>
                </w:p>
              </w:tc>
              <w:tc>
                <w:tcPr>
                  <w:tcW w:w="1317" w:type="dxa"/>
                  <w:noWrap w:val="0"/>
                  <w:vAlign w:val="center"/>
                </w:tcPr>
                <w:p w14:paraId="566767B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eastAsia="Times New Roman"/>
                      <w:sz w:val="21"/>
                      <w:szCs w:val="21"/>
                    </w:rPr>
                  </w:pPr>
                  <w:r>
                    <w:rPr>
                      <w:color w:val="000000"/>
                      <w:kern w:val="0"/>
                      <w:sz w:val="21"/>
                      <w:szCs w:val="21"/>
                      <w:lang w:bidi="ar"/>
                    </w:rPr>
                    <w:t>20.0</w:t>
                  </w:r>
                </w:p>
              </w:tc>
              <w:tc>
                <w:tcPr>
                  <w:tcW w:w="643" w:type="pct"/>
                  <w:noWrap w:val="0"/>
                  <w:vAlign w:val="center"/>
                </w:tcPr>
                <w:p w14:paraId="7BB9DEB9">
                  <w:pPr>
                    <w:pStyle w:val="205"/>
                    <w:keepNext w:val="0"/>
                    <w:keepLines w:val="0"/>
                    <w:pageBreakBefore w:val="0"/>
                    <w:kinsoku/>
                    <w:wordWrap/>
                    <w:overflowPunct/>
                    <w:topLinePunct w:val="0"/>
                    <w:autoSpaceDE/>
                    <w:autoSpaceDN/>
                    <w:bidi w:val="0"/>
                    <w:adjustRightInd/>
                    <w:snapToGrid/>
                    <w:spacing w:line="320" w:lineRule="exact"/>
                    <w:jc w:val="center"/>
                    <w:rPr>
                      <w:sz w:val="21"/>
                      <w:szCs w:val="21"/>
                    </w:rPr>
                  </w:pPr>
                  <w:r>
                    <w:rPr>
                      <w:spacing w:val="-2"/>
                      <w:sz w:val="21"/>
                      <w:szCs w:val="21"/>
                    </w:rPr>
                    <w:t>达标</w:t>
                  </w:r>
                </w:p>
              </w:tc>
            </w:tr>
            <w:tr w14:paraId="50994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73" w:type="pct"/>
                  <w:noWrap w:val="0"/>
                  <w:vAlign w:val="center"/>
                </w:tcPr>
                <w:p w14:paraId="158666A9">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rFonts w:eastAsia="Times New Roman"/>
                      <w:spacing w:val="-4"/>
                      <w:sz w:val="21"/>
                      <w:szCs w:val="21"/>
                    </w:rPr>
                    <w:t>O</w:t>
                  </w:r>
                  <w:r>
                    <w:rPr>
                      <w:rFonts w:eastAsia="Times New Roman"/>
                      <w:spacing w:val="-4"/>
                      <w:position w:val="-1"/>
                      <w:sz w:val="21"/>
                      <w:szCs w:val="21"/>
                      <w:vertAlign w:val="subscript"/>
                    </w:rPr>
                    <w:t>3</w:t>
                  </w:r>
                </w:p>
              </w:tc>
              <w:tc>
                <w:tcPr>
                  <w:tcW w:w="1809" w:type="pct"/>
                  <w:noWrap w:val="0"/>
                  <w:vAlign w:val="center"/>
                </w:tcPr>
                <w:p w14:paraId="13FD3010">
                  <w:pPr>
                    <w:pStyle w:val="205"/>
                    <w:keepNext w:val="0"/>
                    <w:keepLines w:val="0"/>
                    <w:pageBreakBefore w:val="0"/>
                    <w:kinsoku/>
                    <w:wordWrap/>
                    <w:overflowPunct/>
                    <w:topLinePunct w:val="0"/>
                    <w:autoSpaceDE/>
                    <w:autoSpaceDN/>
                    <w:bidi w:val="0"/>
                    <w:adjustRightInd/>
                    <w:snapToGrid/>
                    <w:spacing w:line="320" w:lineRule="exact"/>
                    <w:ind w:hanging="368"/>
                    <w:jc w:val="center"/>
                    <w:rPr>
                      <w:spacing w:val="-5"/>
                      <w:sz w:val="21"/>
                      <w:szCs w:val="21"/>
                      <w:lang w:eastAsia="zh-CN"/>
                    </w:rPr>
                  </w:pPr>
                  <w:r>
                    <w:rPr>
                      <w:spacing w:val="-5"/>
                      <w:sz w:val="21"/>
                      <w:szCs w:val="21"/>
                      <w:lang w:eastAsia="zh-CN"/>
                    </w:rPr>
                    <w:t>最大</w:t>
                  </w:r>
                  <w:r>
                    <w:rPr>
                      <w:rFonts w:ascii="Times New Roman" w:hAnsi="Times New Roman" w:eastAsia="Times New Roman" w:cs="Times New Roman"/>
                      <w:spacing w:val="-5"/>
                      <w:sz w:val="21"/>
                      <w:szCs w:val="21"/>
                      <w:lang w:eastAsia="zh-CN"/>
                    </w:rPr>
                    <w:t>8</w:t>
                  </w:r>
                  <w:r>
                    <w:rPr>
                      <w:spacing w:val="-5"/>
                      <w:sz w:val="21"/>
                      <w:szCs w:val="21"/>
                      <w:lang w:eastAsia="zh-CN"/>
                    </w:rPr>
                    <w:t>小时滑动平均</w:t>
                  </w:r>
                </w:p>
                <w:p w14:paraId="77196494">
                  <w:pPr>
                    <w:pStyle w:val="205"/>
                    <w:keepNext w:val="0"/>
                    <w:keepLines w:val="0"/>
                    <w:pageBreakBefore w:val="0"/>
                    <w:kinsoku/>
                    <w:wordWrap/>
                    <w:overflowPunct/>
                    <w:topLinePunct w:val="0"/>
                    <w:autoSpaceDE/>
                    <w:autoSpaceDN/>
                    <w:bidi w:val="0"/>
                    <w:adjustRightInd/>
                    <w:snapToGrid/>
                    <w:spacing w:line="320" w:lineRule="exact"/>
                    <w:ind w:hanging="368"/>
                    <w:jc w:val="center"/>
                    <w:rPr>
                      <w:sz w:val="21"/>
                      <w:szCs w:val="21"/>
                      <w:lang w:eastAsia="zh-CN"/>
                    </w:rPr>
                  </w:pPr>
                  <w:r>
                    <w:rPr>
                      <w:spacing w:val="-5"/>
                      <w:sz w:val="21"/>
                      <w:szCs w:val="21"/>
                      <w:lang w:eastAsia="zh-CN"/>
                    </w:rPr>
                    <w:t>第</w:t>
                  </w:r>
                  <w:r>
                    <w:rPr>
                      <w:rFonts w:ascii="Times New Roman" w:hAnsi="Times New Roman" w:eastAsia="Times New Roman" w:cs="Times New Roman"/>
                      <w:spacing w:val="-5"/>
                      <w:sz w:val="21"/>
                      <w:szCs w:val="21"/>
                      <w:lang w:eastAsia="zh-CN"/>
                    </w:rPr>
                    <w:t>90</w:t>
                  </w:r>
                  <w:r>
                    <w:rPr>
                      <w:spacing w:val="-5"/>
                      <w:sz w:val="21"/>
                      <w:szCs w:val="21"/>
                      <w:lang w:eastAsia="zh-CN"/>
                    </w:rPr>
                    <w:t>百</w:t>
                  </w:r>
                  <w:r>
                    <w:rPr>
                      <w:spacing w:val="-2"/>
                      <w:sz w:val="21"/>
                      <w:szCs w:val="21"/>
                      <w:lang w:eastAsia="zh-CN"/>
                    </w:rPr>
                    <w:t>分位浓度百分位浓度</w:t>
                  </w:r>
                </w:p>
              </w:tc>
              <w:tc>
                <w:tcPr>
                  <w:tcW w:w="667" w:type="pct"/>
                  <w:noWrap w:val="0"/>
                  <w:vAlign w:val="center"/>
                </w:tcPr>
                <w:p w14:paraId="344B3907">
                  <w:pPr>
                    <w:keepNext w:val="0"/>
                    <w:keepLines w:val="0"/>
                    <w:pageBreakBefore w:val="0"/>
                    <w:kinsoku/>
                    <w:wordWrap/>
                    <w:overflowPunct/>
                    <w:topLinePunct w:val="0"/>
                    <w:autoSpaceDE/>
                    <w:autoSpaceDN/>
                    <w:bidi w:val="0"/>
                    <w:adjustRightInd/>
                    <w:snapToGrid/>
                    <w:spacing w:line="320" w:lineRule="exact"/>
                    <w:jc w:val="center"/>
                    <w:rPr>
                      <w:sz w:val="21"/>
                      <w:szCs w:val="21"/>
                    </w:rPr>
                  </w:pPr>
                  <w:r>
                    <w:rPr>
                      <w:rFonts w:hint="eastAsia"/>
                      <w:spacing w:val="-8"/>
                      <w:sz w:val="21"/>
                      <w:szCs w:val="21"/>
                    </w:rPr>
                    <w:t>149</w:t>
                  </w:r>
                </w:p>
              </w:tc>
              <w:tc>
                <w:tcPr>
                  <w:tcW w:w="1021" w:type="dxa"/>
                  <w:noWrap w:val="0"/>
                  <w:vAlign w:val="center"/>
                </w:tcPr>
                <w:p w14:paraId="03CAC7A1">
                  <w:pPr>
                    <w:keepNext w:val="0"/>
                    <w:keepLines w:val="0"/>
                    <w:pageBreakBefore w:val="0"/>
                    <w:kinsoku/>
                    <w:wordWrap/>
                    <w:overflowPunct/>
                    <w:topLinePunct w:val="0"/>
                    <w:autoSpaceDE/>
                    <w:autoSpaceDN/>
                    <w:bidi w:val="0"/>
                    <w:adjustRightInd/>
                    <w:snapToGrid/>
                    <w:spacing w:line="320" w:lineRule="exact"/>
                    <w:jc w:val="center"/>
                    <w:rPr>
                      <w:rFonts w:eastAsia="Times New Roman"/>
                      <w:sz w:val="21"/>
                      <w:szCs w:val="21"/>
                    </w:rPr>
                  </w:pPr>
                  <w:r>
                    <w:rPr>
                      <w:sz w:val="21"/>
                      <w:szCs w:val="21"/>
                    </w:rPr>
                    <w:t>160</w:t>
                  </w:r>
                </w:p>
              </w:tc>
              <w:tc>
                <w:tcPr>
                  <w:tcW w:w="1317" w:type="dxa"/>
                  <w:noWrap w:val="0"/>
                  <w:vAlign w:val="center"/>
                </w:tcPr>
                <w:p w14:paraId="6267573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eastAsia="Times New Roman"/>
                      <w:sz w:val="21"/>
                      <w:szCs w:val="21"/>
                    </w:rPr>
                  </w:pPr>
                  <w:r>
                    <w:rPr>
                      <w:color w:val="000000"/>
                      <w:kern w:val="0"/>
                      <w:sz w:val="21"/>
                      <w:szCs w:val="21"/>
                      <w:lang w:bidi="ar"/>
                    </w:rPr>
                    <w:t>93.1</w:t>
                  </w:r>
                </w:p>
              </w:tc>
              <w:tc>
                <w:tcPr>
                  <w:tcW w:w="643" w:type="pct"/>
                  <w:noWrap w:val="0"/>
                  <w:vAlign w:val="center"/>
                </w:tcPr>
                <w:p w14:paraId="2C388F61">
                  <w:pPr>
                    <w:pStyle w:val="205"/>
                    <w:keepNext w:val="0"/>
                    <w:keepLines w:val="0"/>
                    <w:pageBreakBefore w:val="0"/>
                    <w:kinsoku/>
                    <w:wordWrap/>
                    <w:overflowPunct/>
                    <w:topLinePunct w:val="0"/>
                    <w:autoSpaceDE/>
                    <w:autoSpaceDN/>
                    <w:bidi w:val="0"/>
                    <w:adjustRightInd/>
                    <w:snapToGrid/>
                    <w:spacing w:line="320" w:lineRule="exact"/>
                    <w:jc w:val="center"/>
                    <w:rPr>
                      <w:sz w:val="21"/>
                      <w:szCs w:val="21"/>
                      <w:lang w:eastAsia="zh-CN"/>
                    </w:rPr>
                  </w:pPr>
                  <w:r>
                    <w:rPr>
                      <w:spacing w:val="-2"/>
                      <w:sz w:val="21"/>
                      <w:szCs w:val="21"/>
                      <w:lang w:eastAsia="zh-CN"/>
                    </w:rPr>
                    <w:t>达标</w:t>
                  </w:r>
                </w:p>
              </w:tc>
            </w:tr>
          </w:tbl>
          <w:p w14:paraId="0BA8BF31">
            <w:pPr>
              <w:adjustRightInd w:val="0"/>
              <w:spacing w:line="460" w:lineRule="exact"/>
              <w:ind w:firstLine="476" w:firstLineChars="200"/>
              <w:rPr>
                <w:spacing w:val="-1"/>
                <w:sz w:val="24"/>
                <w:szCs w:val="32"/>
              </w:rPr>
            </w:pPr>
          </w:p>
          <w:p w14:paraId="5CA4BFA9">
            <w:pPr>
              <w:adjustRightInd w:val="0"/>
              <w:spacing w:line="460" w:lineRule="exact"/>
              <w:ind w:firstLine="476" w:firstLineChars="200"/>
              <w:rPr>
                <w:color w:val="000000"/>
                <w:sz w:val="24"/>
              </w:rPr>
            </w:pPr>
            <w:r>
              <w:rPr>
                <w:spacing w:val="-1"/>
                <w:sz w:val="24"/>
                <w:szCs w:val="32"/>
              </w:rPr>
              <w:t>根据环境质量年报结果统计，并结合《环境空气质量标准》(</w:t>
            </w:r>
            <w:r>
              <w:rPr>
                <w:rFonts w:eastAsia="Times New Roman"/>
                <w:spacing w:val="-1"/>
                <w:sz w:val="24"/>
                <w:szCs w:val="32"/>
              </w:rPr>
              <w:t>GB3095-20</w:t>
            </w:r>
            <w:r>
              <w:rPr>
                <w:rFonts w:hint="eastAsia" w:eastAsia="宋体"/>
                <w:spacing w:val="-1"/>
                <w:sz w:val="24"/>
                <w:szCs w:val="32"/>
                <w:lang w:val="en-US" w:eastAsia="zh-CN"/>
              </w:rPr>
              <w:t>26</w:t>
            </w:r>
            <w:r>
              <w:rPr>
                <w:spacing w:val="-1"/>
                <w:sz w:val="24"/>
                <w:szCs w:val="32"/>
              </w:rPr>
              <w:t>)，项目所在区域</w:t>
            </w:r>
            <w:r>
              <w:rPr>
                <w:rFonts w:eastAsia="Times New Roman"/>
                <w:spacing w:val="-1"/>
                <w:sz w:val="24"/>
                <w:szCs w:val="32"/>
              </w:rPr>
              <w:t>202</w:t>
            </w:r>
            <w:r>
              <w:rPr>
                <w:rFonts w:hint="eastAsia"/>
                <w:spacing w:val="-1"/>
                <w:sz w:val="24"/>
                <w:szCs w:val="32"/>
              </w:rPr>
              <w:t>5</w:t>
            </w:r>
            <w:r>
              <w:rPr>
                <w:spacing w:val="-1"/>
                <w:sz w:val="24"/>
                <w:szCs w:val="32"/>
              </w:rPr>
              <w:t>年</w:t>
            </w:r>
            <w:r>
              <w:rPr>
                <w:rFonts w:eastAsia="Times New Roman"/>
                <w:spacing w:val="-1"/>
                <w:sz w:val="24"/>
                <w:szCs w:val="32"/>
              </w:rPr>
              <w:t>PM</w:t>
            </w:r>
            <w:r>
              <w:rPr>
                <w:rFonts w:eastAsia="Times New Roman"/>
                <w:spacing w:val="-1"/>
                <w:position w:val="-1"/>
                <w:sz w:val="16"/>
                <w:szCs w:val="16"/>
              </w:rPr>
              <w:t>2.5</w:t>
            </w:r>
            <w:r>
              <w:rPr>
                <w:rFonts w:hint="eastAsia"/>
                <w:spacing w:val="-1"/>
                <w:sz w:val="24"/>
                <w:szCs w:val="32"/>
                <w:lang w:eastAsia="zh-CN"/>
              </w:rPr>
              <w:t>、</w:t>
            </w:r>
            <w:r>
              <w:rPr>
                <w:rFonts w:eastAsia="Times New Roman"/>
                <w:spacing w:val="-1"/>
                <w:sz w:val="24"/>
                <w:szCs w:val="32"/>
              </w:rPr>
              <w:t>PM</w:t>
            </w:r>
            <w:r>
              <w:rPr>
                <w:rFonts w:hint="eastAsia" w:eastAsia="宋体"/>
                <w:spacing w:val="-1"/>
                <w:position w:val="-1"/>
                <w:sz w:val="16"/>
                <w:szCs w:val="16"/>
                <w:lang w:val="en-US" w:eastAsia="zh-CN"/>
              </w:rPr>
              <w:t>10</w:t>
            </w:r>
            <w:r>
              <w:rPr>
                <w:spacing w:val="-1"/>
                <w:sz w:val="24"/>
                <w:szCs w:val="32"/>
              </w:rPr>
              <w:t>年平</w:t>
            </w:r>
            <w:r>
              <w:rPr>
                <w:spacing w:val="-2"/>
                <w:sz w:val="24"/>
                <w:szCs w:val="32"/>
              </w:rPr>
              <w:t>均</w:t>
            </w:r>
            <w:r>
              <w:rPr>
                <w:rFonts w:hint="eastAsia"/>
                <w:spacing w:val="-2"/>
                <w:sz w:val="24"/>
                <w:szCs w:val="32"/>
                <w:lang w:val="en-US" w:eastAsia="zh-CN"/>
              </w:rPr>
              <w:t>质量</w:t>
            </w:r>
            <w:r>
              <w:rPr>
                <w:spacing w:val="-2"/>
                <w:sz w:val="24"/>
                <w:szCs w:val="32"/>
              </w:rPr>
              <w:t>浓度超过《环境空气质量标</w:t>
            </w:r>
            <w:r>
              <w:rPr>
                <w:spacing w:val="-1"/>
                <w:sz w:val="24"/>
                <w:szCs w:val="32"/>
              </w:rPr>
              <w:t>准》</w:t>
            </w:r>
            <w:r>
              <w:rPr>
                <w:rFonts w:eastAsia="Times New Roman"/>
                <w:spacing w:val="-1"/>
                <w:sz w:val="24"/>
                <w:szCs w:val="32"/>
              </w:rPr>
              <w:t>(GB3095-20</w:t>
            </w:r>
            <w:r>
              <w:rPr>
                <w:rFonts w:hint="eastAsia" w:eastAsia="宋体"/>
                <w:spacing w:val="-1"/>
                <w:sz w:val="24"/>
                <w:szCs w:val="32"/>
                <w:lang w:val="en-US" w:eastAsia="zh-CN"/>
              </w:rPr>
              <w:t>26</w:t>
            </w:r>
            <w:r>
              <w:rPr>
                <w:rFonts w:eastAsia="Times New Roman"/>
                <w:spacing w:val="-1"/>
                <w:sz w:val="24"/>
                <w:szCs w:val="32"/>
              </w:rPr>
              <w:t>)</w:t>
            </w:r>
            <w:r>
              <w:rPr>
                <w:spacing w:val="-1"/>
                <w:sz w:val="24"/>
                <w:szCs w:val="32"/>
              </w:rPr>
              <w:t>中</w:t>
            </w:r>
            <w:r>
              <w:rPr>
                <w:rFonts w:hint="eastAsia"/>
                <w:spacing w:val="-1"/>
                <w:sz w:val="24"/>
                <w:szCs w:val="32"/>
                <w:lang w:val="en-US" w:eastAsia="zh-CN"/>
              </w:rPr>
              <w:t>过渡阶段</w:t>
            </w:r>
            <w:r>
              <w:rPr>
                <w:spacing w:val="-1"/>
                <w:sz w:val="24"/>
                <w:szCs w:val="32"/>
              </w:rPr>
              <w:t>二级标准限值，项目所在区域空气质量为不达标区。</w:t>
            </w:r>
          </w:p>
          <w:p w14:paraId="15A2AAB8">
            <w:pPr>
              <w:adjustRightInd w:val="0"/>
              <w:spacing w:line="480" w:lineRule="exact"/>
              <w:ind w:firstLine="360" w:firstLineChars="150"/>
              <w:rPr>
                <w:rFonts w:hint="eastAsia" w:ascii="黑体" w:hAnsi="黑体" w:eastAsia="黑体" w:cs="黑体"/>
                <w:color w:val="000000"/>
                <w:sz w:val="24"/>
              </w:rPr>
            </w:pPr>
            <w:r>
              <w:rPr>
                <w:rFonts w:hint="eastAsia" w:ascii="黑体" w:hAnsi="黑体" w:eastAsia="黑体" w:cs="黑体"/>
                <w:color w:val="000000"/>
                <w:sz w:val="24"/>
              </w:rPr>
              <w:t>(2)特征污染物监测</w:t>
            </w:r>
          </w:p>
          <w:p w14:paraId="6B282D6D">
            <w:pPr>
              <w:pStyle w:val="205"/>
              <w:spacing w:line="480" w:lineRule="exact"/>
              <w:ind w:firstLine="424"/>
              <w:rPr>
                <w:lang w:eastAsia="zh-CN"/>
              </w:rPr>
            </w:pPr>
            <w:r>
              <w:rPr>
                <w:spacing w:val="-1"/>
                <w:sz w:val="24"/>
                <w:szCs w:val="24"/>
                <w:lang w:eastAsia="zh-CN"/>
              </w:rPr>
              <w:t>项目其他污染物为</w:t>
            </w:r>
            <w:r>
              <w:rPr>
                <w:rFonts w:ascii="Times New Roman" w:hAnsi="Times New Roman" w:eastAsia="Times New Roman" w:cs="Times New Roman"/>
                <w:spacing w:val="-1"/>
                <w:sz w:val="24"/>
                <w:szCs w:val="24"/>
                <w:lang w:eastAsia="zh-CN"/>
              </w:rPr>
              <w:t>TSP</w:t>
            </w:r>
            <w:r>
              <w:rPr>
                <w:spacing w:val="-1"/>
                <w:sz w:val="24"/>
                <w:szCs w:val="24"/>
                <w:lang w:eastAsia="zh-CN"/>
              </w:rPr>
              <w:t>，监测数据引用《</w:t>
            </w:r>
            <w:r>
              <w:rPr>
                <w:rFonts w:hint="eastAsia"/>
                <w:spacing w:val="-2"/>
                <w:sz w:val="24"/>
                <w:szCs w:val="24"/>
                <w:lang w:eastAsia="zh-CN"/>
              </w:rPr>
              <w:t>凤台县古店乡和顺新型墙体材料厂改扩建项目环境影响报告表</w:t>
            </w:r>
            <w:r>
              <w:rPr>
                <w:spacing w:val="-3"/>
                <w:sz w:val="24"/>
                <w:szCs w:val="24"/>
                <w:lang w:eastAsia="zh-CN"/>
              </w:rPr>
              <w:t>》中监测数据，该项目于</w:t>
            </w:r>
            <w:r>
              <w:rPr>
                <w:rFonts w:ascii="Times New Roman" w:hAnsi="Times New Roman" w:eastAsia="Times New Roman" w:cs="Times New Roman"/>
                <w:spacing w:val="-3"/>
                <w:sz w:val="24"/>
                <w:szCs w:val="24"/>
                <w:lang w:eastAsia="zh-CN"/>
              </w:rPr>
              <w:t>202</w:t>
            </w:r>
            <w:r>
              <w:rPr>
                <w:rFonts w:hint="eastAsia" w:ascii="Times New Roman" w:hAnsi="Times New Roman" w:cs="Times New Roman"/>
                <w:spacing w:val="-3"/>
                <w:sz w:val="24"/>
                <w:szCs w:val="24"/>
                <w:lang w:eastAsia="zh-CN"/>
              </w:rPr>
              <w:t>4</w:t>
            </w:r>
            <w:r>
              <w:rPr>
                <w:spacing w:val="-3"/>
                <w:sz w:val="24"/>
                <w:szCs w:val="24"/>
                <w:lang w:eastAsia="zh-CN"/>
              </w:rPr>
              <w:t>年</w:t>
            </w:r>
            <w:r>
              <w:rPr>
                <w:rFonts w:hint="eastAsia" w:ascii="Times New Roman" w:hAnsi="Times New Roman" w:cs="Times New Roman"/>
                <w:spacing w:val="-3"/>
                <w:sz w:val="24"/>
                <w:szCs w:val="24"/>
                <w:lang w:eastAsia="zh-CN"/>
              </w:rPr>
              <w:t>1</w:t>
            </w:r>
            <w:r>
              <w:rPr>
                <w:spacing w:val="-3"/>
                <w:sz w:val="24"/>
                <w:szCs w:val="24"/>
                <w:lang w:eastAsia="zh-CN"/>
              </w:rPr>
              <w:t>月</w:t>
            </w:r>
            <w:r>
              <w:rPr>
                <w:rFonts w:hint="eastAsia" w:ascii="Times New Roman" w:hAnsi="Times New Roman" w:cs="Times New Roman"/>
                <w:spacing w:val="-3"/>
                <w:sz w:val="24"/>
                <w:szCs w:val="24"/>
                <w:lang w:eastAsia="zh-CN"/>
              </w:rPr>
              <w:t>6</w:t>
            </w:r>
            <w:r>
              <w:rPr>
                <w:spacing w:val="-3"/>
                <w:sz w:val="24"/>
                <w:szCs w:val="24"/>
                <w:lang w:eastAsia="zh-CN"/>
              </w:rPr>
              <w:t>日</w:t>
            </w:r>
            <w:r>
              <w:rPr>
                <w:rFonts w:ascii="Times New Roman" w:hAnsi="Times New Roman" w:eastAsia="Times New Roman" w:cs="Times New Roman"/>
                <w:spacing w:val="-3"/>
                <w:sz w:val="24"/>
                <w:szCs w:val="24"/>
                <w:lang w:eastAsia="zh-CN"/>
              </w:rPr>
              <w:t>~</w:t>
            </w:r>
            <w:r>
              <w:rPr>
                <w:rFonts w:ascii="Times New Roman" w:hAnsi="Times New Roman" w:eastAsia="Times New Roman" w:cs="Times New Roman"/>
                <w:spacing w:val="-5"/>
                <w:sz w:val="24"/>
                <w:szCs w:val="24"/>
                <w:lang w:eastAsia="zh-CN"/>
              </w:rPr>
              <w:t>1</w:t>
            </w:r>
            <w:r>
              <w:rPr>
                <w:rFonts w:hint="eastAsia" w:ascii="Times New Roman" w:hAnsi="Times New Roman" w:cs="Times New Roman"/>
                <w:spacing w:val="-5"/>
                <w:sz w:val="24"/>
                <w:szCs w:val="24"/>
                <w:lang w:eastAsia="zh-CN"/>
              </w:rPr>
              <w:t>2</w:t>
            </w:r>
            <w:r>
              <w:rPr>
                <w:spacing w:val="-5"/>
                <w:sz w:val="24"/>
                <w:szCs w:val="24"/>
                <w:lang w:eastAsia="zh-CN"/>
              </w:rPr>
              <w:t>日对</w:t>
            </w:r>
            <w:r>
              <w:rPr>
                <w:rFonts w:ascii="Times New Roman" w:hAnsi="Times New Roman" w:eastAsia="Times New Roman" w:cs="Times New Roman"/>
                <w:spacing w:val="-5"/>
                <w:sz w:val="24"/>
                <w:szCs w:val="24"/>
                <w:lang w:eastAsia="zh-CN"/>
              </w:rPr>
              <w:t>TSP</w:t>
            </w:r>
            <w:r>
              <w:rPr>
                <w:spacing w:val="-5"/>
                <w:sz w:val="24"/>
                <w:szCs w:val="24"/>
                <w:lang w:eastAsia="zh-CN"/>
              </w:rPr>
              <w:t>日均浓度进行监测，监测点位于本项目</w:t>
            </w:r>
            <w:r>
              <w:rPr>
                <w:rFonts w:hint="eastAsia"/>
                <w:spacing w:val="-5"/>
                <w:sz w:val="24"/>
                <w:szCs w:val="24"/>
                <w:lang w:eastAsia="zh-CN"/>
              </w:rPr>
              <w:t>西</w:t>
            </w:r>
            <w:r>
              <w:rPr>
                <w:spacing w:val="-5"/>
                <w:sz w:val="24"/>
                <w:szCs w:val="24"/>
                <w:lang w:eastAsia="zh-CN"/>
              </w:rPr>
              <w:t>南侧约</w:t>
            </w:r>
            <w:r>
              <w:rPr>
                <w:rFonts w:hint="eastAsia" w:ascii="Times New Roman" w:hAnsi="Times New Roman" w:cs="Times New Roman"/>
                <w:spacing w:val="-5"/>
                <w:sz w:val="24"/>
                <w:szCs w:val="24"/>
                <w:lang w:eastAsia="zh-CN"/>
              </w:rPr>
              <w:t>650</w:t>
            </w:r>
            <w:r>
              <w:rPr>
                <w:rFonts w:ascii="Times New Roman" w:hAnsi="Times New Roman" w:eastAsia="Times New Roman" w:cs="Times New Roman"/>
                <w:spacing w:val="-5"/>
                <w:sz w:val="24"/>
                <w:szCs w:val="24"/>
                <w:lang w:eastAsia="zh-CN"/>
              </w:rPr>
              <w:t>m</w:t>
            </w:r>
            <w:r>
              <w:rPr>
                <w:spacing w:val="-5"/>
                <w:sz w:val="24"/>
                <w:szCs w:val="24"/>
                <w:lang w:eastAsia="zh-CN"/>
              </w:rPr>
              <w:t>处。引</w:t>
            </w:r>
            <w:r>
              <w:rPr>
                <w:spacing w:val="-6"/>
                <w:sz w:val="24"/>
                <w:szCs w:val="24"/>
                <w:lang w:eastAsia="zh-CN"/>
              </w:rPr>
              <w:t>用的监测点位</w:t>
            </w:r>
            <w:r>
              <w:rPr>
                <w:spacing w:val="-2"/>
                <w:sz w:val="24"/>
                <w:szCs w:val="24"/>
                <w:lang w:eastAsia="zh-CN"/>
              </w:rPr>
              <w:t>距项目厂址</w:t>
            </w:r>
            <w:r>
              <w:rPr>
                <w:rFonts w:ascii="Times New Roman" w:hAnsi="Times New Roman" w:eastAsia="Times New Roman" w:cs="Times New Roman"/>
                <w:spacing w:val="-2"/>
                <w:sz w:val="24"/>
                <w:szCs w:val="24"/>
                <w:lang w:eastAsia="zh-CN"/>
              </w:rPr>
              <w:t>5km</w:t>
            </w:r>
            <w:r>
              <w:rPr>
                <w:spacing w:val="-2"/>
                <w:sz w:val="24"/>
                <w:szCs w:val="24"/>
                <w:lang w:eastAsia="zh-CN"/>
              </w:rPr>
              <w:t>范围内，且位于</w:t>
            </w:r>
            <w:r>
              <w:rPr>
                <w:rFonts w:ascii="Times New Roman" w:hAnsi="Times New Roman" w:eastAsia="Times New Roman" w:cs="Times New Roman"/>
                <w:spacing w:val="-2"/>
                <w:sz w:val="24"/>
                <w:szCs w:val="24"/>
                <w:lang w:eastAsia="zh-CN"/>
              </w:rPr>
              <w:t>3</w:t>
            </w:r>
            <w:r>
              <w:rPr>
                <w:spacing w:val="-2"/>
                <w:sz w:val="24"/>
                <w:szCs w:val="24"/>
                <w:lang w:eastAsia="zh-CN"/>
              </w:rPr>
              <w:t>年有效期内</w:t>
            </w:r>
            <w:r>
              <w:rPr>
                <w:spacing w:val="-3"/>
                <w:sz w:val="24"/>
                <w:szCs w:val="24"/>
                <w:lang w:eastAsia="zh-CN"/>
              </w:rPr>
              <w:t>，因此，该数据具有有效性，本次评价引用的</w:t>
            </w:r>
            <w:r>
              <w:rPr>
                <w:spacing w:val="-2"/>
                <w:sz w:val="24"/>
                <w:szCs w:val="24"/>
                <w:lang w:eastAsia="zh-CN"/>
              </w:rPr>
              <w:t>监测数据是合理可行的。数据详见下表。</w:t>
            </w:r>
          </w:p>
          <w:p w14:paraId="74F807B6">
            <w:pPr>
              <w:pStyle w:val="205"/>
              <w:spacing w:line="480" w:lineRule="exact"/>
              <w:jc w:val="center"/>
              <w:rPr>
                <w:rFonts w:hint="eastAsia" w:ascii="黑体" w:hAnsi="黑体" w:eastAsia="黑体" w:cs="黑体"/>
                <w:sz w:val="24"/>
                <w:szCs w:val="24"/>
                <w:lang w:eastAsia="zh-CN"/>
              </w:rPr>
            </w:pPr>
            <w:r>
              <w:rPr>
                <w:rFonts w:hint="eastAsia" w:ascii="黑体" w:hAnsi="黑体" w:eastAsia="黑体" w:cs="黑体"/>
                <w:spacing w:val="-2"/>
                <w:sz w:val="24"/>
                <w:szCs w:val="24"/>
                <w:lang w:eastAsia="zh-CN"/>
              </w:rPr>
              <w:t>表3-2环境空气质量特征污染物TSP监测数据现状评价结果</w:t>
            </w:r>
          </w:p>
          <w:tbl>
            <w:tblPr>
              <w:tblStyle w:val="38"/>
              <w:tblW w:w="8259"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1"/>
              <w:gridCol w:w="1483"/>
              <w:gridCol w:w="1733"/>
              <w:gridCol w:w="2293"/>
              <w:gridCol w:w="1529"/>
            </w:tblGrid>
            <w:tr w14:paraId="46E70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1221" w:type="dxa"/>
                  <w:tcBorders>
                    <w:bottom w:val="nil"/>
                    <w:right w:val="single" w:color="auto" w:sz="4" w:space="0"/>
                  </w:tcBorders>
                  <w:noWrap w:val="0"/>
                  <w:vAlign w:val="center"/>
                </w:tcPr>
                <w:p w14:paraId="13CD08B8">
                  <w:pPr>
                    <w:pStyle w:val="205"/>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spacing w:val="-2"/>
                    </w:rPr>
                    <w:t>监测项目</w:t>
                  </w:r>
                </w:p>
              </w:tc>
              <w:tc>
                <w:tcPr>
                  <w:tcW w:w="1483" w:type="dxa"/>
                  <w:tcBorders>
                    <w:left w:val="single" w:color="auto" w:sz="4" w:space="0"/>
                    <w:bottom w:val="nil"/>
                  </w:tcBorders>
                  <w:noWrap w:val="0"/>
                  <w:vAlign w:val="center"/>
                </w:tcPr>
                <w:p w14:paraId="7166C3FC">
                  <w:pPr>
                    <w:pStyle w:val="205"/>
                    <w:keepNext w:val="0"/>
                    <w:keepLines w:val="0"/>
                    <w:pageBreakBefore w:val="0"/>
                    <w:widowControl w:val="0"/>
                    <w:kinsoku/>
                    <w:wordWrap/>
                    <w:overflowPunct/>
                    <w:topLinePunct w:val="0"/>
                    <w:autoSpaceDE/>
                    <w:autoSpaceDN/>
                    <w:bidi w:val="0"/>
                    <w:adjustRightInd/>
                    <w:snapToGrid/>
                    <w:spacing w:line="320" w:lineRule="exact"/>
                    <w:jc w:val="center"/>
                    <w:textAlignment w:val="auto"/>
                    <w:rPr>
                      <w:spacing w:val="-2"/>
                    </w:rPr>
                  </w:pPr>
                  <w:r>
                    <w:rPr>
                      <w:rFonts w:hint="eastAsia"/>
                      <w:lang w:eastAsia="zh-CN"/>
                    </w:rPr>
                    <w:t>取值</w:t>
                  </w:r>
                </w:p>
              </w:tc>
              <w:tc>
                <w:tcPr>
                  <w:tcW w:w="1733" w:type="dxa"/>
                  <w:tcBorders>
                    <w:right w:val="single" w:color="auto" w:sz="4" w:space="0"/>
                  </w:tcBorders>
                  <w:noWrap w:val="0"/>
                  <w:vAlign w:val="center"/>
                </w:tcPr>
                <w:p w14:paraId="27F2298E">
                  <w:pPr>
                    <w:pStyle w:val="205"/>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spacing w:val="-2"/>
                    </w:rPr>
                    <w:t>范围(</w:t>
                  </w:r>
                  <w:r>
                    <w:rPr>
                      <w:rFonts w:ascii="Times New Roman" w:hAnsi="Times New Roman" w:eastAsia="Times New Roman" w:cs="Times New Roman"/>
                      <w:spacing w:val="-2"/>
                    </w:rPr>
                    <w:t>mg/m</w:t>
                  </w:r>
                  <w:r>
                    <w:rPr>
                      <w:rFonts w:ascii="Times New Roman" w:hAnsi="Times New Roman" w:eastAsia="Times New Roman" w:cs="Times New Roman"/>
                      <w:spacing w:val="-2"/>
                      <w:position w:val="5"/>
                      <w:sz w:val="14"/>
                      <w:szCs w:val="14"/>
                    </w:rPr>
                    <w:t>3</w:t>
                  </w:r>
                  <w:r>
                    <w:rPr>
                      <w:spacing w:val="-2"/>
                    </w:rPr>
                    <w:t>)</w:t>
                  </w:r>
                </w:p>
              </w:tc>
              <w:tc>
                <w:tcPr>
                  <w:tcW w:w="2293" w:type="dxa"/>
                  <w:tcBorders>
                    <w:left w:val="single" w:color="auto" w:sz="4" w:space="0"/>
                    <w:right w:val="single" w:color="auto" w:sz="4" w:space="0"/>
                  </w:tcBorders>
                  <w:noWrap w:val="0"/>
                  <w:vAlign w:val="center"/>
                </w:tcPr>
                <w:p w14:paraId="21C7BB35">
                  <w:pPr>
                    <w:pStyle w:val="205"/>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spacing w:val="-1"/>
                    </w:rPr>
                    <w:t>评价标准(</w:t>
                  </w:r>
                  <w:r>
                    <w:rPr>
                      <w:rFonts w:ascii="Times New Roman" w:hAnsi="Times New Roman" w:eastAsia="Times New Roman" w:cs="Times New Roman"/>
                      <w:spacing w:val="-1"/>
                    </w:rPr>
                    <w:t>mg/m</w:t>
                  </w:r>
                  <w:r>
                    <w:rPr>
                      <w:rFonts w:ascii="Times New Roman" w:hAnsi="Times New Roman" w:eastAsia="Times New Roman" w:cs="Times New Roman"/>
                      <w:spacing w:val="-1"/>
                      <w:position w:val="5"/>
                      <w:sz w:val="14"/>
                      <w:szCs w:val="14"/>
                    </w:rPr>
                    <w:t>3</w:t>
                  </w:r>
                  <w:r>
                    <w:rPr>
                      <w:spacing w:val="-1"/>
                    </w:rPr>
                    <w:t>)</w:t>
                  </w:r>
                </w:p>
              </w:tc>
              <w:tc>
                <w:tcPr>
                  <w:tcW w:w="1529" w:type="dxa"/>
                  <w:tcBorders>
                    <w:left w:val="single" w:color="auto" w:sz="4" w:space="0"/>
                  </w:tcBorders>
                  <w:noWrap w:val="0"/>
                  <w:vAlign w:val="center"/>
                </w:tcPr>
                <w:p w14:paraId="44452EF8">
                  <w:pPr>
                    <w:pStyle w:val="205"/>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spacing w:val="-2"/>
                    </w:rPr>
                    <w:t>达标情况</w:t>
                  </w:r>
                </w:p>
              </w:tc>
            </w:tr>
            <w:tr w14:paraId="665EF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221" w:type="dxa"/>
                  <w:tcBorders>
                    <w:right w:val="single" w:color="auto" w:sz="4" w:space="0"/>
                  </w:tcBorders>
                  <w:noWrap w:val="0"/>
                  <w:vAlign w:val="center"/>
                </w:tcPr>
                <w:p w14:paraId="39FEDB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eastAsia="Times New Roman"/>
                      <w:szCs w:val="21"/>
                    </w:rPr>
                  </w:pPr>
                  <w:r>
                    <w:rPr>
                      <w:rFonts w:eastAsia="Times New Roman"/>
                      <w:spacing w:val="-3"/>
                      <w:szCs w:val="21"/>
                    </w:rPr>
                    <w:t>TSP</w:t>
                  </w:r>
                </w:p>
              </w:tc>
              <w:tc>
                <w:tcPr>
                  <w:tcW w:w="1483" w:type="dxa"/>
                  <w:tcBorders>
                    <w:left w:val="single" w:color="auto" w:sz="4" w:space="0"/>
                  </w:tcBorders>
                  <w:noWrap w:val="0"/>
                  <w:vAlign w:val="center"/>
                </w:tcPr>
                <w:p w14:paraId="536751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eastAsia="Times New Roman"/>
                      <w:spacing w:val="-3"/>
                      <w:szCs w:val="21"/>
                    </w:rPr>
                  </w:pPr>
                  <w:r>
                    <w:rPr>
                      <w:rFonts w:eastAsia="Times New Roman"/>
                      <w:spacing w:val="-1"/>
                    </w:rPr>
                    <w:t>24</w:t>
                  </w:r>
                  <w:r>
                    <w:rPr>
                      <w:spacing w:val="-1"/>
                    </w:rPr>
                    <w:t>小时浓度值</w:t>
                  </w:r>
                </w:p>
              </w:tc>
              <w:tc>
                <w:tcPr>
                  <w:tcW w:w="1733" w:type="dxa"/>
                  <w:noWrap w:val="0"/>
                  <w:vAlign w:val="center"/>
                </w:tcPr>
                <w:p w14:paraId="3B6E6B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rFonts w:eastAsia="Times New Roman"/>
                      <w:spacing w:val="-1"/>
                      <w:szCs w:val="21"/>
                    </w:rPr>
                    <w:t>0.</w:t>
                  </w:r>
                  <w:r>
                    <w:rPr>
                      <w:rFonts w:hint="eastAsia"/>
                      <w:spacing w:val="-1"/>
                      <w:szCs w:val="21"/>
                    </w:rPr>
                    <w:t>101</w:t>
                  </w:r>
                  <w:r>
                    <w:rPr>
                      <w:rFonts w:eastAsia="Times New Roman"/>
                      <w:spacing w:val="-1"/>
                      <w:szCs w:val="21"/>
                    </w:rPr>
                    <w:t>~0.1</w:t>
                  </w:r>
                  <w:r>
                    <w:rPr>
                      <w:rFonts w:hint="eastAsia"/>
                      <w:spacing w:val="-1"/>
                      <w:szCs w:val="21"/>
                    </w:rPr>
                    <w:t>42</w:t>
                  </w:r>
                </w:p>
              </w:tc>
              <w:tc>
                <w:tcPr>
                  <w:tcW w:w="2293" w:type="dxa"/>
                  <w:noWrap w:val="0"/>
                  <w:vAlign w:val="center"/>
                </w:tcPr>
                <w:p w14:paraId="7CC59D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eastAsia="Times New Roman"/>
                      <w:szCs w:val="21"/>
                    </w:rPr>
                  </w:pPr>
                  <w:r>
                    <w:rPr>
                      <w:rFonts w:eastAsia="Times New Roman"/>
                      <w:spacing w:val="-3"/>
                      <w:szCs w:val="21"/>
                    </w:rPr>
                    <w:t>0.3</w:t>
                  </w:r>
                </w:p>
              </w:tc>
              <w:tc>
                <w:tcPr>
                  <w:tcW w:w="1529" w:type="dxa"/>
                  <w:noWrap w:val="0"/>
                  <w:vAlign w:val="center"/>
                </w:tcPr>
                <w:p w14:paraId="695A1F9D">
                  <w:pPr>
                    <w:pStyle w:val="205"/>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spacing w:val="-2"/>
                    </w:rPr>
                    <w:t>达标</w:t>
                  </w:r>
                </w:p>
              </w:tc>
            </w:tr>
          </w:tbl>
          <w:p w14:paraId="6D41CA19">
            <w:pPr>
              <w:adjustRightInd w:val="0"/>
              <w:snapToGrid w:val="0"/>
              <w:spacing w:line="360" w:lineRule="auto"/>
              <w:ind w:firstLine="524" w:firstLineChars="200"/>
              <w:rPr>
                <w:spacing w:val="11"/>
                <w:sz w:val="24"/>
                <w:szCs w:val="32"/>
              </w:rPr>
            </w:pPr>
          </w:p>
          <w:p w14:paraId="456B4AF9">
            <w:pPr>
              <w:adjustRightInd w:val="0"/>
              <w:snapToGrid w:val="0"/>
              <w:jc w:val="center"/>
            </w:pPr>
            <w:r>
              <w:drawing>
                <wp:inline distT="0" distB="0" distL="114300" distR="114300">
                  <wp:extent cx="4307205" cy="2825115"/>
                  <wp:effectExtent l="0" t="0" r="17145" b="13335"/>
                  <wp:docPr id="17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8"/>
                          <pic:cNvPicPr>
                            <a:picLocks noChangeAspect="1"/>
                          </pic:cNvPicPr>
                        </pic:nvPicPr>
                        <pic:blipFill>
                          <a:blip r:embed="rId16"/>
                          <a:stretch>
                            <a:fillRect/>
                          </a:stretch>
                        </pic:blipFill>
                        <pic:spPr>
                          <a:xfrm>
                            <a:off x="0" y="0"/>
                            <a:ext cx="4307205" cy="2825115"/>
                          </a:xfrm>
                          <a:prstGeom prst="rect">
                            <a:avLst/>
                          </a:prstGeom>
                          <a:noFill/>
                          <a:ln>
                            <a:noFill/>
                          </a:ln>
                        </pic:spPr>
                      </pic:pic>
                    </a:graphicData>
                  </a:graphic>
                </wp:inline>
              </w:drawing>
            </w:r>
          </w:p>
          <w:p w14:paraId="2CE55493">
            <w:pPr>
              <w:pStyle w:val="12"/>
              <w:spacing w:before="0" w:after="0" w:line="240" w:lineRule="auto"/>
              <w:ind w:right="0"/>
              <w:jc w:val="center"/>
              <w:rPr>
                <w:rFonts w:hint="eastAsia" w:ascii="黑体" w:hAnsi="黑体" w:eastAsia="黑体" w:cs="黑体"/>
                <w:sz w:val="22"/>
                <w:szCs w:val="24"/>
              </w:rPr>
            </w:pPr>
            <w:r>
              <w:rPr>
                <w:rFonts w:hint="eastAsia" w:ascii="黑体" w:hAnsi="黑体" w:eastAsia="黑体" w:cs="黑体"/>
                <w:sz w:val="22"/>
                <w:szCs w:val="24"/>
              </w:rPr>
              <w:t>图3-1 监测点位与本项目</w:t>
            </w:r>
            <w:r>
              <w:rPr>
                <w:rFonts w:hint="eastAsia" w:ascii="黑体" w:hAnsi="黑体" w:eastAsia="黑体" w:cs="黑体"/>
                <w:sz w:val="24"/>
                <w:szCs w:val="28"/>
              </w:rPr>
              <w:t>位置关系示意图</w:t>
            </w:r>
          </w:p>
          <w:p w14:paraId="3EB0D797">
            <w:pPr>
              <w:adjustRightInd w:val="0"/>
              <w:snapToGrid w:val="0"/>
              <w:spacing w:line="480" w:lineRule="exact"/>
              <w:ind w:firstLine="524" w:firstLineChars="200"/>
              <w:rPr>
                <w:b/>
                <w:sz w:val="32"/>
                <w:szCs w:val="32"/>
              </w:rPr>
            </w:pPr>
            <w:r>
              <w:rPr>
                <w:spacing w:val="11"/>
                <w:sz w:val="24"/>
                <w:szCs w:val="32"/>
              </w:rPr>
              <w:t>从上表可以看出，区域环境空气中</w:t>
            </w:r>
            <w:r>
              <w:rPr>
                <w:rFonts w:eastAsia="Times New Roman"/>
                <w:sz w:val="24"/>
                <w:szCs w:val="32"/>
              </w:rPr>
              <w:t>TSP</w:t>
            </w:r>
            <w:r>
              <w:rPr>
                <w:spacing w:val="11"/>
                <w:sz w:val="24"/>
                <w:szCs w:val="32"/>
              </w:rPr>
              <w:t>的监测结果能满足《环境空气质量标准》</w:t>
            </w:r>
            <w:r>
              <w:rPr>
                <w:spacing w:val="-3"/>
                <w:sz w:val="24"/>
                <w:szCs w:val="32"/>
              </w:rPr>
              <w:t>(</w:t>
            </w:r>
            <w:r>
              <w:rPr>
                <w:rFonts w:eastAsia="Times New Roman"/>
                <w:spacing w:val="-3"/>
                <w:sz w:val="24"/>
                <w:szCs w:val="32"/>
              </w:rPr>
              <w:t>GB3095-20</w:t>
            </w:r>
            <w:r>
              <w:rPr>
                <w:rFonts w:hint="eastAsia" w:eastAsia="宋体"/>
                <w:spacing w:val="-3"/>
                <w:sz w:val="24"/>
                <w:szCs w:val="32"/>
                <w:lang w:val="en-US" w:eastAsia="zh-CN"/>
              </w:rPr>
              <w:t>26</w:t>
            </w:r>
            <w:r>
              <w:rPr>
                <w:spacing w:val="-3"/>
                <w:sz w:val="24"/>
                <w:szCs w:val="32"/>
              </w:rPr>
              <w:t>)中的二级标准。</w:t>
            </w:r>
          </w:p>
          <w:p w14:paraId="253D07FB">
            <w:pPr>
              <w:pStyle w:val="12"/>
              <w:spacing w:before="0" w:after="0" w:line="480" w:lineRule="exact"/>
              <w:ind w:right="0" w:firstLine="480" w:firstLineChars="200"/>
              <w:rPr>
                <w:rFonts w:hint="eastAsia" w:ascii="黑体" w:hAnsi="黑体" w:eastAsia="黑体" w:cs="黑体"/>
                <w:bCs/>
                <w:sz w:val="24"/>
                <w:szCs w:val="24"/>
              </w:rPr>
            </w:pPr>
            <w:r>
              <w:rPr>
                <w:rFonts w:hint="eastAsia" w:ascii="黑体" w:hAnsi="黑体" w:eastAsia="黑体" w:cs="黑体"/>
                <w:bCs/>
                <w:sz w:val="24"/>
                <w:szCs w:val="24"/>
              </w:rPr>
              <w:t>2、地表水环境质量</w:t>
            </w:r>
          </w:p>
          <w:p w14:paraId="0EDE5FDD">
            <w:pPr>
              <w:adjustRightInd w:val="0"/>
              <w:snapToGrid w:val="0"/>
              <w:spacing w:line="480" w:lineRule="exact"/>
              <w:ind w:firstLine="480" w:firstLineChars="200"/>
              <w:rPr>
                <w:color w:val="000000"/>
                <w:sz w:val="24"/>
              </w:rPr>
            </w:pPr>
            <w:r>
              <w:rPr>
                <w:color w:val="000000"/>
                <w:sz w:val="24"/>
              </w:rPr>
              <w:t>根据《建设项目环境影响报告表编制技术指南(污染影响类)》，引用与建设项目距离近的有效数据，包括近3年的规划环境影响评价的监测数据，所在流域控制单元内国家、地方控制断面监测数据，生态环境主管部门发布的水环境质量数据或地表水达标情况的结论。</w:t>
            </w:r>
          </w:p>
          <w:p w14:paraId="14267BE4">
            <w:pPr>
              <w:adjustRightInd w:val="0"/>
              <w:snapToGrid w:val="0"/>
              <w:spacing w:line="480" w:lineRule="exact"/>
              <w:ind w:firstLine="480" w:firstLineChars="200"/>
              <w:rPr>
                <w:color w:val="000000"/>
                <w:sz w:val="24"/>
              </w:rPr>
            </w:pPr>
            <w:r>
              <w:rPr>
                <w:color w:val="000000"/>
                <w:sz w:val="24"/>
              </w:rPr>
              <w:t>根据淮南市生态环境局发布的《202</w:t>
            </w:r>
            <w:r>
              <w:rPr>
                <w:rFonts w:hint="eastAsia"/>
                <w:color w:val="000000"/>
                <w:sz w:val="24"/>
              </w:rPr>
              <w:t>5</w:t>
            </w:r>
            <w:r>
              <w:rPr>
                <w:color w:val="000000"/>
                <w:sz w:val="24"/>
              </w:rPr>
              <w:t>年淮南市环境质量状况公报》，2025年，全市地表水24个监测断面中优良水质比例为95.8%，Ⅳ类水质比例4.2%，总体水质状况优，比上年上升了4.1个百分点。</w:t>
            </w:r>
          </w:p>
          <w:p w14:paraId="6854ADA0">
            <w:pPr>
              <w:adjustRightInd w:val="0"/>
              <w:snapToGrid w:val="0"/>
              <w:spacing w:line="480" w:lineRule="exact"/>
              <w:ind w:firstLine="480" w:firstLineChars="200"/>
              <w:rPr>
                <w:color w:val="000000"/>
                <w:sz w:val="24"/>
              </w:rPr>
            </w:pPr>
            <w:r>
              <w:rPr>
                <w:color w:val="000000"/>
                <w:sz w:val="24"/>
              </w:rPr>
              <w:t>淮河干流水质状况为优，东淝河、西淝河、永幸河、陡涧河水质状况为优，架河、泥河、万小河、瓦西干渠、丁家沟和便民沟水质状况为良好。20个监测断面中优良水质比例为100%，与去年持平。袁庄水厂、东部城区水源地、西淝河闸下、窑口大桥和白洋淀渡口断面水质均有所好转(Ⅲ类→Ⅱ类)，其他断面水质保持稳定。</w:t>
            </w:r>
          </w:p>
          <w:p w14:paraId="31F6254D">
            <w:pPr>
              <w:adjustRightInd w:val="0"/>
              <w:snapToGrid w:val="0"/>
              <w:spacing w:line="480" w:lineRule="exact"/>
              <w:ind w:firstLine="480" w:firstLineChars="200"/>
              <w:rPr>
                <w:b/>
                <w:color w:val="000000"/>
                <w:sz w:val="24"/>
                <w:highlight w:val="none"/>
              </w:rPr>
            </w:pPr>
            <w:r>
              <w:rPr>
                <w:color w:val="000000"/>
                <w:sz w:val="24"/>
                <w:highlight w:val="none"/>
              </w:rPr>
              <w:t>本项目附近地表水体为</w:t>
            </w:r>
            <w:r>
              <w:rPr>
                <w:rFonts w:hint="eastAsia"/>
                <w:color w:val="000000"/>
                <w:sz w:val="24"/>
                <w:highlight w:val="none"/>
              </w:rPr>
              <w:t>永幸河</w:t>
            </w:r>
            <w:r>
              <w:rPr>
                <w:color w:val="000000"/>
                <w:sz w:val="24"/>
                <w:highlight w:val="none"/>
              </w:rPr>
              <w:t>，水质满足《地表水环境质量标准》(GB3838-2002)中的Ⅲ类标准。</w:t>
            </w:r>
          </w:p>
          <w:p w14:paraId="0A1900DF">
            <w:pPr>
              <w:pStyle w:val="12"/>
              <w:snapToGrid/>
              <w:spacing w:before="0" w:after="0" w:line="480" w:lineRule="exact"/>
              <w:ind w:right="0" w:firstLine="480" w:firstLineChars="200"/>
              <w:rPr>
                <w:rFonts w:hint="eastAsia" w:ascii="黑体" w:hAnsi="黑体" w:eastAsia="黑体" w:cs="黑体"/>
                <w:bCs/>
                <w:sz w:val="24"/>
                <w:szCs w:val="24"/>
              </w:rPr>
            </w:pPr>
            <w:r>
              <w:rPr>
                <w:rFonts w:hint="eastAsia" w:ascii="黑体" w:hAnsi="黑体" w:eastAsia="黑体" w:cs="黑体"/>
                <w:bCs/>
                <w:sz w:val="24"/>
                <w:szCs w:val="24"/>
              </w:rPr>
              <w:t>3、声环境质量</w:t>
            </w:r>
          </w:p>
          <w:p w14:paraId="6FBE25CA">
            <w:pPr>
              <w:spacing w:line="480" w:lineRule="exact"/>
              <w:ind w:firstLine="480" w:firstLineChars="200"/>
              <w:rPr>
                <w:sz w:val="24"/>
              </w:rPr>
            </w:pPr>
            <w:r>
              <w:rPr>
                <w:rFonts w:hint="eastAsia"/>
                <w:sz w:val="24"/>
              </w:rPr>
              <w:t>厂界周边50米范围无声环境保护目标，无需进行声环境质量现状监测</w:t>
            </w:r>
            <w:r>
              <w:rPr>
                <w:sz w:val="24"/>
              </w:rPr>
              <w:t>。</w:t>
            </w:r>
          </w:p>
          <w:p w14:paraId="25F83744">
            <w:pPr>
              <w:pStyle w:val="205"/>
              <w:spacing w:line="480" w:lineRule="exact"/>
              <w:ind w:firstLine="468" w:firstLineChars="200"/>
              <w:rPr>
                <w:rFonts w:hint="eastAsia" w:ascii="黑体" w:hAnsi="黑体" w:eastAsia="黑体" w:cs="黑体"/>
                <w:sz w:val="24"/>
                <w:szCs w:val="24"/>
                <w:lang w:eastAsia="zh-CN"/>
              </w:rPr>
            </w:pPr>
            <w:r>
              <w:rPr>
                <w:rFonts w:hint="eastAsia" w:ascii="黑体" w:hAnsi="黑体" w:eastAsia="黑体" w:cs="黑体"/>
                <w:spacing w:val="-3"/>
                <w:sz w:val="24"/>
                <w:szCs w:val="24"/>
                <w:lang w:eastAsia="zh-CN"/>
              </w:rPr>
              <w:t>4、生态环境</w:t>
            </w:r>
          </w:p>
          <w:p w14:paraId="1EDB637C">
            <w:pPr>
              <w:pStyle w:val="205"/>
              <w:spacing w:line="480" w:lineRule="exact"/>
              <w:ind w:firstLine="480" w:firstLineChars="200"/>
              <w:rPr>
                <w:sz w:val="24"/>
                <w:szCs w:val="24"/>
                <w:lang w:eastAsia="zh-CN"/>
              </w:rPr>
            </w:pPr>
            <w:r>
              <w:rPr>
                <w:sz w:val="24"/>
                <w:szCs w:val="24"/>
                <w:lang w:eastAsia="zh-CN"/>
              </w:rPr>
              <w:t>本项目位于</w:t>
            </w:r>
            <w:r>
              <w:rPr>
                <w:rFonts w:hint="eastAsia"/>
                <w:sz w:val="24"/>
                <w:szCs w:val="24"/>
                <w:lang w:eastAsia="zh-CN"/>
              </w:rPr>
              <w:t>现有厂区</w:t>
            </w:r>
            <w:r>
              <w:rPr>
                <w:sz w:val="24"/>
                <w:szCs w:val="24"/>
                <w:lang w:eastAsia="zh-CN"/>
              </w:rPr>
              <w:t>内，评价范围内无自然保护区、风景名胜区、世界文化和自然遗产地、饮用水水源保护区以及森林公园、地质公园、重要湿地等敏感区存在，本项目不涉</w:t>
            </w:r>
            <w:r>
              <w:rPr>
                <w:spacing w:val="-5"/>
                <w:sz w:val="24"/>
                <w:szCs w:val="24"/>
                <w:lang w:eastAsia="zh-CN"/>
              </w:rPr>
              <w:t>及生态保护红线。</w:t>
            </w:r>
          </w:p>
          <w:p w14:paraId="394180C4">
            <w:pPr>
              <w:pStyle w:val="205"/>
              <w:spacing w:line="480" w:lineRule="exact"/>
              <w:ind w:firstLine="468" w:firstLineChars="200"/>
              <w:rPr>
                <w:rFonts w:hint="eastAsia" w:ascii="黑体" w:hAnsi="黑体" w:eastAsia="黑体" w:cs="黑体"/>
                <w:sz w:val="24"/>
                <w:szCs w:val="24"/>
                <w:lang w:eastAsia="zh-CN"/>
              </w:rPr>
            </w:pPr>
            <w:r>
              <w:rPr>
                <w:rFonts w:hint="eastAsia" w:ascii="黑体" w:hAnsi="黑体" w:eastAsia="黑体" w:cs="黑体"/>
                <w:spacing w:val="-3"/>
                <w:sz w:val="24"/>
                <w:szCs w:val="24"/>
                <w:lang w:eastAsia="zh-CN"/>
              </w:rPr>
              <w:t>5、电磁辐射</w:t>
            </w:r>
          </w:p>
          <w:p w14:paraId="4E4E1272">
            <w:pPr>
              <w:pStyle w:val="205"/>
              <w:spacing w:line="480" w:lineRule="exact"/>
              <w:ind w:firstLine="460" w:firstLineChars="200"/>
              <w:rPr>
                <w:sz w:val="24"/>
                <w:szCs w:val="24"/>
                <w:lang w:eastAsia="zh-CN"/>
              </w:rPr>
            </w:pPr>
            <w:r>
              <w:rPr>
                <w:spacing w:val="-5"/>
                <w:sz w:val="24"/>
                <w:szCs w:val="24"/>
                <w:lang w:eastAsia="zh-CN"/>
              </w:rPr>
              <w:t>本项目不涉及。</w:t>
            </w:r>
          </w:p>
          <w:p w14:paraId="4A79B5A3">
            <w:pPr>
              <w:pStyle w:val="205"/>
              <w:spacing w:line="480" w:lineRule="exact"/>
              <w:ind w:firstLine="464" w:firstLineChars="200"/>
              <w:rPr>
                <w:rFonts w:hint="eastAsia" w:ascii="黑体" w:hAnsi="黑体" w:eastAsia="黑体" w:cs="黑体"/>
                <w:sz w:val="24"/>
                <w:szCs w:val="24"/>
                <w:lang w:eastAsia="zh-CN"/>
              </w:rPr>
            </w:pPr>
            <w:r>
              <w:rPr>
                <w:rFonts w:hint="eastAsia" w:ascii="黑体" w:hAnsi="黑体" w:eastAsia="黑体" w:cs="黑体"/>
                <w:spacing w:val="-4"/>
                <w:sz w:val="24"/>
                <w:szCs w:val="24"/>
                <w:lang w:eastAsia="zh-CN"/>
              </w:rPr>
              <w:t>6、地下水、土壤环境</w:t>
            </w:r>
          </w:p>
          <w:p w14:paraId="7F9611C6">
            <w:pPr>
              <w:spacing w:line="480" w:lineRule="exact"/>
              <w:ind w:firstLine="484" w:firstLineChars="200"/>
              <w:rPr>
                <w:sz w:val="24"/>
              </w:rPr>
            </w:pPr>
            <w:r>
              <w:rPr>
                <w:spacing w:val="1"/>
                <w:sz w:val="24"/>
              </w:rPr>
              <w:t>根据《建设项目环境影响报告表编制技术指南(污染影响类</w:t>
            </w:r>
            <w:r>
              <w:rPr>
                <w:spacing w:val="-11"/>
                <w:sz w:val="24"/>
              </w:rPr>
              <w:t>)(</w:t>
            </w:r>
            <w:r>
              <w:rPr>
                <w:spacing w:val="1"/>
                <w:sz w:val="24"/>
              </w:rPr>
              <w:t>试</w:t>
            </w:r>
            <w:r>
              <w:rPr>
                <w:sz w:val="24"/>
              </w:rPr>
              <w:t>行)》，本项目采取有效的防渗防漏措施，切断了垂直入渗、地表径流等污染地下水、土壤环境途径，故可不开</w:t>
            </w:r>
            <w:r>
              <w:rPr>
                <w:spacing w:val="-3"/>
                <w:sz w:val="24"/>
              </w:rPr>
              <w:t>展地下水、土壤环境现状调查。</w:t>
            </w:r>
          </w:p>
        </w:tc>
      </w:tr>
      <w:tr w14:paraId="743CCE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14:paraId="51297B41">
            <w:pPr>
              <w:adjustRightInd w:val="0"/>
              <w:spacing w:line="440" w:lineRule="exact"/>
              <w:jc w:val="center"/>
              <w:rPr>
                <w:kern w:val="0"/>
                <w:sz w:val="24"/>
              </w:rPr>
            </w:pPr>
            <w:r>
              <w:rPr>
                <w:kern w:val="0"/>
                <w:sz w:val="24"/>
              </w:rPr>
              <w:t>环境</w:t>
            </w:r>
          </w:p>
          <w:p w14:paraId="504AAAF0">
            <w:pPr>
              <w:adjustRightInd w:val="0"/>
              <w:spacing w:line="440" w:lineRule="exact"/>
              <w:jc w:val="center"/>
              <w:rPr>
                <w:kern w:val="0"/>
                <w:sz w:val="24"/>
              </w:rPr>
            </w:pPr>
            <w:r>
              <w:rPr>
                <w:kern w:val="0"/>
                <w:sz w:val="24"/>
              </w:rPr>
              <w:t>保护</w:t>
            </w:r>
          </w:p>
          <w:p w14:paraId="3C1CA14F">
            <w:pPr>
              <w:adjustRightInd w:val="0"/>
              <w:spacing w:line="440" w:lineRule="exact"/>
              <w:jc w:val="center"/>
              <w:rPr>
                <w:kern w:val="0"/>
                <w:sz w:val="24"/>
              </w:rPr>
            </w:pPr>
            <w:r>
              <w:rPr>
                <w:kern w:val="0"/>
                <w:sz w:val="24"/>
              </w:rPr>
              <w:t>目标</w:t>
            </w:r>
          </w:p>
        </w:tc>
        <w:tc>
          <w:tcPr>
            <w:tcW w:w="8542" w:type="dxa"/>
            <w:noWrap w:val="0"/>
            <w:vAlign w:val="center"/>
          </w:tcPr>
          <w:p w14:paraId="593AD549">
            <w:pPr>
              <w:pStyle w:val="14"/>
              <w:spacing w:after="0" w:line="480" w:lineRule="exact"/>
              <w:ind w:left="0" w:leftChars="0" w:firstLine="480" w:firstLineChars="200"/>
              <w:jc w:val="left"/>
            </w:pPr>
            <w:r>
              <w:t>(1)大气环境</w:t>
            </w:r>
          </w:p>
          <w:p w14:paraId="0361F05E">
            <w:pPr>
              <w:pStyle w:val="14"/>
              <w:spacing w:after="0" w:line="480" w:lineRule="exact"/>
              <w:ind w:left="0" w:leftChars="0" w:firstLine="480" w:firstLineChars="200"/>
              <w:jc w:val="left"/>
              <w:rPr>
                <w:rFonts w:hint="eastAsia"/>
              </w:rPr>
            </w:pPr>
            <w:r>
              <w:t>根据现场勘查，项目厂界外500m范围</w:t>
            </w:r>
            <w:r>
              <w:rPr>
                <w:rFonts w:hint="eastAsia"/>
              </w:rPr>
              <w:t>存在</w:t>
            </w:r>
            <w:r>
              <w:t>居住区</w:t>
            </w:r>
            <w:r>
              <w:rPr>
                <w:rFonts w:hint="eastAsia"/>
              </w:rPr>
              <w:t>等</w:t>
            </w:r>
            <w:r>
              <w:t>人群较集中的区域等保护目标。</w:t>
            </w:r>
            <w:r>
              <w:rPr>
                <w:rFonts w:hint="eastAsia"/>
              </w:rPr>
              <w:t>项目周边500m范围内环境概况见下表。</w:t>
            </w:r>
          </w:p>
          <w:p w14:paraId="39C6BBAF">
            <w:pPr>
              <w:pStyle w:val="204"/>
              <w:spacing w:line="480" w:lineRule="exact"/>
              <w:rPr>
                <w:rFonts w:hint="eastAsia" w:ascii="黑体" w:hAnsi="黑体" w:eastAsia="黑体" w:cs="黑体"/>
                <w:b w:val="0"/>
                <w:bCs/>
                <w:color w:val="000000"/>
                <w:sz w:val="24"/>
                <w:szCs w:val="24"/>
              </w:rPr>
            </w:pPr>
            <w:r>
              <w:rPr>
                <w:rFonts w:hint="eastAsia" w:ascii="黑体" w:hAnsi="黑体" w:eastAsia="黑体" w:cs="黑体"/>
                <w:b w:val="0"/>
                <w:bCs/>
                <w:color w:val="000000"/>
                <w:sz w:val="24"/>
                <w:szCs w:val="24"/>
              </w:rPr>
              <w:t>表3-3项目主要环境保护目标一览表</w:t>
            </w:r>
          </w:p>
          <w:tbl>
            <w:tblPr>
              <w:tblStyle w:val="38"/>
              <w:tblW w:w="82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9"/>
              <w:gridCol w:w="876"/>
              <w:gridCol w:w="978"/>
              <w:gridCol w:w="1037"/>
              <w:gridCol w:w="1111"/>
              <w:gridCol w:w="1430"/>
              <w:gridCol w:w="638"/>
              <w:gridCol w:w="858"/>
            </w:tblGrid>
            <w:tr w14:paraId="60D98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69" w:type="dxa"/>
                  <w:vMerge w:val="restart"/>
                  <w:noWrap w:val="0"/>
                  <w:vAlign w:val="center"/>
                </w:tcPr>
                <w:p w14:paraId="7CAF4794">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4"/>
                      <w:lang w:eastAsia="zh-CN"/>
                    </w:rPr>
                    <w:t>保护目标</w:t>
                  </w:r>
                </w:p>
              </w:tc>
              <w:tc>
                <w:tcPr>
                  <w:tcW w:w="1854" w:type="dxa"/>
                  <w:gridSpan w:val="2"/>
                  <w:noWrap w:val="0"/>
                  <w:vAlign w:val="center"/>
                </w:tcPr>
                <w:p w14:paraId="27D73578">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4"/>
                      <w:lang w:eastAsia="zh-CN"/>
                    </w:rPr>
                    <w:t>坐标</w:t>
                  </w:r>
                  <w:r>
                    <w:rPr>
                      <w:rFonts w:hint="default" w:ascii="Times New Roman" w:hAnsi="Times New Roman" w:cs="Times New Roman"/>
                      <w:spacing w:val="-5"/>
                      <w:lang w:val="en-US" w:eastAsia="zh-CN"/>
                    </w:rPr>
                    <w:t>/m</w:t>
                  </w:r>
                </w:p>
              </w:tc>
              <w:tc>
                <w:tcPr>
                  <w:tcW w:w="1037" w:type="dxa"/>
                  <w:vMerge w:val="restart"/>
                  <w:noWrap w:val="0"/>
                  <w:vAlign w:val="center"/>
                </w:tcPr>
                <w:p w14:paraId="0FABE9BE">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6"/>
                      <w:lang w:eastAsia="zh-CN"/>
                    </w:rPr>
                    <w:t>保护</w:t>
                  </w:r>
                  <w:r>
                    <w:rPr>
                      <w:spacing w:val="-5"/>
                      <w:lang w:eastAsia="zh-CN"/>
                    </w:rPr>
                    <w:t>对象</w:t>
                  </w:r>
                </w:p>
              </w:tc>
              <w:tc>
                <w:tcPr>
                  <w:tcW w:w="1111" w:type="dxa"/>
                  <w:vMerge w:val="restart"/>
                  <w:noWrap w:val="0"/>
                  <w:vAlign w:val="center"/>
                </w:tcPr>
                <w:p w14:paraId="090C5097">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4"/>
                      <w:lang w:eastAsia="zh-CN"/>
                    </w:rPr>
                    <w:t>保护内容</w:t>
                  </w:r>
                </w:p>
              </w:tc>
              <w:tc>
                <w:tcPr>
                  <w:tcW w:w="1430" w:type="dxa"/>
                  <w:vMerge w:val="restart"/>
                  <w:noWrap w:val="0"/>
                  <w:vAlign w:val="center"/>
                </w:tcPr>
                <w:p w14:paraId="63994447">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4"/>
                      <w:lang w:eastAsia="zh-CN"/>
                    </w:rPr>
                    <w:t>环境功能区</w:t>
                  </w:r>
                </w:p>
              </w:tc>
              <w:tc>
                <w:tcPr>
                  <w:tcW w:w="638" w:type="dxa"/>
                  <w:vMerge w:val="restart"/>
                  <w:noWrap w:val="0"/>
                  <w:vAlign w:val="center"/>
                </w:tcPr>
                <w:p w14:paraId="21554D25">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4"/>
                      <w:lang w:eastAsia="zh-CN"/>
                    </w:rPr>
                    <w:t>方位</w:t>
                  </w:r>
                </w:p>
              </w:tc>
              <w:tc>
                <w:tcPr>
                  <w:tcW w:w="858" w:type="dxa"/>
                  <w:vMerge w:val="restart"/>
                  <w:noWrap w:val="0"/>
                  <w:vAlign w:val="center"/>
                </w:tcPr>
                <w:p w14:paraId="45A4C051">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5"/>
                      <w:lang w:eastAsia="zh-CN"/>
                    </w:rPr>
                    <w:t>相对厂</w:t>
                  </w:r>
                </w:p>
                <w:p w14:paraId="1820E1BB">
                  <w:pPr>
                    <w:pStyle w:val="205"/>
                    <w:keepNext w:val="0"/>
                    <w:keepLines w:val="0"/>
                    <w:pageBreakBefore w:val="0"/>
                    <w:widowControl w:val="0"/>
                    <w:kinsoku/>
                    <w:wordWrap/>
                    <w:overflowPunct/>
                    <w:topLinePunct w:val="0"/>
                    <w:autoSpaceDE/>
                    <w:autoSpaceDN/>
                    <w:bidi w:val="0"/>
                    <w:spacing w:line="320" w:lineRule="exact"/>
                    <w:jc w:val="center"/>
                    <w:textAlignment w:val="auto"/>
                    <w:rPr>
                      <w:rFonts w:ascii="Times New Roman" w:hAnsi="Times New Roman" w:eastAsia="Times New Roman" w:cs="Times New Roman"/>
                      <w:lang w:eastAsia="zh-CN"/>
                    </w:rPr>
                  </w:pPr>
                  <w:r>
                    <w:rPr>
                      <w:spacing w:val="-6"/>
                      <w:lang w:eastAsia="zh-CN"/>
                    </w:rPr>
                    <w:t>界距离</w:t>
                  </w:r>
                  <w:r>
                    <w:rPr>
                      <w:rFonts w:ascii="Times New Roman" w:hAnsi="Times New Roman" w:eastAsia="Times New Roman" w:cs="Times New Roman"/>
                      <w:spacing w:val="-1"/>
                      <w:lang w:eastAsia="zh-CN"/>
                    </w:rPr>
                    <w:t>/m</w:t>
                  </w:r>
                </w:p>
              </w:tc>
            </w:tr>
            <w:tr w14:paraId="316BA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369" w:type="dxa"/>
                  <w:vMerge w:val="continue"/>
                  <w:noWrap w:val="0"/>
                  <w:vAlign w:val="center"/>
                </w:tcPr>
                <w:p w14:paraId="3C48EEAE">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p>
              </w:tc>
              <w:tc>
                <w:tcPr>
                  <w:tcW w:w="876" w:type="dxa"/>
                  <w:noWrap w:val="0"/>
                  <w:vAlign w:val="center"/>
                </w:tcPr>
                <w:p w14:paraId="7DE1A6E3">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cs="Times New Roman"/>
                      <w:lang w:val="en-US" w:eastAsia="zh-CN"/>
                    </w:rPr>
                  </w:pPr>
                  <w:r>
                    <w:rPr>
                      <w:rFonts w:hint="default" w:ascii="Times New Roman" w:hAnsi="Times New Roman" w:cs="Times New Roman"/>
                      <w:spacing w:val="-5"/>
                      <w:lang w:val="en-US" w:eastAsia="zh-CN"/>
                    </w:rPr>
                    <w:t>X</w:t>
                  </w:r>
                </w:p>
              </w:tc>
              <w:tc>
                <w:tcPr>
                  <w:tcW w:w="978" w:type="dxa"/>
                  <w:noWrap w:val="0"/>
                  <w:vAlign w:val="center"/>
                </w:tcPr>
                <w:p w14:paraId="1A3BF12A">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cs="Times New Roman"/>
                      <w:lang w:eastAsia="zh-CN"/>
                    </w:rPr>
                  </w:pPr>
                  <w:r>
                    <w:rPr>
                      <w:rFonts w:hint="default" w:ascii="Times New Roman" w:hAnsi="Times New Roman" w:cs="Times New Roman"/>
                      <w:spacing w:val="-4"/>
                      <w:lang w:val="en-US" w:eastAsia="zh-CN"/>
                    </w:rPr>
                    <w:t>Y</w:t>
                  </w:r>
                </w:p>
              </w:tc>
              <w:tc>
                <w:tcPr>
                  <w:tcW w:w="1037" w:type="dxa"/>
                  <w:vMerge w:val="continue"/>
                  <w:noWrap w:val="0"/>
                  <w:vAlign w:val="center"/>
                </w:tcPr>
                <w:p w14:paraId="37370DFB">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p>
              </w:tc>
              <w:tc>
                <w:tcPr>
                  <w:tcW w:w="1111" w:type="dxa"/>
                  <w:vMerge w:val="continue"/>
                  <w:noWrap w:val="0"/>
                  <w:vAlign w:val="center"/>
                </w:tcPr>
                <w:p w14:paraId="20586C9C">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p>
              </w:tc>
              <w:tc>
                <w:tcPr>
                  <w:tcW w:w="1430" w:type="dxa"/>
                  <w:vMerge w:val="continue"/>
                  <w:noWrap w:val="0"/>
                  <w:vAlign w:val="center"/>
                </w:tcPr>
                <w:p w14:paraId="181BD1B0">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p>
              </w:tc>
              <w:tc>
                <w:tcPr>
                  <w:tcW w:w="638" w:type="dxa"/>
                  <w:vMerge w:val="continue"/>
                  <w:noWrap w:val="0"/>
                  <w:vAlign w:val="center"/>
                </w:tcPr>
                <w:p w14:paraId="35F14ED9">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p>
              </w:tc>
              <w:tc>
                <w:tcPr>
                  <w:tcW w:w="858" w:type="dxa"/>
                  <w:vMerge w:val="continue"/>
                  <w:noWrap w:val="0"/>
                  <w:vAlign w:val="center"/>
                </w:tcPr>
                <w:p w14:paraId="59195745">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p>
              </w:tc>
            </w:tr>
            <w:tr w14:paraId="5AB6B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69" w:type="dxa"/>
                  <w:noWrap w:val="0"/>
                  <w:vAlign w:val="center"/>
                </w:tcPr>
                <w:p w14:paraId="1E4AD14D">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eastAsia"/>
                      <w:lang w:eastAsia="zh-CN"/>
                    </w:rPr>
                  </w:pPr>
                  <w:r>
                    <w:rPr>
                      <w:rFonts w:hint="eastAsia"/>
                      <w:lang w:eastAsia="zh-CN"/>
                    </w:rPr>
                    <w:t>郭庄</w:t>
                  </w:r>
                </w:p>
              </w:tc>
              <w:tc>
                <w:tcPr>
                  <w:tcW w:w="876" w:type="dxa"/>
                  <w:noWrap w:val="0"/>
                  <w:vAlign w:val="center"/>
                </w:tcPr>
                <w:p w14:paraId="46916436">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0</w:t>
                  </w:r>
                </w:p>
              </w:tc>
              <w:tc>
                <w:tcPr>
                  <w:tcW w:w="978" w:type="dxa"/>
                  <w:noWrap w:val="0"/>
                  <w:vAlign w:val="center"/>
                </w:tcPr>
                <w:p w14:paraId="247F81FD">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280</w:t>
                  </w:r>
                </w:p>
              </w:tc>
              <w:tc>
                <w:tcPr>
                  <w:tcW w:w="1037" w:type="dxa"/>
                  <w:noWrap w:val="0"/>
                  <w:vAlign w:val="center"/>
                </w:tcPr>
                <w:p w14:paraId="0FECE6F9">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3"/>
                      <w:lang w:eastAsia="zh-CN"/>
                    </w:rPr>
                    <w:t>居民</w:t>
                  </w:r>
                </w:p>
              </w:tc>
              <w:tc>
                <w:tcPr>
                  <w:tcW w:w="1111" w:type="dxa"/>
                  <w:noWrap w:val="0"/>
                  <w:vAlign w:val="center"/>
                </w:tcPr>
                <w:p w14:paraId="47B37063">
                  <w:pPr>
                    <w:pStyle w:val="205"/>
                    <w:keepNext w:val="0"/>
                    <w:keepLines w:val="0"/>
                    <w:pageBreakBefore w:val="0"/>
                    <w:widowControl w:val="0"/>
                    <w:kinsoku/>
                    <w:wordWrap/>
                    <w:overflowPunct/>
                    <w:topLinePunct w:val="0"/>
                    <w:autoSpaceDE/>
                    <w:autoSpaceDN/>
                    <w:bidi w:val="0"/>
                    <w:spacing w:line="320" w:lineRule="exact"/>
                    <w:jc w:val="center"/>
                    <w:textAlignment w:val="auto"/>
                    <w:rPr>
                      <w:lang w:eastAsia="zh-CN"/>
                    </w:rPr>
                  </w:pPr>
                  <w:r>
                    <w:rPr>
                      <w:spacing w:val="-6"/>
                      <w:lang w:eastAsia="zh-CN"/>
                    </w:rPr>
                    <w:t>约</w:t>
                  </w:r>
                  <w:r>
                    <w:rPr>
                      <w:rFonts w:ascii="Times New Roman" w:hAnsi="Times New Roman" w:eastAsia="Times New Roman" w:cs="Times New Roman"/>
                      <w:spacing w:val="-6"/>
                      <w:lang w:eastAsia="zh-CN"/>
                    </w:rPr>
                    <w:t>60</w:t>
                  </w:r>
                  <w:r>
                    <w:rPr>
                      <w:spacing w:val="-6"/>
                      <w:lang w:eastAsia="zh-CN"/>
                    </w:rPr>
                    <w:t>人</w:t>
                  </w:r>
                </w:p>
              </w:tc>
              <w:tc>
                <w:tcPr>
                  <w:tcW w:w="1430" w:type="dxa"/>
                  <w:vMerge w:val="restart"/>
                  <w:noWrap w:val="0"/>
                  <w:vAlign w:val="center"/>
                </w:tcPr>
                <w:p w14:paraId="75CFF933">
                  <w:pPr>
                    <w:keepNext w:val="0"/>
                    <w:keepLines w:val="0"/>
                    <w:pageBreakBefore w:val="0"/>
                    <w:widowControl w:val="0"/>
                    <w:kinsoku/>
                    <w:wordWrap/>
                    <w:overflowPunct/>
                    <w:topLinePunct w:val="0"/>
                    <w:autoSpaceDE/>
                    <w:autoSpaceDN/>
                    <w:bidi w:val="0"/>
                    <w:spacing w:line="320" w:lineRule="exact"/>
                    <w:jc w:val="center"/>
                    <w:textAlignment w:val="auto"/>
                    <w:rPr>
                      <w:rFonts w:ascii="Arial"/>
                    </w:rPr>
                  </w:pPr>
                  <w:r>
                    <w:rPr>
                      <w:rFonts w:eastAsia="Times New Roman"/>
                      <w:spacing w:val="-1"/>
                    </w:rPr>
                    <w:t>(GB3095-20</w:t>
                  </w:r>
                  <w:r>
                    <w:rPr>
                      <w:rFonts w:hint="eastAsia" w:eastAsia="宋体"/>
                      <w:spacing w:val="-1"/>
                      <w:lang w:val="en-US" w:eastAsia="zh-CN"/>
                    </w:rPr>
                    <w:t>26</w:t>
                  </w:r>
                  <w:r>
                    <w:rPr>
                      <w:rFonts w:eastAsia="Times New Roman"/>
                      <w:spacing w:val="-1"/>
                    </w:rPr>
                    <w:t>)</w:t>
                  </w:r>
                  <w:r>
                    <w:rPr>
                      <w:spacing w:val="-3"/>
                    </w:rPr>
                    <w:t>二级标准</w:t>
                  </w:r>
                </w:p>
              </w:tc>
              <w:tc>
                <w:tcPr>
                  <w:tcW w:w="638" w:type="dxa"/>
                  <w:noWrap w:val="0"/>
                  <w:vAlign w:val="center"/>
                </w:tcPr>
                <w:p w14:paraId="15A8AE41">
                  <w:pPr>
                    <w:keepNext w:val="0"/>
                    <w:keepLines w:val="0"/>
                    <w:pageBreakBefore w:val="0"/>
                    <w:widowControl w:val="0"/>
                    <w:kinsoku/>
                    <w:wordWrap/>
                    <w:overflowPunct/>
                    <w:topLinePunct w:val="0"/>
                    <w:autoSpaceDE/>
                    <w:autoSpaceDN/>
                    <w:bidi w:val="0"/>
                    <w:spacing w:line="320" w:lineRule="exact"/>
                    <w:jc w:val="center"/>
                    <w:textAlignment w:val="auto"/>
                    <w:rPr>
                      <w:rFonts w:hint="eastAsia"/>
                      <w:szCs w:val="21"/>
                    </w:rPr>
                  </w:pPr>
                  <w:r>
                    <w:rPr>
                      <w:rFonts w:hint="eastAsia"/>
                      <w:spacing w:val="-3"/>
                      <w:szCs w:val="21"/>
                    </w:rPr>
                    <w:t>N</w:t>
                  </w:r>
                </w:p>
              </w:tc>
              <w:tc>
                <w:tcPr>
                  <w:tcW w:w="858" w:type="dxa"/>
                  <w:noWrap w:val="0"/>
                  <w:vAlign w:val="center"/>
                </w:tcPr>
                <w:p w14:paraId="7C8BBCF3">
                  <w:pPr>
                    <w:keepNext w:val="0"/>
                    <w:keepLines w:val="0"/>
                    <w:pageBreakBefore w:val="0"/>
                    <w:widowControl w:val="0"/>
                    <w:kinsoku/>
                    <w:wordWrap/>
                    <w:overflowPunct/>
                    <w:topLinePunct w:val="0"/>
                    <w:autoSpaceDE/>
                    <w:autoSpaceDN/>
                    <w:bidi w:val="0"/>
                    <w:spacing w:line="320" w:lineRule="exact"/>
                    <w:jc w:val="center"/>
                    <w:textAlignment w:val="auto"/>
                    <w:rPr>
                      <w:szCs w:val="21"/>
                    </w:rPr>
                  </w:pPr>
                  <w:r>
                    <w:rPr>
                      <w:rFonts w:hint="eastAsia"/>
                      <w:spacing w:val="-1"/>
                      <w:szCs w:val="21"/>
                    </w:rPr>
                    <w:t>78</w:t>
                  </w:r>
                </w:p>
              </w:tc>
            </w:tr>
            <w:tr w14:paraId="1012F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69" w:type="dxa"/>
                  <w:noWrap w:val="0"/>
                  <w:vAlign w:val="center"/>
                </w:tcPr>
                <w:p w14:paraId="78BEF234">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rFonts w:hint="eastAsia"/>
                      <w:spacing w:val="-6"/>
                      <w:lang w:eastAsia="zh-CN"/>
                    </w:rPr>
                    <w:t>北芹村</w:t>
                  </w:r>
                </w:p>
              </w:tc>
              <w:tc>
                <w:tcPr>
                  <w:tcW w:w="876" w:type="dxa"/>
                  <w:noWrap w:val="0"/>
                  <w:vAlign w:val="center"/>
                </w:tcPr>
                <w:p w14:paraId="4E07304B">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3"/>
                      <w:lang w:val="en-US" w:eastAsia="zh-CN"/>
                    </w:rPr>
                  </w:pPr>
                  <w:r>
                    <w:rPr>
                      <w:rFonts w:hint="eastAsia" w:ascii="Times New Roman" w:hAnsi="Times New Roman" w:eastAsia="Times New Roman" w:cs="Times New Roman"/>
                      <w:spacing w:val="-3"/>
                      <w:lang w:val="en-US" w:eastAsia="zh-CN"/>
                    </w:rPr>
                    <w:t>275</w:t>
                  </w:r>
                </w:p>
              </w:tc>
              <w:tc>
                <w:tcPr>
                  <w:tcW w:w="978" w:type="dxa"/>
                  <w:noWrap w:val="0"/>
                  <w:vAlign w:val="center"/>
                </w:tcPr>
                <w:p w14:paraId="728FE66A">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1"/>
                      <w:lang w:val="en-US" w:eastAsia="zh-CN"/>
                    </w:rPr>
                  </w:pPr>
                  <w:r>
                    <w:rPr>
                      <w:rFonts w:hint="eastAsia" w:ascii="Times New Roman" w:hAnsi="Times New Roman" w:eastAsia="Times New Roman" w:cs="Times New Roman"/>
                      <w:spacing w:val="-1"/>
                      <w:lang w:val="en-US" w:eastAsia="zh-CN"/>
                    </w:rPr>
                    <w:t>112</w:t>
                  </w:r>
                </w:p>
              </w:tc>
              <w:tc>
                <w:tcPr>
                  <w:tcW w:w="1037" w:type="dxa"/>
                  <w:noWrap w:val="0"/>
                  <w:vAlign w:val="center"/>
                </w:tcPr>
                <w:p w14:paraId="2A205C1F">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3"/>
                      <w:lang w:eastAsia="zh-CN"/>
                    </w:rPr>
                  </w:pPr>
                  <w:r>
                    <w:rPr>
                      <w:spacing w:val="-3"/>
                      <w:lang w:eastAsia="zh-CN"/>
                    </w:rPr>
                    <w:t>居民</w:t>
                  </w:r>
                </w:p>
              </w:tc>
              <w:tc>
                <w:tcPr>
                  <w:tcW w:w="1111" w:type="dxa"/>
                  <w:noWrap w:val="0"/>
                  <w:vAlign w:val="center"/>
                </w:tcPr>
                <w:p w14:paraId="3E48A0C0">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spacing w:val="-6"/>
                      <w:lang w:eastAsia="zh-CN"/>
                    </w:rPr>
                    <w:t>约</w:t>
                  </w:r>
                  <w:r>
                    <w:rPr>
                      <w:rFonts w:hint="eastAsia" w:ascii="Times New Roman" w:hAnsi="Times New Roman" w:cs="Times New Roman"/>
                      <w:spacing w:val="-6"/>
                      <w:lang w:eastAsia="zh-CN"/>
                    </w:rPr>
                    <w:t>320</w:t>
                  </w:r>
                  <w:r>
                    <w:rPr>
                      <w:spacing w:val="-6"/>
                      <w:lang w:eastAsia="zh-CN"/>
                    </w:rPr>
                    <w:t>人</w:t>
                  </w:r>
                </w:p>
              </w:tc>
              <w:tc>
                <w:tcPr>
                  <w:tcW w:w="1430" w:type="dxa"/>
                  <w:vMerge w:val="continue"/>
                  <w:noWrap w:val="0"/>
                  <w:vAlign w:val="center"/>
                </w:tcPr>
                <w:p w14:paraId="476EBB80">
                  <w:pPr>
                    <w:keepNext w:val="0"/>
                    <w:keepLines w:val="0"/>
                    <w:pageBreakBefore w:val="0"/>
                    <w:widowControl w:val="0"/>
                    <w:kinsoku/>
                    <w:wordWrap/>
                    <w:overflowPunct/>
                    <w:topLinePunct w:val="0"/>
                    <w:autoSpaceDE/>
                    <w:autoSpaceDN/>
                    <w:bidi w:val="0"/>
                    <w:spacing w:line="320" w:lineRule="exact"/>
                    <w:jc w:val="center"/>
                    <w:textAlignment w:val="auto"/>
                    <w:rPr>
                      <w:rFonts w:eastAsia="Times New Roman"/>
                      <w:spacing w:val="-1"/>
                    </w:rPr>
                  </w:pPr>
                </w:p>
              </w:tc>
              <w:tc>
                <w:tcPr>
                  <w:tcW w:w="638" w:type="dxa"/>
                  <w:noWrap w:val="0"/>
                  <w:vAlign w:val="center"/>
                </w:tcPr>
                <w:p w14:paraId="49AE4D4B">
                  <w:pPr>
                    <w:keepNext w:val="0"/>
                    <w:keepLines w:val="0"/>
                    <w:pageBreakBefore w:val="0"/>
                    <w:widowControl w:val="0"/>
                    <w:kinsoku/>
                    <w:wordWrap/>
                    <w:overflowPunct/>
                    <w:topLinePunct w:val="0"/>
                    <w:autoSpaceDE/>
                    <w:autoSpaceDN/>
                    <w:bidi w:val="0"/>
                    <w:spacing w:line="320" w:lineRule="exact"/>
                    <w:jc w:val="center"/>
                    <w:textAlignment w:val="auto"/>
                    <w:rPr>
                      <w:rFonts w:hint="eastAsia"/>
                      <w:spacing w:val="-3"/>
                      <w:szCs w:val="21"/>
                    </w:rPr>
                  </w:pPr>
                  <w:r>
                    <w:rPr>
                      <w:rFonts w:hint="eastAsia"/>
                      <w:spacing w:val="-3"/>
                      <w:szCs w:val="21"/>
                    </w:rPr>
                    <w:t>E</w:t>
                  </w:r>
                </w:p>
              </w:tc>
              <w:tc>
                <w:tcPr>
                  <w:tcW w:w="858" w:type="dxa"/>
                  <w:noWrap w:val="0"/>
                  <w:vAlign w:val="center"/>
                </w:tcPr>
                <w:p w14:paraId="3384919F">
                  <w:pPr>
                    <w:keepNext w:val="0"/>
                    <w:keepLines w:val="0"/>
                    <w:pageBreakBefore w:val="0"/>
                    <w:widowControl w:val="0"/>
                    <w:kinsoku/>
                    <w:wordWrap/>
                    <w:overflowPunct/>
                    <w:topLinePunct w:val="0"/>
                    <w:autoSpaceDE/>
                    <w:autoSpaceDN/>
                    <w:bidi w:val="0"/>
                    <w:spacing w:line="320" w:lineRule="exact"/>
                    <w:jc w:val="center"/>
                    <w:textAlignment w:val="auto"/>
                    <w:rPr>
                      <w:spacing w:val="-1"/>
                      <w:szCs w:val="21"/>
                    </w:rPr>
                  </w:pPr>
                  <w:r>
                    <w:rPr>
                      <w:rFonts w:hint="eastAsia"/>
                      <w:spacing w:val="-1"/>
                      <w:szCs w:val="21"/>
                    </w:rPr>
                    <w:t>130</w:t>
                  </w:r>
                </w:p>
              </w:tc>
            </w:tr>
            <w:tr w14:paraId="45259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69" w:type="dxa"/>
                  <w:noWrap w:val="0"/>
                  <w:vAlign w:val="center"/>
                </w:tcPr>
                <w:p w14:paraId="69642856">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eastAsia"/>
                      <w:spacing w:val="-6"/>
                      <w:lang w:eastAsia="zh-CN"/>
                    </w:rPr>
                  </w:pPr>
                  <w:r>
                    <w:rPr>
                      <w:rFonts w:hint="eastAsia"/>
                      <w:spacing w:val="-6"/>
                      <w:lang w:eastAsia="zh-CN"/>
                    </w:rPr>
                    <w:t>张楼</w:t>
                  </w:r>
                </w:p>
              </w:tc>
              <w:tc>
                <w:tcPr>
                  <w:tcW w:w="876" w:type="dxa"/>
                  <w:noWrap w:val="0"/>
                  <w:vAlign w:val="center"/>
                </w:tcPr>
                <w:p w14:paraId="27EC030B">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3"/>
                      <w:lang w:val="en-US" w:eastAsia="zh-CN"/>
                    </w:rPr>
                  </w:pPr>
                  <w:r>
                    <w:rPr>
                      <w:rFonts w:hint="eastAsia" w:ascii="Times New Roman" w:hAnsi="Times New Roman" w:eastAsia="Times New Roman" w:cs="Times New Roman"/>
                      <w:spacing w:val="-3"/>
                      <w:lang w:val="en-US" w:eastAsia="zh-CN"/>
                    </w:rPr>
                    <w:t>-348</w:t>
                  </w:r>
                </w:p>
              </w:tc>
              <w:tc>
                <w:tcPr>
                  <w:tcW w:w="978" w:type="dxa"/>
                  <w:noWrap w:val="0"/>
                  <w:vAlign w:val="center"/>
                </w:tcPr>
                <w:p w14:paraId="77260558">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1"/>
                      <w:lang w:val="en-US" w:eastAsia="zh-CN"/>
                    </w:rPr>
                  </w:pPr>
                  <w:r>
                    <w:rPr>
                      <w:rFonts w:hint="eastAsia" w:ascii="Times New Roman" w:hAnsi="Times New Roman" w:eastAsia="Times New Roman" w:cs="Times New Roman"/>
                      <w:spacing w:val="-1"/>
                      <w:lang w:val="en-US" w:eastAsia="zh-CN"/>
                    </w:rPr>
                    <w:t>-229</w:t>
                  </w:r>
                </w:p>
              </w:tc>
              <w:tc>
                <w:tcPr>
                  <w:tcW w:w="1037" w:type="dxa"/>
                  <w:noWrap w:val="0"/>
                  <w:vAlign w:val="center"/>
                </w:tcPr>
                <w:p w14:paraId="492BED50">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3"/>
                      <w:lang w:eastAsia="zh-CN"/>
                    </w:rPr>
                  </w:pPr>
                  <w:r>
                    <w:rPr>
                      <w:spacing w:val="-3"/>
                      <w:lang w:eastAsia="zh-CN"/>
                    </w:rPr>
                    <w:t>居民</w:t>
                  </w:r>
                </w:p>
              </w:tc>
              <w:tc>
                <w:tcPr>
                  <w:tcW w:w="1111" w:type="dxa"/>
                  <w:noWrap w:val="0"/>
                  <w:vAlign w:val="center"/>
                </w:tcPr>
                <w:p w14:paraId="112B567B">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spacing w:val="-6"/>
                      <w:lang w:eastAsia="zh-CN"/>
                    </w:rPr>
                    <w:t>约</w:t>
                  </w:r>
                  <w:r>
                    <w:rPr>
                      <w:rFonts w:hint="eastAsia" w:ascii="Times New Roman" w:hAnsi="Times New Roman" w:cs="Times New Roman"/>
                      <w:spacing w:val="-6"/>
                      <w:lang w:eastAsia="zh-CN"/>
                    </w:rPr>
                    <w:t>460</w:t>
                  </w:r>
                  <w:r>
                    <w:rPr>
                      <w:spacing w:val="-6"/>
                      <w:lang w:eastAsia="zh-CN"/>
                    </w:rPr>
                    <w:t>人</w:t>
                  </w:r>
                </w:p>
              </w:tc>
              <w:tc>
                <w:tcPr>
                  <w:tcW w:w="1430" w:type="dxa"/>
                  <w:vMerge w:val="continue"/>
                  <w:noWrap w:val="0"/>
                  <w:vAlign w:val="center"/>
                </w:tcPr>
                <w:p w14:paraId="750ADC1D">
                  <w:pPr>
                    <w:keepNext w:val="0"/>
                    <w:keepLines w:val="0"/>
                    <w:pageBreakBefore w:val="0"/>
                    <w:widowControl w:val="0"/>
                    <w:kinsoku/>
                    <w:wordWrap/>
                    <w:overflowPunct/>
                    <w:topLinePunct w:val="0"/>
                    <w:autoSpaceDE/>
                    <w:autoSpaceDN/>
                    <w:bidi w:val="0"/>
                    <w:spacing w:line="320" w:lineRule="exact"/>
                    <w:jc w:val="center"/>
                    <w:textAlignment w:val="auto"/>
                    <w:rPr>
                      <w:rFonts w:eastAsia="Times New Roman"/>
                      <w:spacing w:val="-1"/>
                    </w:rPr>
                  </w:pPr>
                </w:p>
              </w:tc>
              <w:tc>
                <w:tcPr>
                  <w:tcW w:w="638" w:type="dxa"/>
                  <w:noWrap w:val="0"/>
                  <w:vAlign w:val="center"/>
                </w:tcPr>
                <w:p w14:paraId="158B361D">
                  <w:pPr>
                    <w:keepNext w:val="0"/>
                    <w:keepLines w:val="0"/>
                    <w:pageBreakBefore w:val="0"/>
                    <w:widowControl w:val="0"/>
                    <w:kinsoku/>
                    <w:wordWrap/>
                    <w:overflowPunct/>
                    <w:topLinePunct w:val="0"/>
                    <w:autoSpaceDE/>
                    <w:autoSpaceDN/>
                    <w:bidi w:val="0"/>
                    <w:spacing w:line="320" w:lineRule="exact"/>
                    <w:jc w:val="center"/>
                    <w:textAlignment w:val="auto"/>
                    <w:rPr>
                      <w:spacing w:val="-3"/>
                      <w:szCs w:val="21"/>
                    </w:rPr>
                  </w:pPr>
                  <w:r>
                    <w:rPr>
                      <w:rFonts w:hint="eastAsia"/>
                      <w:spacing w:val="-3"/>
                      <w:szCs w:val="21"/>
                    </w:rPr>
                    <w:t>SW</w:t>
                  </w:r>
                </w:p>
              </w:tc>
              <w:tc>
                <w:tcPr>
                  <w:tcW w:w="858" w:type="dxa"/>
                  <w:noWrap w:val="0"/>
                  <w:vAlign w:val="center"/>
                </w:tcPr>
                <w:p w14:paraId="4BADAFB4">
                  <w:pPr>
                    <w:keepNext w:val="0"/>
                    <w:keepLines w:val="0"/>
                    <w:pageBreakBefore w:val="0"/>
                    <w:widowControl w:val="0"/>
                    <w:kinsoku/>
                    <w:wordWrap/>
                    <w:overflowPunct/>
                    <w:topLinePunct w:val="0"/>
                    <w:autoSpaceDE/>
                    <w:autoSpaceDN/>
                    <w:bidi w:val="0"/>
                    <w:spacing w:line="320" w:lineRule="exact"/>
                    <w:jc w:val="center"/>
                    <w:textAlignment w:val="auto"/>
                    <w:rPr>
                      <w:spacing w:val="-1"/>
                      <w:szCs w:val="21"/>
                    </w:rPr>
                  </w:pPr>
                  <w:r>
                    <w:rPr>
                      <w:rFonts w:hint="eastAsia"/>
                      <w:spacing w:val="-1"/>
                      <w:szCs w:val="21"/>
                    </w:rPr>
                    <w:t>475</w:t>
                  </w:r>
                </w:p>
              </w:tc>
            </w:tr>
            <w:tr w14:paraId="02EF1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69" w:type="dxa"/>
                  <w:noWrap w:val="0"/>
                  <w:vAlign w:val="center"/>
                </w:tcPr>
                <w:p w14:paraId="624B6F90">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rFonts w:hint="eastAsia"/>
                      <w:spacing w:val="-6"/>
                      <w:lang w:eastAsia="zh-CN"/>
                    </w:rPr>
                    <w:t>古店中心学校</w:t>
                  </w:r>
                </w:p>
              </w:tc>
              <w:tc>
                <w:tcPr>
                  <w:tcW w:w="876" w:type="dxa"/>
                  <w:noWrap w:val="0"/>
                  <w:vAlign w:val="center"/>
                </w:tcPr>
                <w:p w14:paraId="464D971D">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3"/>
                      <w:lang w:val="en-US" w:eastAsia="zh-CN"/>
                    </w:rPr>
                  </w:pPr>
                  <w:r>
                    <w:rPr>
                      <w:rFonts w:hint="eastAsia" w:ascii="Times New Roman" w:hAnsi="Times New Roman" w:eastAsia="Times New Roman" w:cs="Times New Roman"/>
                      <w:spacing w:val="-3"/>
                      <w:lang w:val="en-US" w:eastAsia="zh-CN"/>
                    </w:rPr>
                    <w:t>-480</w:t>
                  </w:r>
                </w:p>
              </w:tc>
              <w:tc>
                <w:tcPr>
                  <w:tcW w:w="978" w:type="dxa"/>
                  <w:noWrap w:val="0"/>
                  <w:vAlign w:val="center"/>
                </w:tcPr>
                <w:p w14:paraId="19FDE047">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1"/>
                      <w:lang w:val="en-US" w:eastAsia="zh-CN"/>
                    </w:rPr>
                  </w:pPr>
                  <w:r>
                    <w:rPr>
                      <w:rFonts w:hint="eastAsia" w:ascii="Times New Roman" w:hAnsi="Times New Roman" w:eastAsia="Times New Roman" w:cs="Times New Roman"/>
                      <w:spacing w:val="-1"/>
                      <w:lang w:val="en-US" w:eastAsia="zh-CN"/>
                    </w:rPr>
                    <w:t>190</w:t>
                  </w:r>
                </w:p>
              </w:tc>
              <w:tc>
                <w:tcPr>
                  <w:tcW w:w="1037" w:type="dxa"/>
                  <w:noWrap w:val="0"/>
                  <w:vAlign w:val="center"/>
                </w:tcPr>
                <w:p w14:paraId="16B4D51A">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eastAsia"/>
                      <w:spacing w:val="-3"/>
                      <w:lang w:eastAsia="zh-CN"/>
                    </w:rPr>
                  </w:pPr>
                  <w:r>
                    <w:rPr>
                      <w:rFonts w:hint="eastAsia"/>
                      <w:spacing w:val="-3"/>
                      <w:lang w:eastAsia="zh-CN"/>
                    </w:rPr>
                    <w:t>学校</w:t>
                  </w:r>
                </w:p>
              </w:tc>
              <w:tc>
                <w:tcPr>
                  <w:tcW w:w="1111" w:type="dxa"/>
                  <w:noWrap w:val="0"/>
                  <w:vAlign w:val="center"/>
                </w:tcPr>
                <w:p w14:paraId="5A0B34CA">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spacing w:val="-6"/>
                      <w:lang w:eastAsia="zh-CN"/>
                    </w:rPr>
                    <w:t>约</w:t>
                  </w:r>
                  <w:r>
                    <w:rPr>
                      <w:rFonts w:hint="eastAsia" w:ascii="Times New Roman" w:hAnsi="Times New Roman" w:cs="Times New Roman"/>
                      <w:spacing w:val="-6"/>
                      <w:lang w:eastAsia="zh-CN"/>
                    </w:rPr>
                    <w:t>8</w:t>
                  </w:r>
                  <w:r>
                    <w:rPr>
                      <w:rFonts w:ascii="Times New Roman" w:hAnsi="Times New Roman" w:eastAsia="Times New Roman" w:cs="Times New Roman"/>
                      <w:spacing w:val="-6"/>
                      <w:lang w:eastAsia="zh-CN"/>
                    </w:rPr>
                    <w:t>0</w:t>
                  </w:r>
                  <w:r>
                    <w:rPr>
                      <w:spacing w:val="-6"/>
                      <w:lang w:eastAsia="zh-CN"/>
                    </w:rPr>
                    <w:t>人</w:t>
                  </w:r>
                </w:p>
              </w:tc>
              <w:tc>
                <w:tcPr>
                  <w:tcW w:w="1430" w:type="dxa"/>
                  <w:vMerge w:val="continue"/>
                  <w:noWrap w:val="0"/>
                  <w:vAlign w:val="center"/>
                </w:tcPr>
                <w:p w14:paraId="14C71B5C">
                  <w:pPr>
                    <w:keepNext w:val="0"/>
                    <w:keepLines w:val="0"/>
                    <w:pageBreakBefore w:val="0"/>
                    <w:widowControl w:val="0"/>
                    <w:kinsoku/>
                    <w:wordWrap/>
                    <w:overflowPunct/>
                    <w:topLinePunct w:val="0"/>
                    <w:autoSpaceDE/>
                    <w:autoSpaceDN/>
                    <w:bidi w:val="0"/>
                    <w:spacing w:line="320" w:lineRule="exact"/>
                    <w:jc w:val="center"/>
                    <w:textAlignment w:val="auto"/>
                    <w:rPr>
                      <w:rFonts w:eastAsia="Times New Roman"/>
                      <w:spacing w:val="-1"/>
                    </w:rPr>
                  </w:pPr>
                </w:p>
              </w:tc>
              <w:tc>
                <w:tcPr>
                  <w:tcW w:w="638" w:type="dxa"/>
                  <w:noWrap w:val="0"/>
                  <w:vAlign w:val="center"/>
                </w:tcPr>
                <w:p w14:paraId="65ABB63E">
                  <w:pPr>
                    <w:keepNext w:val="0"/>
                    <w:keepLines w:val="0"/>
                    <w:pageBreakBefore w:val="0"/>
                    <w:widowControl w:val="0"/>
                    <w:kinsoku/>
                    <w:wordWrap/>
                    <w:overflowPunct/>
                    <w:topLinePunct w:val="0"/>
                    <w:autoSpaceDE/>
                    <w:autoSpaceDN/>
                    <w:bidi w:val="0"/>
                    <w:spacing w:line="320" w:lineRule="exact"/>
                    <w:jc w:val="center"/>
                    <w:textAlignment w:val="auto"/>
                    <w:rPr>
                      <w:rFonts w:hint="eastAsia"/>
                      <w:spacing w:val="-3"/>
                      <w:szCs w:val="21"/>
                    </w:rPr>
                  </w:pPr>
                  <w:r>
                    <w:rPr>
                      <w:rFonts w:hint="eastAsia"/>
                      <w:spacing w:val="-3"/>
                      <w:szCs w:val="21"/>
                    </w:rPr>
                    <w:t>W</w:t>
                  </w:r>
                </w:p>
              </w:tc>
              <w:tc>
                <w:tcPr>
                  <w:tcW w:w="858" w:type="dxa"/>
                  <w:noWrap w:val="0"/>
                  <w:vAlign w:val="center"/>
                </w:tcPr>
                <w:p w14:paraId="64E5E28B">
                  <w:pPr>
                    <w:keepNext w:val="0"/>
                    <w:keepLines w:val="0"/>
                    <w:pageBreakBefore w:val="0"/>
                    <w:widowControl w:val="0"/>
                    <w:kinsoku/>
                    <w:wordWrap/>
                    <w:overflowPunct/>
                    <w:topLinePunct w:val="0"/>
                    <w:autoSpaceDE/>
                    <w:autoSpaceDN/>
                    <w:bidi w:val="0"/>
                    <w:spacing w:line="320" w:lineRule="exact"/>
                    <w:jc w:val="center"/>
                    <w:textAlignment w:val="auto"/>
                    <w:rPr>
                      <w:spacing w:val="-1"/>
                      <w:szCs w:val="21"/>
                    </w:rPr>
                  </w:pPr>
                  <w:r>
                    <w:rPr>
                      <w:rFonts w:hint="eastAsia"/>
                      <w:spacing w:val="-1"/>
                      <w:szCs w:val="21"/>
                    </w:rPr>
                    <w:t>498</w:t>
                  </w:r>
                </w:p>
              </w:tc>
            </w:tr>
            <w:tr w14:paraId="3C956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69" w:type="dxa"/>
                  <w:noWrap w:val="0"/>
                  <w:vAlign w:val="center"/>
                </w:tcPr>
                <w:p w14:paraId="18F1A3A2">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rFonts w:hint="eastAsia"/>
                      <w:spacing w:val="-6"/>
                      <w:lang w:eastAsia="zh-CN"/>
                    </w:rPr>
                    <w:t>古店乡</w:t>
                  </w:r>
                </w:p>
              </w:tc>
              <w:tc>
                <w:tcPr>
                  <w:tcW w:w="876" w:type="dxa"/>
                  <w:noWrap w:val="0"/>
                  <w:vAlign w:val="center"/>
                </w:tcPr>
                <w:p w14:paraId="448B35DA">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3"/>
                      <w:lang w:val="en-US" w:eastAsia="zh-CN"/>
                    </w:rPr>
                  </w:pPr>
                  <w:r>
                    <w:rPr>
                      <w:rFonts w:hint="eastAsia" w:ascii="Times New Roman" w:hAnsi="Times New Roman" w:eastAsia="Times New Roman" w:cs="Times New Roman"/>
                      <w:spacing w:val="-3"/>
                      <w:lang w:val="en-US" w:eastAsia="zh-CN"/>
                    </w:rPr>
                    <w:t>-390</w:t>
                  </w:r>
                </w:p>
              </w:tc>
              <w:tc>
                <w:tcPr>
                  <w:tcW w:w="978" w:type="dxa"/>
                  <w:noWrap w:val="0"/>
                  <w:vAlign w:val="center"/>
                </w:tcPr>
                <w:p w14:paraId="6AC7746E">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Times New Roman" w:cs="Times New Roman"/>
                      <w:spacing w:val="-1"/>
                      <w:lang w:val="en-US" w:eastAsia="zh-CN"/>
                    </w:rPr>
                  </w:pPr>
                  <w:r>
                    <w:rPr>
                      <w:rFonts w:hint="eastAsia" w:ascii="Times New Roman" w:hAnsi="Times New Roman" w:eastAsia="Times New Roman" w:cs="Times New Roman"/>
                      <w:spacing w:val="-1"/>
                      <w:lang w:val="en-US" w:eastAsia="zh-CN"/>
                    </w:rPr>
                    <w:t>450</w:t>
                  </w:r>
                </w:p>
              </w:tc>
              <w:tc>
                <w:tcPr>
                  <w:tcW w:w="1037" w:type="dxa"/>
                  <w:noWrap w:val="0"/>
                  <w:vAlign w:val="center"/>
                </w:tcPr>
                <w:p w14:paraId="05135F96">
                  <w:pPr>
                    <w:pStyle w:val="205"/>
                    <w:keepNext w:val="0"/>
                    <w:keepLines w:val="0"/>
                    <w:pageBreakBefore w:val="0"/>
                    <w:widowControl w:val="0"/>
                    <w:kinsoku/>
                    <w:wordWrap/>
                    <w:overflowPunct/>
                    <w:topLinePunct w:val="0"/>
                    <w:autoSpaceDE/>
                    <w:autoSpaceDN/>
                    <w:bidi w:val="0"/>
                    <w:spacing w:line="320" w:lineRule="exact"/>
                    <w:jc w:val="center"/>
                    <w:textAlignment w:val="auto"/>
                    <w:rPr>
                      <w:rFonts w:hint="eastAsia"/>
                      <w:spacing w:val="-3"/>
                      <w:lang w:eastAsia="zh-CN"/>
                    </w:rPr>
                  </w:pPr>
                  <w:r>
                    <w:rPr>
                      <w:spacing w:val="-3"/>
                      <w:lang w:eastAsia="zh-CN"/>
                    </w:rPr>
                    <w:t>居民</w:t>
                  </w:r>
                </w:p>
              </w:tc>
              <w:tc>
                <w:tcPr>
                  <w:tcW w:w="1111" w:type="dxa"/>
                  <w:noWrap w:val="0"/>
                  <w:vAlign w:val="center"/>
                </w:tcPr>
                <w:p w14:paraId="664D5FCF">
                  <w:pPr>
                    <w:pStyle w:val="205"/>
                    <w:keepNext w:val="0"/>
                    <w:keepLines w:val="0"/>
                    <w:pageBreakBefore w:val="0"/>
                    <w:widowControl w:val="0"/>
                    <w:kinsoku/>
                    <w:wordWrap/>
                    <w:overflowPunct/>
                    <w:topLinePunct w:val="0"/>
                    <w:autoSpaceDE/>
                    <w:autoSpaceDN/>
                    <w:bidi w:val="0"/>
                    <w:spacing w:line="320" w:lineRule="exact"/>
                    <w:jc w:val="center"/>
                    <w:textAlignment w:val="auto"/>
                    <w:rPr>
                      <w:spacing w:val="-6"/>
                      <w:lang w:eastAsia="zh-CN"/>
                    </w:rPr>
                  </w:pPr>
                  <w:r>
                    <w:rPr>
                      <w:spacing w:val="-6"/>
                      <w:lang w:eastAsia="zh-CN"/>
                    </w:rPr>
                    <w:t>约</w:t>
                  </w:r>
                  <w:r>
                    <w:rPr>
                      <w:rFonts w:hint="eastAsia" w:ascii="Times New Roman" w:hAnsi="Times New Roman" w:cs="Times New Roman"/>
                      <w:spacing w:val="-6"/>
                      <w:lang w:eastAsia="zh-CN"/>
                    </w:rPr>
                    <w:t>1200</w:t>
                  </w:r>
                  <w:r>
                    <w:rPr>
                      <w:spacing w:val="-6"/>
                      <w:lang w:eastAsia="zh-CN"/>
                    </w:rPr>
                    <w:t>人</w:t>
                  </w:r>
                </w:p>
              </w:tc>
              <w:tc>
                <w:tcPr>
                  <w:tcW w:w="1430" w:type="dxa"/>
                  <w:vMerge w:val="continue"/>
                  <w:noWrap w:val="0"/>
                  <w:vAlign w:val="center"/>
                </w:tcPr>
                <w:p w14:paraId="43688E9D">
                  <w:pPr>
                    <w:keepNext w:val="0"/>
                    <w:keepLines w:val="0"/>
                    <w:pageBreakBefore w:val="0"/>
                    <w:widowControl w:val="0"/>
                    <w:kinsoku/>
                    <w:wordWrap/>
                    <w:overflowPunct/>
                    <w:topLinePunct w:val="0"/>
                    <w:autoSpaceDE/>
                    <w:autoSpaceDN/>
                    <w:bidi w:val="0"/>
                    <w:spacing w:line="320" w:lineRule="exact"/>
                    <w:jc w:val="center"/>
                    <w:textAlignment w:val="auto"/>
                    <w:rPr>
                      <w:rFonts w:eastAsia="Times New Roman"/>
                      <w:spacing w:val="-1"/>
                    </w:rPr>
                  </w:pPr>
                </w:p>
              </w:tc>
              <w:tc>
                <w:tcPr>
                  <w:tcW w:w="638" w:type="dxa"/>
                  <w:noWrap w:val="0"/>
                  <w:vAlign w:val="center"/>
                </w:tcPr>
                <w:p w14:paraId="0DB6F97F">
                  <w:pPr>
                    <w:keepNext w:val="0"/>
                    <w:keepLines w:val="0"/>
                    <w:pageBreakBefore w:val="0"/>
                    <w:widowControl w:val="0"/>
                    <w:kinsoku/>
                    <w:wordWrap/>
                    <w:overflowPunct/>
                    <w:topLinePunct w:val="0"/>
                    <w:autoSpaceDE/>
                    <w:autoSpaceDN/>
                    <w:bidi w:val="0"/>
                    <w:spacing w:line="320" w:lineRule="exact"/>
                    <w:jc w:val="center"/>
                    <w:textAlignment w:val="auto"/>
                    <w:rPr>
                      <w:spacing w:val="-3"/>
                      <w:szCs w:val="21"/>
                    </w:rPr>
                  </w:pPr>
                  <w:r>
                    <w:rPr>
                      <w:rFonts w:hint="eastAsia"/>
                      <w:spacing w:val="-3"/>
                      <w:szCs w:val="21"/>
                    </w:rPr>
                    <w:t>NW</w:t>
                  </w:r>
                </w:p>
              </w:tc>
              <w:tc>
                <w:tcPr>
                  <w:tcW w:w="858" w:type="dxa"/>
                  <w:noWrap w:val="0"/>
                  <w:vAlign w:val="center"/>
                </w:tcPr>
                <w:p w14:paraId="31E7D8BE">
                  <w:pPr>
                    <w:keepNext w:val="0"/>
                    <w:keepLines w:val="0"/>
                    <w:pageBreakBefore w:val="0"/>
                    <w:widowControl w:val="0"/>
                    <w:kinsoku/>
                    <w:wordWrap/>
                    <w:overflowPunct/>
                    <w:topLinePunct w:val="0"/>
                    <w:autoSpaceDE/>
                    <w:autoSpaceDN/>
                    <w:bidi w:val="0"/>
                    <w:spacing w:line="320" w:lineRule="exact"/>
                    <w:jc w:val="center"/>
                    <w:textAlignment w:val="auto"/>
                    <w:rPr>
                      <w:spacing w:val="-1"/>
                      <w:szCs w:val="21"/>
                    </w:rPr>
                  </w:pPr>
                  <w:r>
                    <w:rPr>
                      <w:rFonts w:hint="eastAsia"/>
                      <w:spacing w:val="-1"/>
                      <w:szCs w:val="21"/>
                    </w:rPr>
                    <w:t>530</w:t>
                  </w:r>
                </w:p>
              </w:tc>
            </w:tr>
            <w:tr w14:paraId="4C80B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297" w:type="dxa"/>
                  <w:gridSpan w:val="8"/>
                  <w:noWrap w:val="0"/>
                  <w:vAlign w:val="center"/>
                </w:tcPr>
                <w:p w14:paraId="0F427529">
                  <w:pPr>
                    <w:keepNext w:val="0"/>
                    <w:keepLines w:val="0"/>
                    <w:pageBreakBefore w:val="0"/>
                    <w:widowControl w:val="0"/>
                    <w:kinsoku/>
                    <w:wordWrap/>
                    <w:overflowPunct/>
                    <w:topLinePunct w:val="0"/>
                    <w:autoSpaceDE/>
                    <w:autoSpaceDN/>
                    <w:bidi w:val="0"/>
                    <w:adjustRightInd w:val="0"/>
                    <w:snapToGrid w:val="0"/>
                    <w:spacing w:beforeAutospacing="0" w:line="320" w:lineRule="exact"/>
                    <w:ind w:firstLine="0" w:firstLineChars="0"/>
                    <w:jc w:val="both"/>
                    <w:textAlignment w:val="auto"/>
                    <w:rPr>
                      <w:rFonts w:hint="eastAsia" w:eastAsia="宋体"/>
                      <w:color w:val="auto"/>
                      <w:sz w:val="21"/>
                      <w:szCs w:val="21"/>
                      <w:lang w:eastAsia="zh-CN"/>
                    </w:rPr>
                  </w:pPr>
                  <w:r>
                    <w:rPr>
                      <w:rFonts w:hint="default"/>
                      <w:color w:val="auto"/>
                      <w:sz w:val="21"/>
                      <w:szCs w:val="21"/>
                    </w:rPr>
                    <w:t>注：①以</w:t>
                  </w:r>
                  <w:r>
                    <w:rPr>
                      <w:rFonts w:hint="eastAsia"/>
                      <w:color w:val="auto"/>
                      <w:sz w:val="21"/>
                      <w:szCs w:val="21"/>
                      <w:lang w:val="en-US" w:eastAsia="zh-CN"/>
                    </w:rPr>
                    <w:t>厂房西南角</w:t>
                  </w:r>
                  <w:r>
                    <w:rPr>
                      <w:rFonts w:hint="default"/>
                      <w:color w:val="auto"/>
                      <w:sz w:val="21"/>
                      <w:szCs w:val="21"/>
                    </w:rPr>
                    <w:t>为坐标原点，以东西方向为X坐标轴（东方向为正方向），以南北方向为Y坐标轴（北方向为正方向）</w:t>
                  </w:r>
                  <w:r>
                    <w:rPr>
                      <w:rFonts w:hint="eastAsia"/>
                      <w:color w:val="auto"/>
                      <w:sz w:val="21"/>
                      <w:szCs w:val="21"/>
                      <w:lang w:eastAsia="zh-CN"/>
                    </w:rPr>
                    <w:t>；</w:t>
                  </w:r>
                </w:p>
                <w:p w14:paraId="588F3778">
                  <w:pPr>
                    <w:keepNext w:val="0"/>
                    <w:keepLines w:val="0"/>
                    <w:pageBreakBefore w:val="0"/>
                    <w:widowControl w:val="0"/>
                    <w:kinsoku/>
                    <w:wordWrap/>
                    <w:overflowPunct/>
                    <w:topLinePunct w:val="0"/>
                    <w:autoSpaceDE/>
                    <w:autoSpaceDN/>
                    <w:bidi w:val="0"/>
                    <w:spacing w:line="320" w:lineRule="exact"/>
                    <w:jc w:val="both"/>
                    <w:textAlignment w:val="auto"/>
                    <w:rPr>
                      <w:rFonts w:hint="eastAsia"/>
                      <w:spacing w:val="-1"/>
                      <w:szCs w:val="21"/>
                    </w:rPr>
                  </w:pPr>
                  <w:r>
                    <w:rPr>
                      <w:rFonts w:hint="default"/>
                      <w:color w:val="auto"/>
                      <w:sz w:val="21"/>
                      <w:szCs w:val="21"/>
                    </w:rPr>
                    <w:t>②</w:t>
                  </w:r>
                  <w:r>
                    <w:rPr>
                      <w:rFonts w:hint="eastAsia"/>
                      <w:color w:val="auto"/>
                      <w:sz w:val="21"/>
                      <w:szCs w:val="21"/>
                      <w:lang w:val="en-US" w:eastAsia="zh-CN"/>
                    </w:rPr>
                    <w:t>相对厂界距离以厂界距离敏感目标最近距离计。</w:t>
                  </w:r>
                </w:p>
              </w:tc>
            </w:tr>
          </w:tbl>
          <w:p w14:paraId="01E1963C">
            <w:pPr>
              <w:pStyle w:val="205"/>
              <w:spacing w:line="480" w:lineRule="exact"/>
              <w:ind w:firstLine="472" w:firstLineChars="200"/>
              <w:rPr>
                <w:rFonts w:hint="eastAsia" w:ascii="Times New Roman" w:hAnsi="Times New Roman" w:cs="Times New Roman"/>
                <w:spacing w:val="-2"/>
                <w:sz w:val="24"/>
                <w:szCs w:val="24"/>
                <w:lang w:eastAsia="zh-CN"/>
              </w:rPr>
            </w:pPr>
          </w:p>
          <w:p w14:paraId="00D7F84C">
            <w:pPr>
              <w:pStyle w:val="205"/>
              <w:spacing w:line="480" w:lineRule="exact"/>
              <w:ind w:firstLine="472" w:firstLineChars="200"/>
              <w:rPr>
                <w:sz w:val="24"/>
                <w:szCs w:val="24"/>
                <w:lang w:eastAsia="zh-CN"/>
              </w:rPr>
            </w:pPr>
            <w:r>
              <w:rPr>
                <w:rFonts w:hint="eastAsia" w:ascii="Times New Roman" w:hAnsi="Times New Roman" w:cs="Times New Roman"/>
                <w:spacing w:val="-2"/>
                <w:sz w:val="24"/>
                <w:szCs w:val="24"/>
                <w:lang w:eastAsia="zh-CN"/>
              </w:rPr>
              <w:t>(2)</w:t>
            </w:r>
            <w:r>
              <w:rPr>
                <w:spacing w:val="-2"/>
                <w:sz w:val="24"/>
                <w:szCs w:val="24"/>
                <w:lang w:eastAsia="zh-CN"/>
              </w:rPr>
              <w:t>地下水环境：本项目厂界外</w:t>
            </w:r>
            <w:r>
              <w:rPr>
                <w:rFonts w:ascii="Times New Roman" w:hAnsi="Times New Roman" w:eastAsia="Times New Roman" w:cs="Times New Roman"/>
                <w:spacing w:val="-2"/>
                <w:sz w:val="24"/>
                <w:szCs w:val="24"/>
                <w:lang w:eastAsia="zh-CN"/>
              </w:rPr>
              <w:t>500m</w:t>
            </w:r>
            <w:r>
              <w:rPr>
                <w:spacing w:val="-2"/>
                <w:sz w:val="24"/>
                <w:szCs w:val="24"/>
                <w:lang w:eastAsia="zh-CN"/>
              </w:rPr>
              <w:t>范围内</w:t>
            </w:r>
            <w:r>
              <w:rPr>
                <w:spacing w:val="-3"/>
                <w:sz w:val="24"/>
                <w:szCs w:val="24"/>
                <w:lang w:eastAsia="zh-CN"/>
              </w:rPr>
              <w:t>无特殊地下水资源；</w:t>
            </w:r>
          </w:p>
          <w:p w14:paraId="2B07C987">
            <w:pPr>
              <w:pStyle w:val="205"/>
              <w:spacing w:line="480" w:lineRule="exact"/>
              <w:ind w:firstLine="468" w:firstLineChars="200"/>
              <w:rPr>
                <w:sz w:val="24"/>
                <w:szCs w:val="24"/>
                <w:lang w:eastAsia="zh-CN"/>
              </w:rPr>
            </w:pPr>
            <w:r>
              <w:rPr>
                <w:rFonts w:hint="eastAsia" w:ascii="Times New Roman" w:hAnsi="Times New Roman" w:cs="Times New Roman"/>
                <w:spacing w:val="-3"/>
                <w:sz w:val="24"/>
                <w:szCs w:val="24"/>
                <w:lang w:eastAsia="zh-CN"/>
              </w:rPr>
              <w:t>(3)</w:t>
            </w:r>
            <w:r>
              <w:rPr>
                <w:spacing w:val="-3"/>
                <w:sz w:val="24"/>
                <w:szCs w:val="24"/>
                <w:lang w:eastAsia="zh-CN"/>
              </w:rPr>
              <w:t>声环境：本项目厂界外</w:t>
            </w:r>
            <w:r>
              <w:rPr>
                <w:rFonts w:ascii="Times New Roman" w:hAnsi="Times New Roman" w:eastAsia="Times New Roman" w:cs="Times New Roman"/>
                <w:spacing w:val="-3"/>
                <w:sz w:val="24"/>
                <w:szCs w:val="24"/>
                <w:lang w:eastAsia="zh-CN"/>
              </w:rPr>
              <w:t>50m</w:t>
            </w:r>
            <w:r>
              <w:rPr>
                <w:spacing w:val="-3"/>
                <w:sz w:val="24"/>
                <w:szCs w:val="24"/>
                <w:lang w:eastAsia="zh-CN"/>
              </w:rPr>
              <w:t>范围内无声环境保护目标；</w:t>
            </w:r>
          </w:p>
          <w:p w14:paraId="36E90FC5">
            <w:pPr>
              <w:pStyle w:val="14"/>
              <w:spacing w:after="0" w:line="480" w:lineRule="exact"/>
              <w:ind w:left="0" w:leftChars="0" w:firstLine="472" w:firstLineChars="200"/>
              <w:jc w:val="left"/>
              <w:rPr>
                <w:szCs w:val="24"/>
              </w:rPr>
            </w:pPr>
            <w:r>
              <w:rPr>
                <w:rFonts w:hint="eastAsia"/>
                <w:spacing w:val="-2"/>
                <w:szCs w:val="24"/>
              </w:rPr>
              <w:t>(4)</w:t>
            </w:r>
            <w:r>
              <w:rPr>
                <w:spacing w:val="-2"/>
                <w:szCs w:val="24"/>
              </w:rPr>
              <w:t>生态环境：本项目不涉及生态环境保护目标。</w:t>
            </w:r>
          </w:p>
          <w:p w14:paraId="7E1FF839">
            <w:pPr>
              <w:pStyle w:val="14"/>
              <w:spacing w:after="0" w:line="440" w:lineRule="exact"/>
              <w:ind w:left="0" w:leftChars="0" w:firstLine="480" w:firstLineChars="200"/>
              <w:jc w:val="left"/>
              <w:rPr>
                <w:rFonts w:hint="eastAsia"/>
              </w:rPr>
            </w:pPr>
          </w:p>
          <w:p w14:paraId="618A13F6">
            <w:pPr>
              <w:pStyle w:val="22"/>
              <w:rPr>
                <w:rFonts w:hint="eastAsia"/>
              </w:rPr>
            </w:pPr>
          </w:p>
          <w:p w14:paraId="47F21316">
            <w:pPr>
              <w:pStyle w:val="23"/>
              <w:rPr>
                <w:rFonts w:hint="eastAsia"/>
              </w:rPr>
            </w:pPr>
          </w:p>
          <w:p w14:paraId="2FBECB71">
            <w:pPr>
              <w:rPr>
                <w:rFonts w:hint="eastAsia"/>
              </w:rPr>
            </w:pPr>
          </w:p>
          <w:p w14:paraId="7CFF1D13">
            <w:pPr>
              <w:rPr>
                <w:rFonts w:hint="eastAsia"/>
              </w:rPr>
            </w:pPr>
          </w:p>
          <w:p w14:paraId="0D1CDDD4">
            <w:pPr>
              <w:rPr>
                <w:rFonts w:hint="eastAsia"/>
              </w:rPr>
            </w:pPr>
          </w:p>
          <w:p w14:paraId="266780E3">
            <w:pPr>
              <w:rPr>
                <w:rFonts w:hint="eastAsia"/>
              </w:rPr>
            </w:pPr>
          </w:p>
          <w:p w14:paraId="52C2C91B">
            <w:pPr>
              <w:rPr>
                <w:rFonts w:hint="eastAsia"/>
              </w:rPr>
            </w:pPr>
          </w:p>
          <w:p w14:paraId="2403229D">
            <w:pPr>
              <w:rPr>
                <w:rFonts w:hint="eastAsia"/>
              </w:rPr>
            </w:pPr>
          </w:p>
          <w:p w14:paraId="7F31A768">
            <w:pPr>
              <w:rPr>
                <w:rFonts w:hint="eastAsia"/>
              </w:rPr>
            </w:pPr>
          </w:p>
          <w:p w14:paraId="06EF0FED">
            <w:pPr>
              <w:rPr>
                <w:rFonts w:hint="eastAsia"/>
              </w:rPr>
            </w:pPr>
          </w:p>
          <w:p w14:paraId="626A5934">
            <w:pPr>
              <w:rPr>
                <w:rFonts w:hint="eastAsia"/>
              </w:rPr>
            </w:pPr>
          </w:p>
          <w:p w14:paraId="4E6BC88F">
            <w:pPr>
              <w:rPr>
                <w:rFonts w:hint="eastAsia"/>
              </w:rPr>
            </w:pPr>
          </w:p>
          <w:p w14:paraId="5EE935BA">
            <w:pPr>
              <w:rPr>
                <w:rFonts w:hint="eastAsia"/>
              </w:rPr>
            </w:pPr>
          </w:p>
          <w:p w14:paraId="14FF6E21">
            <w:pPr>
              <w:rPr>
                <w:rFonts w:hint="eastAsia"/>
              </w:rPr>
            </w:pPr>
          </w:p>
          <w:p w14:paraId="58159987">
            <w:pPr>
              <w:pStyle w:val="14"/>
              <w:spacing w:after="0" w:line="440" w:lineRule="exact"/>
              <w:ind w:left="0" w:leftChars="0"/>
              <w:jc w:val="left"/>
              <w:rPr>
                <w:rFonts w:hint="eastAsia"/>
              </w:rPr>
            </w:pPr>
          </w:p>
        </w:tc>
      </w:tr>
      <w:tr w14:paraId="250A2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40F99FD4">
            <w:pPr>
              <w:adjustRightInd w:val="0"/>
              <w:spacing w:line="440" w:lineRule="exact"/>
              <w:jc w:val="center"/>
              <w:rPr>
                <w:kern w:val="0"/>
                <w:sz w:val="24"/>
              </w:rPr>
            </w:pPr>
            <w:r>
              <w:rPr>
                <w:kern w:val="0"/>
                <w:sz w:val="24"/>
              </w:rPr>
              <w:t>污染</w:t>
            </w:r>
          </w:p>
          <w:p w14:paraId="08A4BA9D">
            <w:pPr>
              <w:adjustRightInd w:val="0"/>
              <w:spacing w:line="440" w:lineRule="exact"/>
              <w:jc w:val="center"/>
              <w:rPr>
                <w:kern w:val="0"/>
                <w:sz w:val="24"/>
              </w:rPr>
            </w:pPr>
            <w:r>
              <w:rPr>
                <w:kern w:val="0"/>
                <w:sz w:val="24"/>
              </w:rPr>
              <w:t>物排</w:t>
            </w:r>
          </w:p>
          <w:p w14:paraId="20C9C6EB">
            <w:pPr>
              <w:adjustRightInd w:val="0"/>
              <w:spacing w:line="440" w:lineRule="exact"/>
              <w:jc w:val="center"/>
              <w:rPr>
                <w:kern w:val="0"/>
                <w:sz w:val="24"/>
              </w:rPr>
            </w:pPr>
            <w:r>
              <w:rPr>
                <w:kern w:val="0"/>
                <w:sz w:val="24"/>
              </w:rPr>
              <w:t>放控</w:t>
            </w:r>
          </w:p>
          <w:p w14:paraId="0750DD49">
            <w:pPr>
              <w:adjustRightInd w:val="0"/>
              <w:spacing w:line="440" w:lineRule="exact"/>
              <w:jc w:val="center"/>
              <w:rPr>
                <w:kern w:val="0"/>
                <w:sz w:val="24"/>
              </w:rPr>
            </w:pPr>
            <w:r>
              <w:rPr>
                <w:kern w:val="0"/>
                <w:sz w:val="24"/>
              </w:rPr>
              <w:t>制标</w:t>
            </w:r>
          </w:p>
          <w:p w14:paraId="3E41D875">
            <w:pPr>
              <w:adjustRightInd w:val="0"/>
              <w:spacing w:line="440" w:lineRule="exact"/>
              <w:jc w:val="center"/>
              <w:rPr>
                <w:kern w:val="0"/>
                <w:sz w:val="24"/>
              </w:rPr>
            </w:pPr>
            <w:r>
              <w:rPr>
                <w:kern w:val="0"/>
                <w:sz w:val="24"/>
              </w:rPr>
              <w:t>准</w:t>
            </w:r>
          </w:p>
        </w:tc>
        <w:tc>
          <w:tcPr>
            <w:tcW w:w="8542" w:type="dxa"/>
            <w:noWrap w:val="0"/>
            <w:vAlign w:val="center"/>
          </w:tcPr>
          <w:p w14:paraId="73730C0B">
            <w:pPr>
              <w:spacing w:line="480" w:lineRule="exact"/>
              <w:ind w:firstLine="480" w:firstLineChars="200"/>
              <w:rPr>
                <w:rFonts w:hint="eastAsia" w:ascii="黑体" w:hAnsi="黑体" w:eastAsia="黑体" w:cs="黑体"/>
                <w:sz w:val="24"/>
              </w:rPr>
            </w:pPr>
            <w:r>
              <w:rPr>
                <w:rFonts w:hint="eastAsia" w:ascii="黑体" w:hAnsi="黑体" w:eastAsia="黑体" w:cs="黑体"/>
                <w:sz w:val="24"/>
              </w:rPr>
              <w:t>1、大气污染物排放标准</w:t>
            </w:r>
          </w:p>
          <w:p w14:paraId="5B3BD09E">
            <w:pPr>
              <w:spacing w:line="480" w:lineRule="exact"/>
              <w:ind w:firstLine="480" w:firstLineChars="200"/>
              <w:rPr>
                <w:bCs/>
                <w:sz w:val="24"/>
              </w:rPr>
            </w:pPr>
            <w:r>
              <w:rPr>
                <w:bCs/>
                <w:sz w:val="24"/>
              </w:rPr>
              <w:t>本项目烧结空心砖生产过程产生的颗粒物、</w:t>
            </w:r>
            <w:r>
              <w:rPr>
                <w:rFonts w:hint="eastAsia"/>
                <w:bCs/>
                <w:sz w:val="24"/>
              </w:rPr>
              <w:t>二氧化硫、氮氧化物、氟化物</w:t>
            </w:r>
            <w:r>
              <w:rPr>
                <w:rFonts w:hint="eastAsia"/>
                <w:bCs/>
                <w:sz w:val="24"/>
                <w:lang w:eastAsia="zh-CN"/>
              </w:rPr>
              <w:t>、</w:t>
            </w:r>
            <w:r>
              <w:rPr>
                <w:rFonts w:hint="eastAsia"/>
                <w:bCs/>
                <w:sz w:val="24"/>
                <w:lang w:val="en-US" w:eastAsia="zh-CN"/>
              </w:rPr>
              <w:t>氨</w:t>
            </w:r>
            <w:r>
              <w:rPr>
                <w:rFonts w:hint="eastAsia"/>
                <w:bCs/>
                <w:sz w:val="24"/>
              </w:rPr>
              <w:t>等废气污染物</w:t>
            </w:r>
            <w:r>
              <w:rPr>
                <w:bCs/>
                <w:sz w:val="24"/>
              </w:rPr>
              <w:t>排放执行安徽省《砖瓦工业大气污染物排放标准》(</w:t>
            </w:r>
            <w:r>
              <w:rPr>
                <w:rFonts w:hint="eastAsia"/>
                <w:bCs/>
                <w:sz w:val="24"/>
              </w:rPr>
              <w:t>DB34/4362-2023</w:t>
            </w:r>
            <w:r>
              <w:rPr>
                <w:bCs/>
                <w:sz w:val="24"/>
              </w:rPr>
              <w:t>)表</w:t>
            </w:r>
            <w:r>
              <w:rPr>
                <w:rFonts w:hint="eastAsia"/>
                <w:bCs/>
                <w:sz w:val="24"/>
              </w:rPr>
              <w:t>2中大气污染物排放限值要求；厂区内无组织废气排放执行</w:t>
            </w:r>
            <w:r>
              <w:rPr>
                <w:bCs/>
                <w:sz w:val="24"/>
              </w:rPr>
              <w:t>安徽省《</w:t>
            </w:r>
            <w:bookmarkStart w:id="14" w:name="OLE_LINK41"/>
            <w:r>
              <w:rPr>
                <w:bCs/>
                <w:sz w:val="24"/>
              </w:rPr>
              <w:t>砖瓦工业大气污染物排放标准</w:t>
            </w:r>
            <w:bookmarkEnd w:id="14"/>
            <w:r>
              <w:rPr>
                <w:bCs/>
                <w:sz w:val="24"/>
              </w:rPr>
              <w:t>》(</w:t>
            </w:r>
            <w:r>
              <w:rPr>
                <w:rFonts w:hint="eastAsia"/>
                <w:bCs/>
                <w:sz w:val="24"/>
              </w:rPr>
              <w:t>DB34/4362-2023</w:t>
            </w:r>
            <w:r>
              <w:rPr>
                <w:bCs/>
                <w:sz w:val="24"/>
              </w:rPr>
              <w:t>)表</w:t>
            </w:r>
            <w:r>
              <w:rPr>
                <w:rFonts w:hint="eastAsia"/>
                <w:bCs/>
                <w:sz w:val="24"/>
              </w:rPr>
              <w:t>3企业边界大气污染物浓度限值。</w:t>
            </w:r>
          </w:p>
          <w:p w14:paraId="6E07649A">
            <w:pPr>
              <w:spacing w:line="480" w:lineRule="exact"/>
              <w:jc w:val="center"/>
              <w:rPr>
                <w:rFonts w:hint="eastAsia" w:ascii="黑体" w:hAnsi="黑体" w:eastAsia="黑体" w:cs="黑体"/>
                <w:bCs/>
                <w:sz w:val="24"/>
              </w:rPr>
            </w:pPr>
            <w:r>
              <w:rPr>
                <w:rFonts w:hint="eastAsia" w:ascii="黑体" w:hAnsi="黑体" w:eastAsia="黑体" w:cs="黑体"/>
                <w:bCs/>
                <w:sz w:val="24"/>
              </w:rPr>
              <w:t>表3-4  《砖瓦工业大气污染物排放标准》(DB34/4362-2023)  单位：mg/m</w:t>
            </w:r>
            <w:r>
              <w:rPr>
                <w:rFonts w:hint="eastAsia" w:ascii="黑体" w:hAnsi="黑体" w:eastAsia="黑体" w:cs="黑体"/>
                <w:bCs/>
                <w:sz w:val="24"/>
                <w:vertAlign w:val="superscript"/>
              </w:rPr>
              <w:t>3</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985"/>
              <w:gridCol w:w="1262"/>
              <w:gridCol w:w="1172"/>
              <w:gridCol w:w="1091"/>
              <w:gridCol w:w="828"/>
              <w:gridCol w:w="1476"/>
            </w:tblGrid>
            <w:tr w14:paraId="0BFC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01" w:type="pct"/>
                  <w:vMerge w:val="restart"/>
                  <w:noWrap w:val="0"/>
                  <w:vAlign w:val="center"/>
                </w:tcPr>
                <w:p w14:paraId="66BAB265">
                  <w:pPr>
                    <w:autoSpaceDE w:val="0"/>
                    <w:autoSpaceDN w:val="0"/>
                    <w:adjustRightInd w:val="0"/>
                    <w:spacing w:line="276" w:lineRule="auto"/>
                    <w:jc w:val="center"/>
                    <w:rPr>
                      <w:bCs/>
                      <w:szCs w:val="21"/>
                    </w:rPr>
                  </w:pPr>
                  <w:r>
                    <w:rPr>
                      <w:bCs/>
                      <w:szCs w:val="21"/>
                    </w:rPr>
                    <w:t>生产过程</w:t>
                  </w:r>
                </w:p>
              </w:tc>
              <w:tc>
                <w:tcPr>
                  <w:tcW w:w="3210" w:type="pct"/>
                  <w:gridSpan w:val="5"/>
                  <w:noWrap w:val="0"/>
                  <w:vAlign w:val="center"/>
                </w:tcPr>
                <w:p w14:paraId="45604042">
                  <w:pPr>
                    <w:autoSpaceDE w:val="0"/>
                    <w:autoSpaceDN w:val="0"/>
                    <w:adjustRightInd w:val="0"/>
                    <w:spacing w:line="276" w:lineRule="auto"/>
                    <w:jc w:val="center"/>
                    <w:rPr>
                      <w:bCs/>
                      <w:szCs w:val="21"/>
                    </w:rPr>
                  </w:pPr>
                  <w:r>
                    <w:rPr>
                      <w:bCs/>
                      <w:szCs w:val="21"/>
                    </w:rPr>
                    <w:t>最高允许排放浓度</w:t>
                  </w:r>
                </w:p>
              </w:tc>
              <w:tc>
                <w:tcPr>
                  <w:tcW w:w="887" w:type="pct"/>
                  <w:vMerge w:val="restart"/>
                  <w:noWrap w:val="0"/>
                  <w:vAlign w:val="center"/>
                </w:tcPr>
                <w:p w14:paraId="08349B98">
                  <w:pPr>
                    <w:autoSpaceDE w:val="0"/>
                    <w:autoSpaceDN w:val="0"/>
                    <w:adjustRightInd w:val="0"/>
                    <w:spacing w:line="276" w:lineRule="auto"/>
                    <w:jc w:val="center"/>
                    <w:rPr>
                      <w:bCs/>
                      <w:szCs w:val="21"/>
                    </w:rPr>
                  </w:pPr>
                  <w:r>
                    <w:rPr>
                      <w:bCs/>
                      <w:szCs w:val="21"/>
                    </w:rPr>
                    <w:t>污染物排放监控位置</w:t>
                  </w:r>
                </w:p>
              </w:tc>
            </w:tr>
            <w:tr w14:paraId="5430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01" w:type="pct"/>
                  <w:vMerge w:val="continue"/>
                  <w:noWrap w:val="0"/>
                  <w:vAlign w:val="center"/>
                </w:tcPr>
                <w:p w14:paraId="0FB60F0E">
                  <w:pPr>
                    <w:autoSpaceDE w:val="0"/>
                    <w:autoSpaceDN w:val="0"/>
                    <w:adjustRightInd w:val="0"/>
                    <w:spacing w:line="276" w:lineRule="auto"/>
                    <w:jc w:val="center"/>
                    <w:rPr>
                      <w:bCs/>
                      <w:szCs w:val="21"/>
                    </w:rPr>
                  </w:pPr>
                </w:p>
              </w:tc>
              <w:tc>
                <w:tcPr>
                  <w:tcW w:w="592" w:type="pct"/>
                  <w:noWrap w:val="0"/>
                  <w:vAlign w:val="center"/>
                </w:tcPr>
                <w:p w14:paraId="12D72C08">
                  <w:pPr>
                    <w:autoSpaceDE w:val="0"/>
                    <w:autoSpaceDN w:val="0"/>
                    <w:adjustRightInd w:val="0"/>
                    <w:spacing w:line="276" w:lineRule="auto"/>
                    <w:jc w:val="center"/>
                    <w:rPr>
                      <w:bCs/>
                      <w:szCs w:val="21"/>
                    </w:rPr>
                  </w:pPr>
                  <w:r>
                    <w:rPr>
                      <w:bCs/>
                      <w:szCs w:val="21"/>
                    </w:rPr>
                    <w:t>颗粒物</w:t>
                  </w:r>
                </w:p>
              </w:tc>
              <w:tc>
                <w:tcPr>
                  <w:tcW w:w="759" w:type="pct"/>
                  <w:noWrap w:val="0"/>
                  <w:vAlign w:val="center"/>
                </w:tcPr>
                <w:p w14:paraId="1937F7FA">
                  <w:pPr>
                    <w:autoSpaceDE w:val="0"/>
                    <w:autoSpaceDN w:val="0"/>
                    <w:adjustRightInd w:val="0"/>
                    <w:spacing w:line="276" w:lineRule="auto"/>
                    <w:jc w:val="center"/>
                    <w:rPr>
                      <w:bCs/>
                      <w:szCs w:val="21"/>
                    </w:rPr>
                  </w:pPr>
                  <w:r>
                    <w:rPr>
                      <w:bCs/>
                      <w:szCs w:val="21"/>
                    </w:rPr>
                    <w:t>二氧化硫</w:t>
                  </w:r>
                </w:p>
              </w:tc>
              <w:tc>
                <w:tcPr>
                  <w:tcW w:w="704" w:type="pct"/>
                  <w:noWrap w:val="0"/>
                  <w:vAlign w:val="center"/>
                </w:tcPr>
                <w:p w14:paraId="58726414">
                  <w:pPr>
                    <w:autoSpaceDE w:val="0"/>
                    <w:autoSpaceDN w:val="0"/>
                    <w:adjustRightInd w:val="0"/>
                    <w:spacing w:line="276" w:lineRule="auto"/>
                    <w:jc w:val="center"/>
                    <w:rPr>
                      <w:bCs/>
                      <w:szCs w:val="21"/>
                    </w:rPr>
                  </w:pPr>
                  <w:r>
                    <w:rPr>
                      <w:bCs/>
                      <w:szCs w:val="21"/>
                    </w:rPr>
                    <w:t>氮氧化物</w:t>
                  </w:r>
                </w:p>
              </w:tc>
              <w:tc>
                <w:tcPr>
                  <w:tcW w:w="656" w:type="pct"/>
                  <w:noWrap w:val="0"/>
                  <w:vAlign w:val="center"/>
                </w:tcPr>
                <w:p w14:paraId="2FB0ED91">
                  <w:pPr>
                    <w:autoSpaceDE w:val="0"/>
                    <w:autoSpaceDN w:val="0"/>
                    <w:adjustRightInd w:val="0"/>
                    <w:spacing w:line="276" w:lineRule="auto"/>
                    <w:jc w:val="center"/>
                    <w:rPr>
                      <w:bCs/>
                      <w:szCs w:val="21"/>
                    </w:rPr>
                  </w:pPr>
                  <w:r>
                    <w:rPr>
                      <w:bCs/>
                      <w:szCs w:val="21"/>
                    </w:rPr>
                    <w:t>氟化物</w:t>
                  </w:r>
                </w:p>
              </w:tc>
              <w:tc>
                <w:tcPr>
                  <w:tcW w:w="498" w:type="pct"/>
                  <w:noWrap w:val="0"/>
                  <w:vAlign w:val="center"/>
                </w:tcPr>
                <w:p w14:paraId="717AB9CD">
                  <w:pPr>
                    <w:autoSpaceDE w:val="0"/>
                    <w:autoSpaceDN w:val="0"/>
                    <w:adjustRightInd w:val="0"/>
                    <w:spacing w:line="276" w:lineRule="auto"/>
                    <w:jc w:val="center"/>
                    <w:rPr>
                      <w:rFonts w:hint="eastAsia" w:eastAsia="宋体"/>
                      <w:bCs/>
                      <w:szCs w:val="21"/>
                      <w:lang w:val="en-US" w:eastAsia="zh-CN"/>
                    </w:rPr>
                  </w:pPr>
                  <w:r>
                    <w:rPr>
                      <w:rFonts w:hint="eastAsia"/>
                      <w:bCs/>
                      <w:szCs w:val="21"/>
                      <w:lang w:val="en-US" w:eastAsia="zh-CN"/>
                    </w:rPr>
                    <w:t>氨</w:t>
                  </w:r>
                </w:p>
              </w:tc>
              <w:tc>
                <w:tcPr>
                  <w:tcW w:w="887" w:type="pct"/>
                  <w:vMerge w:val="continue"/>
                  <w:noWrap w:val="0"/>
                  <w:vAlign w:val="center"/>
                </w:tcPr>
                <w:p w14:paraId="05C52494">
                  <w:pPr>
                    <w:autoSpaceDE w:val="0"/>
                    <w:autoSpaceDN w:val="0"/>
                    <w:adjustRightInd w:val="0"/>
                    <w:spacing w:line="276" w:lineRule="auto"/>
                    <w:jc w:val="center"/>
                    <w:rPr>
                      <w:bCs/>
                      <w:szCs w:val="21"/>
                    </w:rPr>
                  </w:pPr>
                </w:p>
              </w:tc>
            </w:tr>
            <w:tr w14:paraId="3B45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 w:type="pct"/>
                  <w:noWrap w:val="0"/>
                  <w:vAlign w:val="center"/>
                </w:tcPr>
                <w:p w14:paraId="11C672D1">
                  <w:pPr>
                    <w:autoSpaceDE w:val="0"/>
                    <w:autoSpaceDN w:val="0"/>
                    <w:adjustRightInd w:val="0"/>
                    <w:spacing w:line="276" w:lineRule="auto"/>
                    <w:jc w:val="center"/>
                    <w:rPr>
                      <w:bCs/>
                      <w:szCs w:val="21"/>
                    </w:rPr>
                  </w:pPr>
                  <w:r>
                    <w:rPr>
                      <w:bCs/>
                      <w:szCs w:val="21"/>
                    </w:rPr>
                    <w:t>原料燃料破碎及制备成型</w:t>
                  </w:r>
                </w:p>
              </w:tc>
              <w:tc>
                <w:tcPr>
                  <w:tcW w:w="592" w:type="pct"/>
                  <w:noWrap w:val="0"/>
                  <w:vAlign w:val="center"/>
                </w:tcPr>
                <w:p w14:paraId="305037C0">
                  <w:pPr>
                    <w:autoSpaceDE w:val="0"/>
                    <w:autoSpaceDN w:val="0"/>
                    <w:adjustRightInd w:val="0"/>
                    <w:spacing w:line="276" w:lineRule="auto"/>
                    <w:jc w:val="center"/>
                    <w:rPr>
                      <w:bCs/>
                      <w:szCs w:val="21"/>
                    </w:rPr>
                  </w:pPr>
                  <w:r>
                    <w:rPr>
                      <w:rFonts w:hint="eastAsia"/>
                      <w:bCs/>
                      <w:szCs w:val="21"/>
                    </w:rPr>
                    <w:t>10</w:t>
                  </w:r>
                </w:p>
              </w:tc>
              <w:tc>
                <w:tcPr>
                  <w:tcW w:w="759" w:type="pct"/>
                  <w:noWrap w:val="0"/>
                  <w:vAlign w:val="center"/>
                </w:tcPr>
                <w:p w14:paraId="1E59BEB8">
                  <w:pPr>
                    <w:autoSpaceDE w:val="0"/>
                    <w:autoSpaceDN w:val="0"/>
                    <w:adjustRightInd w:val="0"/>
                    <w:spacing w:line="276" w:lineRule="auto"/>
                    <w:jc w:val="center"/>
                    <w:rPr>
                      <w:bCs/>
                      <w:szCs w:val="21"/>
                    </w:rPr>
                  </w:pPr>
                  <w:r>
                    <w:rPr>
                      <w:rFonts w:hint="eastAsia"/>
                      <w:bCs/>
                      <w:szCs w:val="21"/>
                      <w:lang w:val="en-US" w:eastAsia="zh-CN"/>
                    </w:rPr>
                    <w:t>/</w:t>
                  </w:r>
                </w:p>
              </w:tc>
              <w:tc>
                <w:tcPr>
                  <w:tcW w:w="704" w:type="pct"/>
                  <w:noWrap w:val="0"/>
                  <w:vAlign w:val="center"/>
                </w:tcPr>
                <w:p w14:paraId="28DD88FE">
                  <w:pPr>
                    <w:autoSpaceDE w:val="0"/>
                    <w:autoSpaceDN w:val="0"/>
                    <w:adjustRightInd w:val="0"/>
                    <w:spacing w:line="276" w:lineRule="auto"/>
                    <w:jc w:val="center"/>
                    <w:rPr>
                      <w:bCs/>
                      <w:szCs w:val="21"/>
                    </w:rPr>
                  </w:pPr>
                  <w:r>
                    <w:rPr>
                      <w:rFonts w:hint="eastAsia"/>
                      <w:bCs/>
                      <w:szCs w:val="21"/>
                      <w:lang w:val="en-US" w:eastAsia="zh-CN"/>
                    </w:rPr>
                    <w:t>/</w:t>
                  </w:r>
                </w:p>
              </w:tc>
              <w:tc>
                <w:tcPr>
                  <w:tcW w:w="656" w:type="pct"/>
                  <w:noWrap w:val="0"/>
                  <w:vAlign w:val="center"/>
                </w:tcPr>
                <w:p w14:paraId="2ED8546A">
                  <w:pPr>
                    <w:autoSpaceDE w:val="0"/>
                    <w:autoSpaceDN w:val="0"/>
                    <w:adjustRightInd w:val="0"/>
                    <w:spacing w:line="276" w:lineRule="auto"/>
                    <w:jc w:val="center"/>
                    <w:rPr>
                      <w:rFonts w:hint="eastAsia" w:eastAsia="宋体"/>
                      <w:bCs/>
                      <w:szCs w:val="21"/>
                      <w:lang w:eastAsia="zh-CN"/>
                    </w:rPr>
                  </w:pPr>
                  <w:r>
                    <w:rPr>
                      <w:rFonts w:hint="eastAsia"/>
                      <w:bCs/>
                      <w:szCs w:val="21"/>
                      <w:lang w:val="en-US" w:eastAsia="zh-CN"/>
                    </w:rPr>
                    <w:t>/</w:t>
                  </w:r>
                </w:p>
              </w:tc>
              <w:tc>
                <w:tcPr>
                  <w:tcW w:w="498" w:type="pct"/>
                  <w:noWrap w:val="0"/>
                  <w:vAlign w:val="center"/>
                </w:tcPr>
                <w:p w14:paraId="6D7461C3">
                  <w:pPr>
                    <w:autoSpaceDE w:val="0"/>
                    <w:autoSpaceDN w:val="0"/>
                    <w:adjustRightInd w:val="0"/>
                    <w:spacing w:line="276" w:lineRule="auto"/>
                    <w:jc w:val="center"/>
                    <w:rPr>
                      <w:bCs/>
                      <w:szCs w:val="21"/>
                    </w:rPr>
                  </w:pPr>
                  <w:r>
                    <w:rPr>
                      <w:rFonts w:hint="eastAsia"/>
                      <w:bCs/>
                      <w:szCs w:val="21"/>
                      <w:lang w:val="en-US" w:eastAsia="zh-CN"/>
                    </w:rPr>
                    <w:t>/</w:t>
                  </w:r>
                </w:p>
              </w:tc>
              <w:tc>
                <w:tcPr>
                  <w:tcW w:w="887" w:type="pct"/>
                  <w:vMerge w:val="restart"/>
                  <w:noWrap w:val="0"/>
                  <w:vAlign w:val="center"/>
                </w:tcPr>
                <w:p w14:paraId="0CAE4F7C">
                  <w:pPr>
                    <w:autoSpaceDE w:val="0"/>
                    <w:autoSpaceDN w:val="0"/>
                    <w:adjustRightInd w:val="0"/>
                    <w:spacing w:line="276" w:lineRule="auto"/>
                    <w:jc w:val="center"/>
                    <w:rPr>
                      <w:bCs/>
                      <w:szCs w:val="21"/>
                    </w:rPr>
                  </w:pPr>
                  <w:r>
                    <w:rPr>
                      <w:rFonts w:hint="eastAsia"/>
                      <w:bCs/>
                      <w:szCs w:val="21"/>
                    </w:rPr>
                    <w:t>车间或生产设施排气筒</w:t>
                  </w:r>
                </w:p>
              </w:tc>
            </w:tr>
            <w:tr w14:paraId="1F88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1" w:type="pct"/>
                  <w:noWrap w:val="0"/>
                  <w:vAlign w:val="center"/>
                </w:tcPr>
                <w:p w14:paraId="16918FFB">
                  <w:pPr>
                    <w:autoSpaceDE w:val="0"/>
                    <w:autoSpaceDN w:val="0"/>
                    <w:adjustRightInd w:val="0"/>
                    <w:spacing w:line="276" w:lineRule="auto"/>
                    <w:jc w:val="center"/>
                    <w:rPr>
                      <w:bCs/>
                      <w:szCs w:val="21"/>
                    </w:rPr>
                  </w:pPr>
                  <w:r>
                    <w:rPr>
                      <w:bCs/>
                      <w:szCs w:val="21"/>
                    </w:rPr>
                    <w:t>人工干燥</w:t>
                  </w:r>
                  <w:r>
                    <w:rPr>
                      <w:rFonts w:hint="eastAsia"/>
                      <w:bCs/>
                      <w:szCs w:val="21"/>
                    </w:rPr>
                    <w:t>及</w:t>
                  </w:r>
                  <w:r>
                    <w:rPr>
                      <w:bCs/>
                      <w:szCs w:val="21"/>
                    </w:rPr>
                    <w:t>焙烧</w:t>
                  </w:r>
                </w:p>
              </w:tc>
              <w:tc>
                <w:tcPr>
                  <w:tcW w:w="592" w:type="pct"/>
                  <w:noWrap w:val="0"/>
                  <w:vAlign w:val="center"/>
                </w:tcPr>
                <w:p w14:paraId="154CD6E9">
                  <w:pPr>
                    <w:autoSpaceDE w:val="0"/>
                    <w:autoSpaceDN w:val="0"/>
                    <w:adjustRightInd w:val="0"/>
                    <w:spacing w:line="276" w:lineRule="auto"/>
                    <w:jc w:val="center"/>
                    <w:rPr>
                      <w:bCs/>
                      <w:szCs w:val="21"/>
                    </w:rPr>
                  </w:pPr>
                  <w:r>
                    <w:rPr>
                      <w:rFonts w:hint="eastAsia"/>
                      <w:bCs/>
                      <w:szCs w:val="21"/>
                    </w:rPr>
                    <w:t>10</w:t>
                  </w:r>
                </w:p>
              </w:tc>
              <w:tc>
                <w:tcPr>
                  <w:tcW w:w="759" w:type="pct"/>
                  <w:noWrap w:val="0"/>
                  <w:vAlign w:val="center"/>
                </w:tcPr>
                <w:p w14:paraId="5A127D46">
                  <w:pPr>
                    <w:autoSpaceDE w:val="0"/>
                    <w:autoSpaceDN w:val="0"/>
                    <w:adjustRightInd w:val="0"/>
                    <w:spacing w:line="276" w:lineRule="auto"/>
                    <w:jc w:val="center"/>
                    <w:rPr>
                      <w:bCs/>
                      <w:szCs w:val="21"/>
                    </w:rPr>
                  </w:pPr>
                  <w:r>
                    <w:rPr>
                      <w:rFonts w:hint="eastAsia"/>
                      <w:bCs/>
                      <w:szCs w:val="21"/>
                    </w:rPr>
                    <w:t>50</w:t>
                  </w:r>
                </w:p>
              </w:tc>
              <w:tc>
                <w:tcPr>
                  <w:tcW w:w="704" w:type="pct"/>
                  <w:noWrap w:val="0"/>
                  <w:vAlign w:val="center"/>
                </w:tcPr>
                <w:p w14:paraId="40A95DFA">
                  <w:pPr>
                    <w:autoSpaceDE w:val="0"/>
                    <w:autoSpaceDN w:val="0"/>
                    <w:adjustRightInd w:val="0"/>
                    <w:spacing w:line="276" w:lineRule="auto"/>
                    <w:jc w:val="center"/>
                    <w:rPr>
                      <w:bCs/>
                      <w:szCs w:val="21"/>
                    </w:rPr>
                  </w:pPr>
                  <w:r>
                    <w:rPr>
                      <w:rFonts w:hint="eastAsia"/>
                      <w:bCs/>
                      <w:szCs w:val="21"/>
                    </w:rPr>
                    <w:t>100</w:t>
                  </w:r>
                </w:p>
              </w:tc>
              <w:tc>
                <w:tcPr>
                  <w:tcW w:w="656" w:type="pct"/>
                  <w:noWrap w:val="0"/>
                  <w:vAlign w:val="center"/>
                </w:tcPr>
                <w:p w14:paraId="6F2FB29B">
                  <w:pPr>
                    <w:autoSpaceDE w:val="0"/>
                    <w:autoSpaceDN w:val="0"/>
                    <w:adjustRightInd w:val="0"/>
                    <w:spacing w:line="276" w:lineRule="auto"/>
                    <w:jc w:val="center"/>
                    <w:rPr>
                      <w:bCs/>
                      <w:szCs w:val="21"/>
                    </w:rPr>
                  </w:pPr>
                  <w:r>
                    <w:rPr>
                      <w:rFonts w:hint="eastAsia"/>
                      <w:bCs/>
                      <w:szCs w:val="21"/>
                    </w:rPr>
                    <w:t>3</w:t>
                  </w:r>
                </w:p>
              </w:tc>
              <w:tc>
                <w:tcPr>
                  <w:tcW w:w="498" w:type="pct"/>
                  <w:noWrap w:val="0"/>
                  <w:vAlign w:val="center"/>
                </w:tcPr>
                <w:p w14:paraId="21CEBA9B">
                  <w:pPr>
                    <w:autoSpaceDE w:val="0"/>
                    <w:autoSpaceDN w:val="0"/>
                    <w:adjustRightInd w:val="0"/>
                    <w:spacing w:line="276" w:lineRule="auto"/>
                    <w:jc w:val="center"/>
                    <w:rPr>
                      <w:rFonts w:hint="eastAsia" w:eastAsia="宋体"/>
                      <w:bCs/>
                      <w:szCs w:val="21"/>
                      <w:lang w:val="en-US" w:eastAsia="zh-CN"/>
                    </w:rPr>
                  </w:pPr>
                  <w:r>
                    <w:rPr>
                      <w:rFonts w:hint="eastAsia"/>
                      <w:bCs/>
                      <w:szCs w:val="21"/>
                      <w:lang w:val="en-US" w:eastAsia="zh-CN"/>
                    </w:rPr>
                    <w:t>8</w:t>
                  </w:r>
                </w:p>
              </w:tc>
              <w:tc>
                <w:tcPr>
                  <w:tcW w:w="887" w:type="pct"/>
                  <w:vMerge w:val="continue"/>
                  <w:noWrap w:val="0"/>
                  <w:vAlign w:val="center"/>
                </w:tcPr>
                <w:p w14:paraId="259656F3">
                  <w:pPr>
                    <w:autoSpaceDE w:val="0"/>
                    <w:autoSpaceDN w:val="0"/>
                    <w:adjustRightInd w:val="0"/>
                    <w:spacing w:line="276" w:lineRule="auto"/>
                    <w:jc w:val="center"/>
                    <w:rPr>
                      <w:bCs/>
                      <w:szCs w:val="21"/>
                    </w:rPr>
                  </w:pPr>
                </w:p>
              </w:tc>
            </w:tr>
          </w:tbl>
          <w:p w14:paraId="785FA1CA">
            <w:pPr>
              <w:spacing w:line="480" w:lineRule="exact"/>
              <w:jc w:val="center"/>
              <w:rPr>
                <w:rFonts w:eastAsia="黑体"/>
                <w:bCs/>
                <w:sz w:val="24"/>
              </w:rPr>
            </w:pPr>
          </w:p>
          <w:p w14:paraId="7920346C">
            <w:pPr>
              <w:spacing w:line="480" w:lineRule="exact"/>
              <w:jc w:val="center"/>
              <w:rPr>
                <w:rFonts w:hint="eastAsia" w:ascii="黑体" w:hAnsi="黑体" w:eastAsia="黑体" w:cs="黑体"/>
                <w:bCs/>
                <w:sz w:val="24"/>
              </w:rPr>
            </w:pPr>
            <w:r>
              <w:rPr>
                <w:rFonts w:hint="eastAsia" w:ascii="黑体" w:hAnsi="黑体" w:eastAsia="黑体" w:cs="黑体"/>
                <w:bCs/>
                <w:sz w:val="24"/>
              </w:rPr>
              <w:t>表3-5  企业边界大气污染物浓度限值  单位：mg/m</w:t>
            </w:r>
            <w:r>
              <w:rPr>
                <w:rFonts w:hint="eastAsia" w:ascii="黑体" w:hAnsi="黑体" w:eastAsia="黑体" w:cs="黑体"/>
                <w:bCs/>
                <w:sz w:val="24"/>
                <w:vertAlign w:val="superscript"/>
              </w:rPr>
              <w:t>3</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9"/>
              <w:gridCol w:w="1849"/>
              <w:gridCol w:w="2309"/>
              <w:gridCol w:w="1849"/>
            </w:tblGrid>
            <w:tr w14:paraId="5EDD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388" w:type="pct"/>
                  <w:vMerge w:val="restart"/>
                  <w:noWrap w:val="0"/>
                  <w:vAlign w:val="center"/>
                </w:tcPr>
                <w:p w14:paraId="4A6FB0AB">
                  <w:pPr>
                    <w:autoSpaceDE w:val="0"/>
                    <w:autoSpaceDN w:val="0"/>
                    <w:adjustRightInd w:val="0"/>
                    <w:spacing w:line="276" w:lineRule="auto"/>
                    <w:jc w:val="center"/>
                    <w:rPr>
                      <w:bCs/>
                      <w:szCs w:val="21"/>
                    </w:rPr>
                  </w:pPr>
                  <w:r>
                    <w:rPr>
                      <w:rFonts w:hint="eastAsia"/>
                      <w:bCs/>
                      <w:szCs w:val="21"/>
                    </w:rPr>
                    <w:t>监控位置</w:t>
                  </w:r>
                </w:p>
              </w:tc>
              <w:tc>
                <w:tcPr>
                  <w:tcW w:w="3612" w:type="pct"/>
                  <w:gridSpan w:val="3"/>
                  <w:noWrap w:val="0"/>
                  <w:vAlign w:val="center"/>
                </w:tcPr>
                <w:p w14:paraId="662808DE">
                  <w:pPr>
                    <w:autoSpaceDE w:val="0"/>
                    <w:autoSpaceDN w:val="0"/>
                    <w:adjustRightInd w:val="0"/>
                    <w:spacing w:line="276" w:lineRule="auto"/>
                    <w:jc w:val="center"/>
                    <w:rPr>
                      <w:bCs/>
                      <w:szCs w:val="21"/>
                    </w:rPr>
                  </w:pPr>
                  <w:r>
                    <w:rPr>
                      <w:rFonts w:hint="eastAsia"/>
                      <w:bCs/>
                      <w:szCs w:val="21"/>
                    </w:rPr>
                    <w:t>浓度</w:t>
                  </w:r>
                  <w:r>
                    <w:rPr>
                      <w:bCs/>
                      <w:szCs w:val="21"/>
                    </w:rPr>
                    <w:t>限值</w:t>
                  </w:r>
                </w:p>
              </w:tc>
            </w:tr>
            <w:tr w14:paraId="0D28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388" w:type="pct"/>
                  <w:vMerge w:val="continue"/>
                  <w:noWrap w:val="0"/>
                  <w:vAlign w:val="center"/>
                </w:tcPr>
                <w:p w14:paraId="34FBC780">
                  <w:pPr>
                    <w:autoSpaceDE w:val="0"/>
                    <w:autoSpaceDN w:val="0"/>
                    <w:adjustRightInd w:val="0"/>
                    <w:spacing w:line="276" w:lineRule="auto"/>
                    <w:jc w:val="center"/>
                    <w:rPr>
                      <w:bCs/>
                      <w:szCs w:val="21"/>
                    </w:rPr>
                  </w:pPr>
                </w:p>
              </w:tc>
              <w:tc>
                <w:tcPr>
                  <w:tcW w:w="1112" w:type="pct"/>
                  <w:noWrap w:val="0"/>
                  <w:vAlign w:val="center"/>
                </w:tcPr>
                <w:p w14:paraId="4940FE03">
                  <w:pPr>
                    <w:autoSpaceDE w:val="0"/>
                    <w:autoSpaceDN w:val="0"/>
                    <w:adjustRightInd w:val="0"/>
                    <w:spacing w:line="276" w:lineRule="auto"/>
                    <w:jc w:val="center"/>
                    <w:rPr>
                      <w:bCs/>
                      <w:szCs w:val="21"/>
                    </w:rPr>
                  </w:pPr>
                  <w:r>
                    <w:rPr>
                      <w:bCs/>
                      <w:szCs w:val="21"/>
                    </w:rPr>
                    <w:t>颗粒物</w:t>
                  </w:r>
                </w:p>
              </w:tc>
              <w:tc>
                <w:tcPr>
                  <w:tcW w:w="1388" w:type="pct"/>
                  <w:noWrap w:val="0"/>
                  <w:vAlign w:val="center"/>
                </w:tcPr>
                <w:p w14:paraId="3D1D6811">
                  <w:pPr>
                    <w:autoSpaceDE w:val="0"/>
                    <w:autoSpaceDN w:val="0"/>
                    <w:adjustRightInd w:val="0"/>
                    <w:spacing w:line="276" w:lineRule="auto"/>
                    <w:jc w:val="center"/>
                    <w:rPr>
                      <w:bCs/>
                      <w:szCs w:val="21"/>
                    </w:rPr>
                  </w:pPr>
                  <w:r>
                    <w:rPr>
                      <w:rFonts w:hint="eastAsia"/>
                      <w:bCs/>
                      <w:szCs w:val="21"/>
                    </w:rPr>
                    <w:t>二氧化硫</w:t>
                  </w:r>
                </w:p>
              </w:tc>
              <w:tc>
                <w:tcPr>
                  <w:tcW w:w="1112" w:type="pct"/>
                  <w:noWrap w:val="0"/>
                  <w:vAlign w:val="center"/>
                </w:tcPr>
                <w:p w14:paraId="02DC7F7B">
                  <w:pPr>
                    <w:autoSpaceDE w:val="0"/>
                    <w:autoSpaceDN w:val="0"/>
                    <w:adjustRightInd w:val="0"/>
                    <w:spacing w:line="276" w:lineRule="auto"/>
                    <w:jc w:val="center"/>
                    <w:rPr>
                      <w:bCs/>
                      <w:szCs w:val="21"/>
                    </w:rPr>
                  </w:pPr>
                  <w:r>
                    <w:rPr>
                      <w:bCs/>
                      <w:szCs w:val="21"/>
                    </w:rPr>
                    <w:t>氟化物</w:t>
                  </w:r>
                </w:p>
              </w:tc>
            </w:tr>
            <w:tr w14:paraId="7850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pct"/>
                  <w:noWrap w:val="0"/>
                  <w:vAlign w:val="center"/>
                </w:tcPr>
                <w:p w14:paraId="18CC5079">
                  <w:pPr>
                    <w:autoSpaceDE w:val="0"/>
                    <w:autoSpaceDN w:val="0"/>
                    <w:adjustRightInd w:val="0"/>
                    <w:spacing w:line="276" w:lineRule="auto"/>
                    <w:jc w:val="center"/>
                    <w:rPr>
                      <w:bCs/>
                      <w:szCs w:val="21"/>
                    </w:rPr>
                  </w:pPr>
                  <w:r>
                    <w:rPr>
                      <w:bCs/>
                      <w:szCs w:val="21"/>
                    </w:rPr>
                    <w:t>企业边界</w:t>
                  </w:r>
                </w:p>
              </w:tc>
              <w:tc>
                <w:tcPr>
                  <w:tcW w:w="1112" w:type="pct"/>
                  <w:noWrap w:val="0"/>
                  <w:vAlign w:val="center"/>
                </w:tcPr>
                <w:p w14:paraId="78E30E37">
                  <w:pPr>
                    <w:autoSpaceDE w:val="0"/>
                    <w:autoSpaceDN w:val="0"/>
                    <w:adjustRightInd w:val="0"/>
                    <w:spacing w:line="276" w:lineRule="auto"/>
                    <w:jc w:val="center"/>
                    <w:rPr>
                      <w:bCs/>
                      <w:szCs w:val="21"/>
                    </w:rPr>
                  </w:pPr>
                  <w:r>
                    <w:rPr>
                      <w:rFonts w:hint="eastAsia"/>
                      <w:bCs/>
                      <w:szCs w:val="21"/>
                    </w:rPr>
                    <w:t>1.0</w:t>
                  </w:r>
                </w:p>
              </w:tc>
              <w:tc>
                <w:tcPr>
                  <w:tcW w:w="1388" w:type="pct"/>
                  <w:noWrap w:val="0"/>
                  <w:vAlign w:val="center"/>
                </w:tcPr>
                <w:p w14:paraId="18CDDEF8">
                  <w:pPr>
                    <w:autoSpaceDE w:val="0"/>
                    <w:autoSpaceDN w:val="0"/>
                    <w:adjustRightInd w:val="0"/>
                    <w:spacing w:line="276" w:lineRule="auto"/>
                    <w:jc w:val="center"/>
                    <w:rPr>
                      <w:bCs/>
                      <w:szCs w:val="21"/>
                    </w:rPr>
                  </w:pPr>
                  <w:r>
                    <w:rPr>
                      <w:rFonts w:hint="eastAsia"/>
                      <w:bCs/>
                      <w:szCs w:val="21"/>
                    </w:rPr>
                    <w:t>0.5</w:t>
                  </w:r>
                </w:p>
              </w:tc>
              <w:tc>
                <w:tcPr>
                  <w:tcW w:w="1112" w:type="pct"/>
                  <w:noWrap w:val="0"/>
                  <w:vAlign w:val="center"/>
                </w:tcPr>
                <w:p w14:paraId="1C733433">
                  <w:pPr>
                    <w:autoSpaceDE w:val="0"/>
                    <w:autoSpaceDN w:val="0"/>
                    <w:adjustRightInd w:val="0"/>
                    <w:spacing w:line="276" w:lineRule="auto"/>
                    <w:jc w:val="center"/>
                    <w:rPr>
                      <w:bCs/>
                      <w:szCs w:val="21"/>
                    </w:rPr>
                  </w:pPr>
                  <w:r>
                    <w:rPr>
                      <w:rFonts w:hint="eastAsia"/>
                      <w:bCs/>
                      <w:szCs w:val="21"/>
                    </w:rPr>
                    <w:t>0.02</w:t>
                  </w:r>
                </w:p>
              </w:tc>
            </w:tr>
          </w:tbl>
          <w:p w14:paraId="3DF87FD9">
            <w:pPr>
              <w:spacing w:line="480" w:lineRule="exact"/>
              <w:ind w:firstLine="472" w:firstLineChars="196"/>
              <w:rPr>
                <w:rFonts w:hint="eastAsia"/>
                <w:b/>
                <w:sz w:val="24"/>
              </w:rPr>
            </w:pPr>
          </w:p>
          <w:p w14:paraId="6A4C68FC">
            <w:pPr>
              <w:spacing w:line="480" w:lineRule="exact"/>
              <w:ind w:firstLine="470" w:firstLineChars="196"/>
              <w:rPr>
                <w:rFonts w:hint="eastAsia" w:ascii="黑体" w:hAnsi="黑体" w:eastAsia="黑体" w:cs="黑体"/>
                <w:bCs/>
                <w:sz w:val="24"/>
              </w:rPr>
            </w:pPr>
            <w:r>
              <w:rPr>
                <w:rFonts w:hint="eastAsia" w:ascii="黑体" w:hAnsi="黑体" w:eastAsia="黑体" w:cs="黑体"/>
                <w:bCs/>
                <w:sz w:val="24"/>
              </w:rPr>
              <w:t>2、噪声</w:t>
            </w:r>
          </w:p>
          <w:p w14:paraId="5C0361A6">
            <w:pPr>
              <w:autoSpaceDE w:val="0"/>
              <w:autoSpaceDN w:val="0"/>
              <w:spacing w:line="480" w:lineRule="exact"/>
              <w:ind w:firstLine="480" w:firstLineChars="200"/>
              <w:rPr>
                <w:sz w:val="24"/>
              </w:rPr>
            </w:pPr>
            <w:r>
              <w:rPr>
                <w:sz w:val="24"/>
              </w:rPr>
              <w:t>项目运营期各厂界噪声执行《工业企业厂界环境噪声排放标准》(</w:t>
            </w:r>
            <w:r>
              <w:rPr>
                <w:rFonts w:eastAsia="Noto Sans CJK JP Regular"/>
                <w:sz w:val="24"/>
              </w:rPr>
              <w:t>GB12348-2008</w:t>
            </w:r>
            <w:r>
              <w:rPr>
                <w:sz w:val="24"/>
              </w:rPr>
              <w:t>)中</w:t>
            </w:r>
            <w:r>
              <w:rPr>
                <w:rFonts w:hint="eastAsia"/>
                <w:sz w:val="24"/>
              </w:rPr>
              <w:t>2</w:t>
            </w:r>
            <w:r>
              <w:rPr>
                <w:sz w:val="24"/>
              </w:rPr>
              <w:t>类标准。具体详见下表。</w:t>
            </w:r>
          </w:p>
          <w:p w14:paraId="4725F837">
            <w:pPr>
              <w:spacing w:line="480" w:lineRule="exact"/>
              <w:jc w:val="center"/>
              <w:rPr>
                <w:rFonts w:hint="eastAsia" w:ascii="黑体" w:hAnsi="黑体" w:eastAsia="黑体" w:cs="黑体"/>
                <w:bCs/>
                <w:sz w:val="24"/>
              </w:rPr>
            </w:pPr>
            <w:r>
              <w:rPr>
                <w:rFonts w:hint="eastAsia" w:ascii="黑体" w:hAnsi="黑体" w:eastAsia="黑体" w:cs="黑体"/>
                <w:bCs/>
                <w:sz w:val="24"/>
              </w:rPr>
              <w:t xml:space="preserve">表3-6  工业企业厂界环境噪声排放标准  </w:t>
            </w:r>
            <w:r>
              <w:rPr>
                <w:rFonts w:hint="eastAsia" w:ascii="黑体" w:hAnsi="黑体" w:eastAsia="黑体" w:cs="黑体"/>
                <w:sz w:val="24"/>
              </w:rPr>
              <w:t>单位：dB(A)</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2081"/>
              <w:gridCol w:w="2082"/>
            </w:tblGrid>
            <w:tr w14:paraId="50A3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 w:hRule="atLeast"/>
              </w:trPr>
              <w:tc>
                <w:tcPr>
                  <w:tcW w:w="2497" w:type="pct"/>
                  <w:vMerge w:val="restart"/>
                  <w:noWrap w:val="0"/>
                  <w:vAlign w:val="center"/>
                </w:tcPr>
                <w:p w14:paraId="02A6C5C6">
                  <w:pPr>
                    <w:spacing w:line="276" w:lineRule="auto"/>
                    <w:jc w:val="center"/>
                    <w:rPr>
                      <w:bCs/>
                      <w:szCs w:val="21"/>
                    </w:rPr>
                  </w:pPr>
                  <w:r>
                    <w:rPr>
                      <w:bCs/>
                      <w:szCs w:val="21"/>
                    </w:rPr>
                    <w:t>标准名称</w:t>
                  </w:r>
                </w:p>
              </w:tc>
              <w:tc>
                <w:tcPr>
                  <w:tcW w:w="2503" w:type="pct"/>
                  <w:gridSpan w:val="2"/>
                  <w:noWrap w:val="0"/>
                  <w:vAlign w:val="center"/>
                </w:tcPr>
                <w:p w14:paraId="66541345">
                  <w:pPr>
                    <w:spacing w:line="276" w:lineRule="auto"/>
                    <w:jc w:val="center"/>
                    <w:rPr>
                      <w:bCs/>
                      <w:szCs w:val="21"/>
                    </w:rPr>
                  </w:pPr>
                  <w:r>
                    <w:rPr>
                      <w:bCs/>
                      <w:szCs w:val="21"/>
                    </w:rPr>
                    <w:t>标准值</w:t>
                  </w:r>
                </w:p>
              </w:tc>
            </w:tr>
            <w:tr w14:paraId="7747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2497" w:type="pct"/>
                  <w:vMerge w:val="continue"/>
                  <w:noWrap w:val="0"/>
                  <w:vAlign w:val="center"/>
                </w:tcPr>
                <w:p w14:paraId="4C462D75">
                  <w:pPr>
                    <w:spacing w:line="276" w:lineRule="auto"/>
                    <w:jc w:val="center"/>
                    <w:rPr>
                      <w:bCs/>
                      <w:szCs w:val="21"/>
                    </w:rPr>
                  </w:pPr>
                </w:p>
              </w:tc>
              <w:tc>
                <w:tcPr>
                  <w:tcW w:w="1251" w:type="pct"/>
                  <w:noWrap w:val="0"/>
                  <w:vAlign w:val="center"/>
                </w:tcPr>
                <w:p w14:paraId="390B1A9D">
                  <w:pPr>
                    <w:spacing w:line="276" w:lineRule="auto"/>
                    <w:jc w:val="center"/>
                    <w:rPr>
                      <w:bCs/>
                      <w:szCs w:val="21"/>
                    </w:rPr>
                  </w:pPr>
                  <w:r>
                    <w:rPr>
                      <w:bCs/>
                      <w:szCs w:val="21"/>
                    </w:rPr>
                    <w:t>昼间</w:t>
                  </w:r>
                </w:p>
              </w:tc>
              <w:tc>
                <w:tcPr>
                  <w:tcW w:w="1251" w:type="pct"/>
                  <w:noWrap w:val="0"/>
                  <w:vAlign w:val="center"/>
                </w:tcPr>
                <w:p w14:paraId="69D10235">
                  <w:pPr>
                    <w:spacing w:line="276" w:lineRule="auto"/>
                    <w:jc w:val="center"/>
                    <w:rPr>
                      <w:bCs/>
                      <w:szCs w:val="21"/>
                    </w:rPr>
                  </w:pPr>
                  <w:r>
                    <w:rPr>
                      <w:bCs/>
                      <w:szCs w:val="21"/>
                    </w:rPr>
                    <w:t>夜间</w:t>
                  </w:r>
                </w:p>
              </w:tc>
            </w:tr>
            <w:tr w14:paraId="4E7A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7" w:type="pct"/>
                  <w:noWrap w:val="0"/>
                  <w:vAlign w:val="center"/>
                </w:tcPr>
                <w:p w14:paraId="55CA8961">
                  <w:pPr>
                    <w:spacing w:line="276" w:lineRule="auto"/>
                    <w:jc w:val="center"/>
                    <w:rPr>
                      <w:bCs/>
                      <w:szCs w:val="21"/>
                    </w:rPr>
                  </w:pPr>
                  <w:r>
                    <w:rPr>
                      <w:bCs/>
                      <w:szCs w:val="21"/>
                    </w:rPr>
                    <w:t>(GB12348-2008)中</w:t>
                  </w:r>
                  <w:r>
                    <w:rPr>
                      <w:rFonts w:hint="eastAsia"/>
                      <w:bCs/>
                      <w:szCs w:val="21"/>
                    </w:rPr>
                    <w:t>2</w:t>
                  </w:r>
                  <w:r>
                    <w:rPr>
                      <w:bCs/>
                      <w:szCs w:val="21"/>
                    </w:rPr>
                    <w:t>类标准</w:t>
                  </w:r>
                </w:p>
              </w:tc>
              <w:tc>
                <w:tcPr>
                  <w:tcW w:w="1251" w:type="pct"/>
                  <w:noWrap w:val="0"/>
                  <w:vAlign w:val="center"/>
                </w:tcPr>
                <w:p w14:paraId="7394208B">
                  <w:pPr>
                    <w:spacing w:line="276" w:lineRule="auto"/>
                    <w:jc w:val="center"/>
                    <w:rPr>
                      <w:bCs/>
                      <w:szCs w:val="21"/>
                    </w:rPr>
                  </w:pPr>
                  <w:r>
                    <w:rPr>
                      <w:bCs/>
                      <w:szCs w:val="21"/>
                    </w:rPr>
                    <w:t>6</w:t>
                  </w:r>
                  <w:r>
                    <w:rPr>
                      <w:rFonts w:hint="eastAsia"/>
                      <w:bCs/>
                      <w:szCs w:val="21"/>
                    </w:rPr>
                    <w:t>0</w:t>
                  </w:r>
                </w:p>
              </w:tc>
              <w:tc>
                <w:tcPr>
                  <w:tcW w:w="1251" w:type="pct"/>
                  <w:noWrap w:val="0"/>
                  <w:vAlign w:val="center"/>
                </w:tcPr>
                <w:p w14:paraId="39D72CF5">
                  <w:pPr>
                    <w:spacing w:line="276" w:lineRule="auto"/>
                    <w:jc w:val="center"/>
                    <w:rPr>
                      <w:bCs/>
                      <w:szCs w:val="21"/>
                    </w:rPr>
                  </w:pPr>
                  <w:r>
                    <w:rPr>
                      <w:rFonts w:hint="eastAsia"/>
                      <w:bCs/>
                      <w:szCs w:val="21"/>
                    </w:rPr>
                    <w:t>50</w:t>
                  </w:r>
                </w:p>
              </w:tc>
            </w:tr>
          </w:tbl>
          <w:p w14:paraId="1E56F21E">
            <w:pPr>
              <w:spacing w:line="360" w:lineRule="auto"/>
              <w:ind w:firstLine="480" w:firstLineChars="200"/>
              <w:rPr>
                <w:rFonts w:hint="eastAsia" w:ascii="黑体" w:hAnsi="黑体" w:eastAsia="黑体" w:cs="黑体"/>
                <w:bCs/>
                <w:sz w:val="24"/>
              </w:rPr>
            </w:pPr>
          </w:p>
          <w:p w14:paraId="408D773C">
            <w:pPr>
              <w:spacing w:line="360" w:lineRule="auto"/>
              <w:ind w:firstLine="480" w:firstLineChars="200"/>
              <w:rPr>
                <w:rFonts w:hint="eastAsia" w:ascii="黑体" w:hAnsi="黑体" w:eastAsia="黑体" w:cs="黑体"/>
                <w:bCs/>
                <w:sz w:val="24"/>
              </w:rPr>
            </w:pPr>
            <w:r>
              <w:rPr>
                <w:rFonts w:hint="eastAsia" w:ascii="黑体" w:hAnsi="黑体" w:eastAsia="黑体" w:cs="黑体"/>
                <w:bCs/>
                <w:sz w:val="24"/>
              </w:rPr>
              <w:t>3、固体废物</w:t>
            </w:r>
          </w:p>
          <w:p w14:paraId="67CB5636">
            <w:pPr>
              <w:adjustRightInd w:val="0"/>
              <w:spacing w:line="440" w:lineRule="exact"/>
              <w:ind w:firstLine="480" w:firstLineChars="200"/>
              <w:rPr>
                <w:rFonts w:hint="eastAsia"/>
                <w:kern w:val="0"/>
                <w:sz w:val="24"/>
              </w:rPr>
            </w:pPr>
            <w:r>
              <w:rPr>
                <w:sz w:val="24"/>
              </w:rPr>
              <w:t>一般工业固体废物参照执行《一般工业固体废物贮存和填埋污染控制标准》(GB18599-2020)中有关规定；危险废物贮存执行《危险废物贮存污染控制标准》(GB18597-2023)。</w:t>
            </w:r>
          </w:p>
        </w:tc>
      </w:tr>
      <w:tr w14:paraId="178CA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14:paraId="20B8FB16">
            <w:pPr>
              <w:adjustRightInd w:val="0"/>
              <w:spacing w:line="440" w:lineRule="exact"/>
              <w:jc w:val="center"/>
            </w:pPr>
            <w:r>
              <w:rPr>
                <w:sz w:val="24"/>
                <w:szCs w:val="32"/>
              </w:rPr>
              <w:t>总量控制指标</w:t>
            </w:r>
          </w:p>
        </w:tc>
        <w:tc>
          <w:tcPr>
            <w:tcW w:w="8542" w:type="dxa"/>
            <w:noWrap w:val="0"/>
            <w:vAlign w:val="center"/>
          </w:tcPr>
          <w:p w14:paraId="04700675">
            <w:pPr>
              <w:pStyle w:val="152"/>
              <w:spacing w:line="480" w:lineRule="exact"/>
              <w:ind w:left="0" w:firstLine="480" w:firstLineChars="200"/>
              <w:rPr>
                <w:rFonts w:ascii="Times New Roman" w:hAnsi="Times New Roman" w:cs="Times New Roman"/>
                <w:snapToGrid w:val="0"/>
                <w:sz w:val="24"/>
                <w:szCs w:val="24"/>
              </w:rPr>
            </w:pPr>
            <w:r>
              <w:rPr>
                <w:rFonts w:ascii="Times New Roman" w:hAnsi="Times New Roman" w:cs="Times New Roman"/>
                <w:snapToGrid w:val="0"/>
                <w:sz w:val="24"/>
                <w:szCs w:val="24"/>
              </w:rPr>
              <w:t>根据“安徽省环保厅关于进一步加强建设项目新增大气主要污染物总量指标管理工作的通知”中有关规定，大气主要污染物总量指标从两项增加为四项，在SO</w:t>
            </w:r>
            <w:r>
              <w:rPr>
                <w:rFonts w:ascii="Times New Roman" w:hAnsi="Times New Roman" w:cs="Times New Roman"/>
                <w:snapToGrid w:val="0"/>
                <w:sz w:val="24"/>
                <w:szCs w:val="24"/>
                <w:vertAlign w:val="subscript"/>
              </w:rPr>
              <w:t>2</w:t>
            </w:r>
            <w:r>
              <w:rPr>
                <w:rFonts w:ascii="Times New Roman" w:hAnsi="Times New Roman" w:cs="Times New Roman"/>
                <w:snapToGrid w:val="0"/>
                <w:sz w:val="24"/>
                <w:szCs w:val="24"/>
              </w:rPr>
              <w:t>、NO</w:t>
            </w:r>
            <w:r>
              <w:rPr>
                <w:rFonts w:ascii="Times New Roman" w:hAnsi="Times New Roman" w:cs="Times New Roman"/>
                <w:snapToGrid w:val="0"/>
                <w:sz w:val="24"/>
                <w:szCs w:val="24"/>
                <w:vertAlign w:val="subscript"/>
              </w:rPr>
              <w:t>x</w:t>
            </w:r>
            <w:r>
              <w:rPr>
                <w:rFonts w:ascii="Times New Roman" w:hAnsi="Times New Roman" w:cs="Times New Roman"/>
                <w:snapToGrid w:val="0"/>
                <w:sz w:val="24"/>
                <w:szCs w:val="24"/>
              </w:rPr>
              <w:t>的基础上增加烟(粉)尘、挥发性有机物(VOCs)两项指标。</w:t>
            </w:r>
          </w:p>
          <w:p w14:paraId="40E91474">
            <w:pPr>
              <w:pStyle w:val="152"/>
              <w:spacing w:line="480" w:lineRule="exact"/>
              <w:ind w:left="0" w:firstLine="480" w:firstLineChars="200"/>
              <w:rPr>
                <w:rFonts w:hint="eastAsia" w:ascii="Times New Roman" w:hAnsi="Times New Roman" w:cs="Times New Roman"/>
                <w:snapToGrid w:val="0"/>
                <w:color w:val="000000"/>
                <w:sz w:val="24"/>
                <w:szCs w:val="24"/>
                <w:highlight w:val="none"/>
                <w:lang w:eastAsia="zh-CN"/>
              </w:rPr>
            </w:pPr>
            <w:r>
              <w:rPr>
                <w:rFonts w:ascii="Times New Roman" w:hAnsi="Times New Roman" w:cs="Times New Roman"/>
                <w:snapToGrid w:val="0"/>
                <w:color w:val="000000"/>
                <w:sz w:val="24"/>
                <w:szCs w:val="24"/>
                <w:highlight w:val="none"/>
              </w:rPr>
              <w:t>废气：</w:t>
            </w:r>
            <w:r>
              <w:rPr>
                <w:rFonts w:hint="eastAsia" w:ascii="Times New Roman" w:hAnsi="Times New Roman" w:cs="Times New Roman"/>
                <w:snapToGrid w:val="0"/>
                <w:color w:val="000000"/>
                <w:sz w:val="24"/>
                <w:szCs w:val="24"/>
                <w:highlight w:val="none"/>
                <w:lang w:val="en-US" w:eastAsia="zh-CN"/>
              </w:rPr>
              <w:t>根据现有项目环评核算结果</w:t>
            </w:r>
            <w:r>
              <w:rPr>
                <w:rFonts w:ascii="Times New Roman" w:hAnsi="Times New Roman" w:cs="Times New Roman"/>
                <w:snapToGrid w:val="0"/>
                <w:color w:val="000000"/>
                <w:sz w:val="24"/>
                <w:szCs w:val="24"/>
                <w:highlight w:val="none"/>
              </w:rPr>
              <w:t>，颗粒物有组织排放量为</w:t>
            </w:r>
            <w:r>
              <w:rPr>
                <w:rFonts w:hint="eastAsia" w:ascii="Times New Roman" w:hAnsi="Times New Roman" w:cs="Times New Roman"/>
                <w:snapToGrid w:val="0"/>
                <w:color w:val="000000"/>
                <w:sz w:val="24"/>
                <w:szCs w:val="24"/>
                <w:highlight w:val="none"/>
                <w:lang w:val="en-US" w:eastAsia="zh-CN"/>
              </w:rPr>
              <w:t>9.9</w:t>
            </w:r>
            <w:r>
              <w:rPr>
                <w:rFonts w:ascii="Times New Roman" w:hAnsi="Times New Roman" w:cs="Times New Roman"/>
                <w:snapToGrid w:val="0"/>
                <w:color w:val="000000"/>
                <w:sz w:val="24"/>
                <w:szCs w:val="24"/>
                <w:highlight w:val="none"/>
              </w:rPr>
              <w:t>t/a；SO</w:t>
            </w:r>
            <w:r>
              <w:rPr>
                <w:rFonts w:ascii="Times New Roman" w:hAnsi="Times New Roman" w:cs="Times New Roman"/>
                <w:snapToGrid w:val="0"/>
                <w:color w:val="000000"/>
                <w:sz w:val="24"/>
                <w:szCs w:val="24"/>
                <w:highlight w:val="none"/>
                <w:vertAlign w:val="subscript"/>
              </w:rPr>
              <w:t>2</w:t>
            </w:r>
            <w:r>
              <w:rPr>
                <w:rFonts w:ascii="Times New Roman" w:hAnsi="Times New Roman" w:cs="Times New Roman"/>
                <w:snapToGrid w:val="0"/>
                <w:color w:val="000000"/>
                <w:sz w:val="24"/>
                <w:szCs w:val="24"/>
                <w:highlight w:val="none"/>
              </w:rPr>
              <w:t>有组织排放量为</w:t>
            </w:r>
            <w:r>
              <w:rPr>
                <w:rFonts w:hint="eastAsia" w:ascii="Times New Roman" w:hAnsi="Times New Roman" w:cs="Times New Roman"/>
                <w:snapToGrid w:val="0"/>
                <w:color w:val="000000"/>
                <w:sz w:val="24"/>
                <w:szCs w:val="24"/>
                <w:highlight w:val="none"/>
                <w:lang w:val="en-US" w:eastAsia="zh-CN"/>
              </w:rPr>
              <w:t>108.86</w:t>
            </w:r>
            <w:r>
              <w:rPr>
                <w:rFonts w:ascii="Times New Roman" w:hAnsi="Times New Roman" w:cs="Times New Roman"/>
                <w:snapToGrid w:val="0"/>
                <w:color w:val="000000"/>
                <w:sz w:val="24"/>
                <w:szCs w:val="24"/>
                <w:highlight w:val="none"/>
              </w:rPr>
              <w:t>t/a；NO</w:t>
            </w:r>
            <w:r>
              <w:rPr>
                <w:rFonts w:ascii="Times New Roman" w:hAnsi="Times New Roman" w:cs="Times New Roman"/>
                <w:snapToGrid w:val="0"/>
                <w:color w:val="000000"/>
                <w:sz w:val="24"/>
                <w:szCs w:val="24"/>
                <w:highlight w:val="none"/>
                <w:vertAlign w:val="subscript"/>
              </w:rPr>
              <w:t>x</w:t>
            </w:r>
            <w:r>
              <w:rPr>
                <w:rFonts w:ascii="Times New Roman" w:hAnsi="Times New Roman" w:cs="Times New Roman"/>
                <w:snapToGrid w:val="0"/>
                <w:color w:val="000000"/>
                <w:sz w:val="24"/>
                <w:szCs w:val="24"/>
                <w:highlight w:val="none"/>
              </w:rPr>
              <w:t>有组织排放量为</w:t>
            </w:r>
            <w:r>
              <w:rPr>
                <w:rFonts w:hint="eastAsia" w:ascii="Times New Roman" w:hAnsi="Times New Roman" w:cs="Times New Roman"/>
                <w:snapToGrid w:val="0"/>
                <w:color w:val="000000"/>
                <w:sz w:val="24"/>
                <w:szCs w:val="24"/>
                <w:highlight w:val="none"/>
                <w:lang w:val="en-US" w:eastAsia="zh-CN"/>
              </w:rPr>
              <w:t>179.55</w:t>
            </w:r>
            <w:r>
              <w:rPr>
                <w:rFonts w:ascii="Times New Roman" w:hAnsi="Times New Roman" w:cs="Times New Roman"/>
                <w:snapToGrid w:val="0"/>
                <w:color w:val="000000"/>
                <w:sz w:val="24"/>
                <w:szCs w:val="24"/>
                <w:highlight w:val="none"/>
              </w:rPr>
              <w:t>t/a</w:t>
            </w:r>
            <w:r>
              <w:rPr>
                <w:rFonts w:hint="eastAsia" w:ascii="Times New Roman" w:hAnsi="Times New Roman" w:cs="Times New Roman"/>
                <w:snapToGrid w:val="0"/>
                <w:color w:val="000000"/>
                <w:sz w:val="24"/>
                <w:szCs w:val="24"/>
                <w:highlight w:val="none"/>
                <w:lang w:eastAsia="zh-CN"/>
              </w:rPr>
              <w:t>。</w:t>
            </w:r>
          </w:p>
          <w:p w14:paraId="24BA24BB">
            <w:pPr>
              <w:pStyle w:val="152"/>
              <w:spacing w:line="480" w:lineRule="exact"/>
              <w:ind w:left="0" w:firstLine="480" w:firstLineChars="200"/>
              <w:rPr>
                <w:rFonts w:ascii="Times New Roman" w:hAnsi="Times New Roman" w:cs="Times New Roman"/>
                <w:snapToGrid w:val="0"/>
                <w:color w:val="000000"/>
                <w:sz w:val="24"/>
                <w:szCs w:val="24"/>
                <w:highlight w:val="none"/>
              </w:rPr>
            </w:pPr>
            <w:r>
              <w:rPr>
                <w:rFonts w:ascii="Times New Roman" w:hAnsi="Times New Roman" w:cs="Times New Roman"/>
                <w:snapToGrid w:val="0"/>
                <w:color w:val="000000"/>
                <w:sz w:val="24"/>
                <w:szCs w:val="24"/>
                <w:highlight w:val="none"/>
              </w:rPr>
              <w:t>本次项目扩建完成后，全厂颗粒物有组织排放量为</w:t>
            </w:r>
            <w:r>
              <w:rPr>
                <w:rFonts w:hint="eastAsia" w:ascii="Times New Roman" w:hAnsi="Times New Roman" w:cs="Times New Roman"/>
                <w:snapToGrid w:val="0"/>
                <w:color w:val="000000"/>
                <w:sz w:val="24"/>
                <w:szCs w:val="24"/>
                <w:highlight w:val="none"/>
                <w:lang w:val="en-US" w:eastAsia="zh-CN"/>
              </w:rPr>
              <w:t>9.21</w:t>
            </w:r>
            <w:r>
              <w:rPr>
                <w:rFonts w:ascii="Times New Roman" w:hAnsi="Times New Roman" w:cs="Times New Roman"/>
                <w:snapToGrid w:val="0"/>
                <w:color w:val="000000"/>
                <w:sz w:val="24"/>
                <w:szCs w:val="24"/>
                <w:highlight w:val="none"/>
              </w:rPr>
              <w:t>t/a；SO</w:t>
            </w:r>
            <w:r>
              <w:rPr>
                <w:rFonts w:ascii="Times New Roman" w:hAnsi="Times New Roman" w:cs="Times New Roman"/>
                <w:snapToGrid w:val="0"/>
                <w:color w:val="000000"/>
                <w:sz w:val="24"/>
                <w:szCs w:val="24"/>
                <w:highlight w:val="none"/>
                <w:vertAlign w:val="subscript"/>
              </w:rPr>
              <w:t>2</w:t>
            </w:r>
            <w:r>
              <w:rPr>
                <w:rFonts w:ascii="Times New Roman" w:hAnsi="Times New Roman" w:cs="Times New Roman"/>
                <w:snapToGrid w:val="0"/>
                <w:color w:val="000000"/>
                <w:sz w:val="24"/>
                <w:szCs w:val="24"/>
                <w:highlight w:val="none"/>
              </w:rPr>
              <w:t>有组织排放量为</w:t>
            </w:r>
            <w:r>
              <w:rPr>
                <w:rFonts w:hint="eastAsia" w:ascii="Times New Roman" w:hAnsi="Times New Roman" w:cs="Times New Roman"/>
                <w:snapToGrid w:val="0"/>
                <w:color w:val="000000"/>
                <w:sz w:val="24"/>
                <w:szCs w:val="24"/>
                <w:highlight w:val="none"/>
                <w:lang w:val="en-US" w:eastAsia="zh-CN"/>
              </w:rPr>
              <w:t>63.1</w:t>
            </w:r>
            <w:r>
              <w:rPr>
                <w:rFonts w:ascii="Times New Roman" w:hAnsi="Times New Roman" w:cs="Times New Roman"/>
                <w:snapToGrid w:val="0"/>
                <w:color w:val="000000"/>
                <w:sz w:val="24"/>
                <w:szCs w:val="24"/>
                <w:highlight w:val="none"/>
              </w:rPr>
              <w:t>t/a；NO</w:t>
            </w:r>
            <w:r>
              <w:rPr>
                <w:rFonts w:ascii="Times New Roman" w:hAnsi="Times New Roman" w:cs="Times New Roman"/>
                <w:snapToGrid w:val="0"/>
                <w:color w:val="000000"/>
                <w:sz w:val="24"/>
                <w:szCs w:val="24"/>
                <w:highlight w:val="none"/>
                <w:vertAlign w:val="subscript"/>
              </w:rPr>
              <w:t>x</w:t>
            </w:r>
            <w:r>
              <w:rPr>
                <w:rFonts w:ascii="Times New Roman" w:hAnsi="Times New Roman" w:cs="Times New Roman"/>
                <w:snapToGrid w:val="0"/>
                <w:color w:val="000000"/>
                <w:sz w:val="24"/>
                <w:szCs w:val="24"/>
                <w:highlight w:val="none"/>
              </w:rPr>
              <w:t>有组织排放量为</w:t>
            </w:r>
            <w:r>
              <w:rPr>
                <w:rFonts w:hint="eastAsia" w:ascii="Times New Roman" w:hAnsi="Times New Roman" w:cs="Times New Roman"/>
                <w:snapToGrid w:val="0"/>
                <w:color w:val="000000"/>
                <w:sz w:val="24"/>
                <w:szCs w:val="24"/>
                <w:highlight w:val="none"/>
                <w:lang w:val="en-US" w:eastAsia="zh-CN"/>
              </w:rPr>
              <w:t>37.6</w:t>
            </w:r>
            <w:r>
              <w:rPr>
                <w:rFonts w:ascii="Times New Roman" w:hAnsi="Times New Roman" w:cs="Times New Roman"/>
                <w:snapToGrid w:val="0"/>
                <w:color w:val="000000"/>
                <w:sz w:val="24"/>
                <w:szCs w:val="24"/>
                <w:highlight w:val="none"/>
              </w:rPr>
              <w:t>t/a。</w:t>
            </w:r>
            <w:r>
              <w:rPr>
                <w:rFonts w:hint="eastAsia" w:ascii="Times New Roman" w:hAnsi="Times New Roman" w:cs="Times New Roman"/>
                <w:snapToGrid w:val="0"/>
                <w:color w:val="000000"/>
                <w:sz w:val="24"/>
                <w:szCs w:val="24"/>
                <w:highlight w:val="none"/>
                <w:lang w:val="en-US" w:eastAsia="zh-CN"/>
              </w:rPr>
              <w:t>故本项目废气无需额外申请总量</w:t>
            </w:r>
            <w:r>
              <w:rPr>
                <w:rFonts w:ascii="Times New Roman" w:hAnsi="Times New Roman" w:cs="Times New Roman"/>
                <w:snapToGrid w:val="0"/>
                <w:color w:val="000000"/>
                <w:sz w:val="24"/>
                <w:szCs w:val="24"/>
                <w:highlight w:val="none"/>
              </w:rPr>
              <w:t>。</w:t>
            </w:r>
          </w:p>
          <w:p w14:paraId="7C82A342">
            <w:pPr>
              <w:pStyle w:val="152"/>
              <w:spacing w:line="480" w:lineRule="exact"/>
              <w:ind w:left="0" w:firstLine="480" w:firstLineChars="200"/>
              <w:rPr>
                <w:rFonts w:ascii="Times New Roman" w:hAnsi="Times New Roman" w:cs="Times New Roman"/>
                <w:bCs/>
                <w:color w:val="000000"/>
                <w:sz w:val="24"/>
                <w:szCs w:val="24"/>
                <w:highlight w:val="none"/>
              </w:rPr>
            </w:pPr>
            <w:r>
              <w:rPr>
                <w:rFonts w:ascii="Times New Roman" w:hAnsi="Times New Roman" w:cs="Times New Roman"/>
                <w:snapToGrid w:val="0"/>
                <w:color w:val="000000"/>
                <w:sz w:val="24"/>
                <w:szCs w:val="24"/>
                <w:highlight w:val="none"/>
              </w:rPr>
              <w:t>废水：本项目废水不外排，无需申请废水总量指标。</w:t>
            </w:r>
          </w:p>
          <w:p w14:paraId="2D71BD43">
            <w:pPr>
              <w:adjustRightInd w:val="0"/>
              <w:spacing w:line="440" w:lineRule="exact"/>
              <w:rPr>
                <w:rFonts w:hint="eastAsia"/>
                <w:kern w:val="0"/>
                <w:sz w:val="24"/>
              </w:rPr>
            </w:pPr>
          </w:p>
          <w:p w14:paraId="0E6DCDAA">
            <w:pPr>
              <w:adjustRightInd w:val="0"/>
              <w:spacing w:line="440" w:lineRule="exact"/>
              <w:rPr>
                <w:rFonts w:hint="eastAsia"/>
                <w:kern w:val="0"/>
                <w:sz w:val="24"/>
              </w:rPr>
            </w:pPr>
          </w:p>
          <w:p w14:paraId="3DF2F57B">
            <w:pPr>
              <w:adjustRightInd w:val="0"/>
              <w:spacing w:line="440" w:lineRule="exact"/>
              <w:rPr>
                <w:rFonts w:hint="eastAsia"/>
                <w:kern w:val="0"/>
                <w:sz w:val="24"/>
              </w:rPr>
            </w:pPr>
          </w:p>
          <w:p w14:paraId="414BB13A">
            <w:pPr>
              <w:adjustRightInd w:val="0"/>
              <w:spacing w:line="440" w:lineRule="exact"/>
              <w:rPr>
                <w:rFonts w:hint="eastAsia"/>
                <w:kern w:val="0"/>
                <w:sz w:val="24"/>
              </w:rPr>
            </w:pPr>
          </w:p>
          <w:p w14:paraId="550B1395">
            <w:pPr>
              <w:adjustRightInd w:val="0"/>
              <w:spacing w:line="440" w:lineRule="exact"/>
              <w:rPr>
                <w:rFonts w:hint="eastAsia"/>
                <w:kern w:val="0"/>
                <w:sz w:val="24"/>
              </w:rPr>
            </w:pPr>
          </w:p>
          <w:p w14:paraId="6B46C4AF">
            <w:pPr>
              <w:adjustRightInd w:val="0"/>
              <w:spacing w:line="440" w:lineRule="exact"/>
              <w:rPr>
                <w:rFonts w:hint="eastAsia"/>
                <w:kern w:val="0"/>
                <w:sz w:val="24"/>
              </w:rPr>
            </w:pPr>
          </w:p>
          <w:p w14:paraId="296B9939">
            <w:pPr>
              <w:adjustRightInd w:val="0"/>
              <w:spacing w:line="440" w:lineRule="exact"/>
              <w:rPr>
                <w:rFonts w:hint="eastAsia"/>
                <w:kern w:val="0"/>
                <w:sz w:val="24"/>
              </w:rPr>
            </w:pPr>
          </w:p>
          <w:p w14:paraId="40F2D214">
            <w:pPr>
              <w:adjustRightInd w:val="0"/>
              <w:spacing w:line="440" w:lineRule="exact"/>
              <w:rPr>
                <w:rFonts w:hint="eastAsia"/>
                <w:kern w:val="0"/>
                <w:sz w:val="24"/>
              </w:rPr>
            </w:pPr>
          </w:p>
          <w:p w14:paraId="2D043606">
            <w:pPr>
              <w:adjustRightInd w:val="0"/>
              <w:spacing w:line="440" w:lineRule="exact"/>
              <w:rPr>
                <w:rFonts w:hint="eastAsia"/>
                <w:kern w:val="0"/>
                <w:sz w:val="24"/>
              </w:rPr>
            </w:pPr>
          </w:p>
          <w:p w14:paraId="22C44371">
            <w:pPr>
              <w:adjustRightInd w:val="0"/>
              <w:spacing w:line="440" w:lineRule="exact"/>
              <w:rPr>
                <w:rFonts w:hint="eastAsia"/>
                <w:kern w:val="0"/>
                <w:sz w:val="24"/>
              </w:rPr>
            </w:pPr>
          </w:p>
          <w:p w14:paraId="014ADC68">
            <w:pPr>
              <w:adjustRightInd w:val="0"/>
              <w:spacing w:line="440" w:lineRule="exact"/>
              <w:rPr>
                <w:rFonts w:hint="eastAsia"/>
                <w:kern w:val="0"/>
                <w:sz w:val="24"/>
              </w:rPr>
            </w:pPr>
          </w:p>
          <w:p w14:paraId="7D21DF48">
            <w:pPr>
              <w:adjustRightInd w:val="0"/>
              <w:spacing w:line="440" w:lineRule="exact"/>
              <w:rPr>
                <w:rFonts w:hint="eastAsia"/>
                <w:kern w:val="0"/>
                <w:sz w:val="24"/>
              </w:rPr>
            </w:pPr>
          </w:p>
          <w:p w14:paraId="715289C1">
            <w:pPr>
              <w:adjustRightInd w:val="0"/>
              <w:spacing w:line="440" w:lineRule="exact"/>
              <w:rPr>
                <w:rFonts w:hint="eastAsia"/>
                <w:kern w:val="0"/>
                <w:sz w:val="24"/>
              </w:rPr>
            </w:pPr>
          </w:p>
          <w:p w14:paraId="58042CB5">
            <w:pPr>
              <w:adjustRightInd w:val="0"/>
              <w:spacing w:line="440" w:lineRule="exact"/>
              <w:rPr>
                <w:rFonts w:hint="eastAsia"/>
                <w:kern w:val="0"/>
                <w:sz w:val="24"/>
              </w:rPr>
            </w:pPr>
          </w:p>
          <w:p w14:paraId="78C00F8B">
            <w:pPr>
              <w:adjustRightInd w:val="0"/>
              <w:spacing w:line="440" w:lineRule="exact"/>
              <w:rPr>
                <w:rFonts w:hint="eastAsia"/>
                <w:kern w:val="0"/>
                <w:sz w:val="24"/>
              </w:rPr>
            </w:pPr>
          </w:p>
          <w:p w14:paraId="5D578298">
            <w:pPr>
              <w:adjustRightInd w:val="0"/>
              <w:spacing w:line="440" w:lineRule="exact"/>
              <w:rPr>
                <w:rFonts w:hint="eastAsia"/>
                <w:kern w:val="0"/>
                <w:sz w:val="24"/>
              </w:rPr>
            </w:pPr>
          </w:p>
          <w:p w14:paraId="61B446C9">
            <w:pPr>
              <w:adjustRightInd w:val="0"/>
              <w:spacing w:line="440" w:lineRule="exact"/>
              <w:rPr>
                <w:rFonts w:hint="eastAsia"/>
                <w:kern w:val="0"/>
                <w:sz w:val="24"/>
              </w:rPr>
            </w:pPr>
          </w:p>
          <w:p w14:paraId="5265285B">
            <w:pPr>
              <w:adjustRightInd w:val="0"/>
              <w:spacing w:line="440" w:lineRule="exact"/>
              <w:rPr>
                <w:rFonts w:hint="eastAsia"/>
                <w:kern w:val="0"/>
                <w:sz w:val="24"/>
              </w:rPr>
            </w:pPr>
          </w:p>
          <w:p w14:paraId="74886734">
            <w:pPr>
              <w:adjustRightInd w:val="0"/>
              <w:spacing w:line="440" w:lineRule="exact"/>
              <w:rPr>
                <w:rFonts w:hint="eastAsia"/>
                <w:kern w:val="0"/>
                <w:sz w:val="24"/>
              </w:rPr>
            </w:pPr>
          </w:p>
          <w:p w14:paraId="5CDB0463">
            <w:pPr>
              <w:adjustRightInd w:val="0"/>
              <w:spacing w:line="440" w:lineRule="exact"/>
              <w:rPr>
                <w:rFonts w:hint="eastAsia"/>
                <w:kern w:val="0"/>
                <w:sz w:val="24"/>
              </w:rPr>
            </w:pPr>
          </w:p>
          <w:p w14:paraId="6BFE7E56">
            <w:pPr>
              <w:adjustRightInd w:val="0"/>
              <w:spacing w:line="440" w:lineRule="exact"/>
              <w:rPr>
                <w:kern w:val="0"/>
                <w:sz w:val="24"/>
              </w:rPr>
            </w:pPr>
          </w:p>
        </w:tc>
      </w:tr>
    </w:tbl>
    <w:p w14:paraId="7A062304">
      <w:pPr>
        <w:pStyle w:val="34"/>
        <w:spacing w:before="120" w:beforeLines="50" w:beforeAutospacing="0" w:after="0" w:afterAutospacing="0" w:line="360" w:lineRule="auto"/>
        <w:jc w:val="center"/>
        <w:outlineLvl w:val="0"/>
        <w:rPr>
          <w:rFonts w:ascii="Times New Roman" w:hAnsi="Times New Roman" w:eastAsia="黑体"/>
          <w:snapToGrid w:val="0"/>
          <w:sz w:val="36"/>
          <w:szCs w:val="36"/>
        </w:rPr>
        <w:sectPr>
          <w:headerReference r:id="rId8" w:type="default"/>
          <w:pgSz w:w="11907" w:h="16840"/>
          <w:pgMar w:top="1440" w:right="1440" w:bottom="1440" w:left="1440" w:header="851" w:footer="851" w:gutter="0"/>
          <w:pgNumType w:fmt="numberInDash"/>
          <w:cols w:space="720" w:num="1"/>
          <w:docGrid w:linePitch="312" w:charSpace="0"/>
        </w:sectPr>
      </w:pPr>
    </w:p>
    <w:p w14:paraId="5AF5AE02">
      <w:pPr>
        <w:pStyle w:val="34"/>
        <w:spacing w:before="0" w:beforeAutospacing="0" w:after="0" w:afterAutospacing="0" w:line="480" w:lineRule="atLeast"/>
        <w:jc w:val="center"/>
        <w:outlineLvl w:val="0"/>
        <w:rPr>
          <w:rFonts w:hint="eastAsia" w:ascii="Times New Roman" w:hAnsi="Times New Roman" w:eastAsia="黑体"/>
          <w:snapToGrid w:val="0"/>
          <w:sz w:val="36"/>
          <w:szCs w:val="36"/>
        </w:rPr>
      </w:pPr>
      <w:bookmarkStart w:id="15" w:name="_Toc67775554"/>
      <w:r>
        <w:rPr>
          <w:rFonts w:ascii="Times New Roman" w:hAnsi="Times New Roman" w:eastAsia="黑体"/>
          <w:snapToGrid w:val="0"/>
          <w:sz w:val="36"/>
          <w:szCs w:val="36"/>
        </w:rPr>
        <w:t>四、主要环境影响和保护措施</w:t>
      </w:r>
      <w:bookmarkEnd w:id="15"/>
    </w:p>
    <w:tbl>
      <w:tblPr>
        <w:tblStyle w:val="38"/>
        <w:tblW w:w="93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555"/>
      </w:tblGrid>
      <w:tr w14:paraId="4E730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746" w:type="dxa"/>
            <w:noWrap w:val="0"/>
            <w:tcMar>
              <w:left w:w="28" w:type="dxa"/>
              <w:right w:w="28" w:type="dxa"/>
            </w:tcMar>
            <w:vAlign w:val="center"/>
          </w:tcPr>
          <w:p w14:paraId="65DFB560">
            <w:pPr>
              <w:pStyle w:val="34"/>
              <w:adjustRightInd w:val="0"/>
              <w:snapToGrid w:val="0"/>
              <w:spacing w:before="0" w:beforeAutospacing="0" w:after="0" w:afterAutospacing="0" w:line="440" w:lineRule="exact"/>
              <w:jc w:val="center"/>
              <w:rPr>
                <w:rFonts w:hint="eastAsia" w:ascii="Times New Roman" w:hAnsi="Times New Roman"/>
                <w:bCs/>
                <w:kern w:val="2"/>
                <w:szCs w:val="24"/>
              </w:rPr>
            </w:pPr>
            <w:r>
              <w:rPr>
                <w:rFonts w:ascii="Times New Roman" w:hAnsi="Times New Roman"/>
                <w:kern w:val="2"/>
                <w:szCs w:val="24"/>
              </w:rPr>
              <w:t>施工期环境保护措施</w:t>
            </w:r>
          </w:p>
        </w:tc>
        <w:tc>
          <w:tcPr>
            <w:tcW w:w="8555" w:type="dxa"/>
            <w:noWrap w:val="0"/>
            <w:vAlign w:val="top"/>
          </w:tcPr>
          <w:p w14:paraId="7F323167">
            <w:pPr>
              <w:pStyle w:val="205"/>
              <w:spacing w:line="480" w:lineRule="exact"/>
              <w:rPr>
                <w:rFonts w:hint="eastAsia" w:ascii="黑体" w:hAnsi="黑体" w:eastAsia="黑体" w:cs="黑体"/>
                <w:sz w:val="24"/>
                <w:szCs w:val="24"/>
                <w:lang w:eastAsia="zh-CN"/>
              </w:rPr>
            </w:pPr>
            <w:r>
              <w:rPr>
                <w:rFonts w:hint="eastAsia" w:ascii="黑体" w:hAnsi="黑体" w:eastAsia="黑体" w:cs="黑体"/>
                <w:spacing w:val="-3"/>
                <w:sz w:val="24"/>
                <w:szCs w:val="24"/>
                <w:lang w:eastAsia="zh-CN"/>
              </w:rPr>
              <w:t>1、施工期废气环境保护措施</w:t>
            </w:r>
          </w:p>
          <w:p w14:paraId="405C5F14">
            <w:pPr>
              <w:pStyle w:val="205"/>
              <w:spacing w:line="480" w:lineRule="exact"/>
              <w:ind w:firstLine="437"/>
              <w:rPr>
                <w:sz w:val="24"/>
                <w:szCs w:val="24"/>
                <w:lang w:eastAsia="zh-CN"/>
              </w:rPr>
            </w:pPr>
            <w:r>
              <w:rPr>
                <w:spacing w:val="-1"/>
                <w:sz w:val="24"/>
                <w:szCs w:val="24"/>
                <w:lang w:eastAsia="zh-CN"/>
              </w:rPr>
              <w:t>建设过程中，施工单位应严格遵守《</w:t>
            </w:r>
            <w:r>
              <w:rPr>
                <w:rFonts w:ascii="Times New Roman" w:hAnsi="Times New Roman" w:eastAsia="Times New Roman" w:cs="Times New Roman"/>
                <w:spacing w:val="-1"/>
                <w:sz w:val="24"/>
                <w:szCs w:val="24"/>
                <w:lang w:eastAsia="zh-CN"/>
              </w:rPr>
              <w:t>2022</w:t>
            </w:r>
            <w:r>
              <w:rPr>
                <w:spacing w:val="-1"/>
                <w:sz w:val="24"/>
                <w:szCs w:val="24"/>
                <w:lang w:eastAsia="zh-CN"/>
              </w:rPr>
              <w:t>年安徽省住建系统大气污染防治工作方案》“扬尘防治‘六个百分百’工作标准”等相关要求。</w:t>
            </w:r>
          </w:p>
          <w:p w14:paraId="15EFEC6F">
            <w:pPr>
              <w:pStyle w:val="205"/>
              <w:spacing w:line="480" w:lineRule="exact"/>
              <w:ind w:firstLine="423"/>
              <w:rPr>
                <w:sz w:val="24"/>
                <w:szCs w:val="24"/>
                <w:lang w:eastAsia="zh-CN"/>
              </w:rPr>
            </w:pPr>
            <w:r>
              <w:rPr>
                <w:spacing w:val="-1"/>
                <w:sz w:val="24"/>
                <w:szCs w:val="24"/>
                <w:lang w:eastAsia="zh-CN"/>
              </w:rPr>
              <w:t>(</w:t>
            </w:r>
            <w:r>
              <w:rPr>
                <w:rFonts w:ascii="Times New Roman" w:hAnsi="Times New Roman" w:eastAsia="Times New Roman" w:cs="Times New Roman"/>
                <w:spacing w:val="-1"/>
                <w:sz w:val="24"/>
                <w:szCs w:val="24"/>
                <w:lang w:eastAsia="zh-CN"/>
              </w:rPr>
              <w:t>1</w:t>
            </w:r>
            <w:r>
              <w:rPr>
                <w:spacing w:val="-1"/>
                <w:sz w:val="24"/>
                <w:szCs w:val="24"/>
                <w:lang w:eastAsia="zh-CN"/>
              </w:rPr>
              <w:t>)施工单位应当按照工地扬尘污染防治方案的要求，在施工现场出入</w:t>
            </w:r>
            <w:r>
              <w:rPr>
                <w:spacing w:val="-2"/>
                <w:sz w:val="24"/>
                <w:szCs w:val="24"/>
                <w:lang w:eastAsia="zh-CN"/>
              </w:rPr>
              <w:t>口公示扬尘污</w:t>
            </w:r>
            <w:r>
              <w:rPr>
                <w:spacing w:val="2"/>
                <w:sz w:val="24"/>
                <w:szCs w:val="24"/>
                <w:lang w:eastAsia="zh-CN"/>
              </w:rPr>
              <w:t>染控制措施、负责人、环保监督员、扬尘监管主管部门等</w:t>
            </w:r>
            <w:r>
              <w:rPr>
                <w:spacing w:val="1"/>
                <w:sz w:val="24"/>
                <w:szCs w:val="24"/>
                <w:lang w:eastAsia="zh-CN"/>
              </w:rPr>
              <w:t>有关信息，接受社会监督，并采</w:t>
            </w:r>
            <w:r>
              <w:rPr>
                <w:spacing w:val="-5"/>
                <w:sz w:val="24"/>
                <w:szCs w:val="24"/>
                <w:lang w:eastAsia="zh-CN"/>
              </w:rPr>
              <w:t>取下列扬尘污染防治措施：</w:t>
            </w:r>
          </w:p>
          <w:p w14:paraId="71E0C365">
            <w:pPr>
              <w:pStyle w:val="205"/>
              <w:spacing w:line="480" w:lineRule="exact"/>
              <w:ind w:firstLine="420"/>
              <w:rPr>
                <w:sz w:val="24"/>
                <w:szCs w:val="24"/>
                <w:lang w:eastAsia="zh-CN"/>
              </w:rPr>
            </w:pPr>
            <w:r>
              <w:rPr>
                <w:spacing w:val="-2"/>
                <w:sz w:val="24"/>
                <w:szCs w:val="24"/>
                <w:lang w:eastAsia="zh-CN"/>
              </w:rPr>
              <w:t>施工现场实行围挡封闭，出入口位置配备车辆冲洗设施；施工现场出入口、主要道路、</w:t>
            </w:r>
            <w:r>
              <w:rPr>
                <w:spacing w:val="2"/>
                <w:sz w:val="24"/>
                <w:szCs w:val="24"/>
                <w:lang w:eastAsia="zh-CN"/>
              </w:rPr>
              <w:t>加工区等采取硬化处理措施；施工现场采取洒水、覆盖、铺装、</w:t>
            </w:r>
            <w:r>
              <w:rPr>
                <w:spacing w:val="1"/>
                <w:sz w:val="24"/>
                <w:szCs w:val="24"/>
                <w:lang w:eastAsia="zh-CN"/>
              </w:rPr>
              <w:t>绿化等降尘措施；施工现</w:t>
            </w:r>
            <w:r>
              <w:rPr>
                <w:spacing w:val="2"/>
                <w:sz w:val="24"/>
                <w:szCs w:val="24"/>
                <w:lang w:eastAsia="zh-CN"/>
              </w:rPr>
              <w:t>场建筑材料实行集中、分类堆放。建筑垃圾采取封闭方式清运，</w:t>
            </w:r>
            <w:r>
              <w:rPr>
                <w:spacing w:val="1"/>
                <w:sz w:val="24"/>
                <w:szCs w:val="24"/>
                <w:lang w:eastAsia="zh-CN"/>
              </w:rPr>
              <w:t>严禁高处抛洒；外脚手架</w:t>
            </w:r>
            <w:r>
              <w:rPr>
                <w:spacing w:val="2"/>
                <w:sz w:val="24"/>
                <w:szCs w:val="24"/>
                <w:lang w:eastAsia="zh-CN"/>
              </w:rPr>
              <w:t>设置悬挂密目式安全网的方式封闭；建筑垃圾运输、处理时，按</w:t>
            </w:r>
            <w:r>
              <w:rPr>
                <w:spacing w:val="1"/>
                <w:sz w:val="24"/>
                <w:szCs w:val="24"/>
                <w:lang w:eastAsia="zh-CN"/>
              </w:rPr>
              <w:t>照城市人民政府市容环境卫生行政主管部门规定的时间、路线和要求，清运到指定的场所处理；启动Ⅲ级(黄色)</w:t>
            </w:r>
            <w:r>
              <w:rPr>
                <w:spacing w:val="-2"/>
                <w:sz w:val="24"/>
                <w:szCs w:val="24"/>
                <w:lang w:eastAsia="zh-CN"/>
              </w:rPr>
              <w:t>预警或气象预报风速达到四级以上时，不得进行土方挖填、转运和拆除等易产生扬尘作业。</w:t>
            </w:r>
          </w:p>
          <w:p w14:paraId="3372B49B">
            <w:pPr>
              <w:pStyle w:val="205"/>
              <w:spacing w:line="480" w:lineRule="exact"/>
              <w:ind w:firstLine="424"/>
              <w:rPr>
                <w:sz w:val="24"/>
                <w:szCs w:val="24"/>
                <w:lang w:eastAsia="zh-CN"/>
              </w:rPr>
            </w:pPr>
            <w:r>
              <w:rPr>
                <w:spacing w:val="-5"/>
                <w:sz w:val="24"/>
                <w:szCs w:val="24"/>
                <w:lang w:eastAsia="zh-CN"/>
              </w:rPr>
              <w:t>(</w:t>
            </w:r>
            <w:r>
              <w:rPr>
                <w:rFonts w:ascii="Times New Roman" w:hAnsi="Times New Roman" w:eastAsia="Times New Roman" w:cs="Times New Roman"/>
                <w:spacing w:val="-5"/>
                <w:sz w:val="24"/>
                <w:szCs w:val="24"/>
                <w:lang w:eastAsia="zh-CN"/>
              </w:rPr>
              <w:t>2</w:t>
            </w:r>
            <w:r>
              <w:rPr>
                <w:spacing w:val="-5"/>
                <w:sz w:val="24"/>
                <w:szCs w:val="24"/>
                <w:lang w:eastAsia="zh-CN"/>
              </w:rPr>
              <w:t>)生产预拌混凝土、预拌砂浆应当采取密闭、围挡、洒水、冲洗等防尘措施。鼓励、</w:t>
            </w:r>
            <w:r>
              <w:rPr>
                <w:spacing w:val="-3"/>
                <w:sz w:val="24"/>
                <w:szCs w:val="24"/>
                <w:lang w:eastAsia="zh-CN"/>
              </w:rPr>
              <w:t>支持发展全封闭混凝土、砂浆搅拌。</w:t>
            </w:r>
          </w:p>
          <w:p w14:paraId="276DCA2E">
            <w:pPr>
              <w:pStyle w:val="205"/>
              <w:spacing w:line="480" w:lineRule="exact"/>
              <w:ind w:firstLine="425"/>
              <w:rPr>
                <w:sz w:val="24"/>
                <w:szCs w:val="24"/>
                <w:lang w:eastAsia="zh-CN"/>
              </w:rPr>
            </w:pPr>
            <w:r>
              <w:rPr>
                <w:spacing w:val="-7"/>
                <w:sz w:val="24"/>
                <w:szCs w:val="24"/>
                <w:lang w:eastAsia="zh-CN"/>
              </w:rPr>
              <w:t>(</w:t>
            </w:r>
            <w:r>
              <w:rPr>
                <w:rFonts w:ascii="Times New Roman" w:hAnsi="Times New Roman" w:eastAsia="Times New Roman" w:cs="Times New Roman"/>
                <w:spacing w:val="-7"/>
                <w:sz w:val="24"/>
                <w:szCs w:val="24"/>
                <w:lang w:eastAsia="zh-CN"/>
              </w:rPr>
              <w:t>3</w:t>
            </w:r>
            <w:r>
              <w:rPr>
                <w:spacing w:val="-7"/>
                <w:sz w:val="24"/>
                <w:szCs w:val="24"/>
                <w:lang w:eastAsia="zh-CN"/>
              </w:rPr>
              <w:t>)装卸和运输水泥、砂土、垃圾等易产生扬尘的作业，应当采取遮盖、封闭</w:t>
            </w:r>
            <w:r>
              <w:rPr>
                <w:spacing w:val="-8"/>
                <w:sz w:val="24"/>
                <w:szCs w:val="24"/>
                <w:lang w:eastAsia="zh-CN"/>
              </w:rPr>
              <w:t>、喷淋、</w:t>
            </w:r>
            <w:r>
              <w:rPr>
                <w:spacing w:val="-2"/>
                <w:sz w:val="24"/>
                <w:szCs w:val="24"/>
                <w:lang w:eastAsia="zh-CN"/>
              </w:rPr>
              <w:t>围挡等措施，防止抛洒、扬尘。运输垃圾、渣土、砂石、土方、灰浆等散装</w:t>
            </w:r>
            <w:r>
              <w:rPr>
                <w:spacing w:val="-3"/>
                <w:sz w:val="24"/>
                <w:szCs w:val="24"/>
                <w:lang w:eastAsia="zh-CN"/>
              </w:rPr>
              <w:t>、流体物料的，</w:t>
            </w:r>
            <w:r>
              <w:rPr>
                <w:spacing w:val="2"/>
                <w:sz w:val="24"/>
                <w:szCs w:val="24"/>
                <w:lang w:eastAsia="zh-CN"/>
              </w:rPr>
              <w:t>应当使用符合条件的车辆，并安装卫星定位系统。建筑土方、</w:t>
            </w:r>
            <w:r>
              <w:rPr>
                <w:spacing w:val="1"/>
                <w:sz w:val="24"/>
                <w:szCs w:val="24"/>
                <w:lang w:eastAsia="zh-CN"/>
              </w:rPr>
              <w:t>工程渣土、建筑垃圾应当及</w:t>
            </w:r>
            <w:r>
              <w:rPr>
                <w:spacing w:val="-2"/>
                <w:sz w:val="24"/>
                <w:szCs w:val="24"/>
                <w:lang w:eastAsia="zh-CN"/>
              </w:rPr>
              <w:t>时运输到指定场所进行处置；在场地内堆存的，应当有效覆盖。</w:t>
            </w:r>
          </w:p>
          <w:p w14:paraId="03B5D3B9">
            <w:pPr>
              <w:pStyle w:val="205"/>
              <w:spacing w:line="480" w:lineRule="exact"/>
              <w:ind w:firstLine="424"/>
              <w:rPr>
                <w:sz w:val="24"/>
                <w:szCs w:val="24"/>
                <w:lang w:eastAsia="zh-CN"/>
              </w:rPr>
            </w:pPr>
            <w:r>
              <w:rPr>
                <w:spacing w:val="-3"/>
                <w:sz w:val="24"/>
                <w:szCs w:val="24"/>
                <w:lang w:eastAsia="zh-CN"/>
              </w:rPr>
              <w:t>(</w:t>
            </w:r>
            <w:r>
              <w:rPr>
                <w:rFonts w:ascii="Times New Roman" w:hAnsi="Times New Roman" w:eastAsia="Times New Roman" w:cs="Times New Roman"/>
                <w:spacing w:val="-3"/>
                <w:sz w:val="24"/>
                <w:szCs w:val="24"/>
                <w:lang w:eastAsia="zh-CN"/>
              </w:rPr>
              <w:t>4</w:t>
            </w:r>
            <w:r>
              <w:rPr>
                <w:spacing w:val="-3"/>
                <w:sz w:val="24"/>
                <w:szCs w:val="24"/>
                <w:lang w:eastAsia="zh-CN"/>
              </w:rPr>
              <w:t>)扬尘防治“六个百分百”工作标准：施工工地周边</w:t>
            </w:r>
            <w:r>
              <w:rPr>
                <w:rFonts w:ascii="Times New Roman" w:hAnsi="Times New Roman" w:eastAsia="Times New Roman" w:cs="Times New Roman"/>
                <w:spacing w:val="-3"/>
                <w:sz w:val="24"/>
                <w:szCs w:val="24"/>
                <w:lang w:eastAsia="zh-CN"/>
              </w:rPr>
              <w:t>100%</w:t>
            </w:r>
            <w:r>
              <w:rPr>
                <w:spacing w:val="-3"/>
                <w:sz w:val="24"/>
                <w:szCs w:val="24"/>
                <w:lang w:eastAsia="zh-CN"/>
              </w:rPr>
              <w:t>围挡，物料堆放</w:t>
            </w:r>
            <w:r>
              <w:rPr>
                <w:rFonts w:ascii="Times New Roman" w:hAnsi="Times New Roman" w:eastAsia="Times New Roman" w:cs="Times New Roman"/>
                <w:spacing w:val="-3"/>
                <w:sz w:val="24"/>
                <w:szCs w:val="24"/>
                <w:lang w:eastAsia="zh-CN"/>
              </w:rPr>
              <w:t>1</w:t>
            </w:r>
            <w:r>
              <w:rPr>
                <w:rFonts w:ascii="Times New Roman" w:hAnsi="Times New Roman" w:eastAsia="Times New Roman" w:cs="Times New Roman"/>
                <w:spacing w:val="-4"/>
                <w:sz w:val="24"/>
                <w:szCs w:val="24"/>
                <w:lang w:eastAsia="zh-CN"/>
              </w:rPr>
              <w:t>00%</w:t>
            </w:r>
            <w:r>
              <w:rPr>
                <w:spacing w:val="-4"/>
                <w:sz w:val="24"/>
                <w:szCs w:val="24"/>
                <w:lang w:eastAsia="zh-CN"/>
              </w:rPr>
              <w:t>覆</w:t>
            </w:r>
            <w:r>
              <w:rPr>
                <w:spacing w:val="-1"/>
                <w:sz w:val="24"/>
                <w:szCs w:val="24"/>
                <w:lang w:eastAsia="zh-CN"/>
              </w:rPr>
              <w:t>盖，出入车辆</w:t>
            </w:r>
            <w:r>
              <w:rPr>
                <w:rFonts w:ascii="Times New Roman" w:hAnsi="Times New Roman" w:eastAsia="Times New Roman" w:cs="Times New Roman"/>
                <w:spacing w:val="-1"/>
                <w:sz w:val="24"/>
                <w:szCs w:val="24"/>
                <w:lang w:eastAsia="zh-CN"/>
              </w:rPr>
              <w:t>100%</w:t>
            </w:r>
            <w:r>
              <w:rPr>
                <w:spacing w:val="-1"/>
                <w:sz w:val="24"/>
                <w:szCs w:val="24"/>
                <w:lang w:eastAsia="zh-CN"/>
              </w:rPr>
              <w:t>冲洗，施工现场地面</w:t>
            </w:r>
            <w:r>
              <w:rPr>
                <w:rFonts w:ascii="Times New Roman" w:hAnsi="Times New Roman" w:eastAsia="Times New Roman" w:cs="Times New Roman"/>
                <w:spacing w:val="-1"/>
                <w:sz w:val="24"/>
                <w:szCs w:val="24"/>
                <w:lang w:eastAsia="zh-CN"/>
              </w:rPr>
              <w:t>100%</w:t>
            </w:r>
            <w:r>
              <w:rPr>
                <w:spacing w:val="-1"/>
                <w:sz w:val="24"/>
                <w:szCs w:val="24"/>
                <w:lang w:eastAsia="zh-CN"/>
              </w:rPr>
              <w:t>硬化，拆迁工地</w:t>
            </w:r>
            <w:r>
              <w:rPr>
                <w:rFonts w:ascii="Times New Roman" w:hAnsi="Times New Roman" w:eastAsia="Times New Roman" w:cs="Times New Roman"/>
                <w:spacing w:val="-1"/>
                <w:sz w:val="24"/>
                <w:szCs w:val="24"/>
                <w:lang w:eastAsia="zh-CN"/>
              </w:rPr>
              <w:t>100%</w:t>
            </w:r>
            <w:r>
              <w:rPr>
                <w:spacing w:val="-1"/>
                <w:sz w:val="24"/>
                <w:szCs w:val="24"/>
                <w:lang w:eastAsia="zh-CN"/>
              </w:rPr>
              <w:t>湿法作业，渣土车辆</w:t>
            </w:r>
            <w:r>
              <w:rPr>
                <w:rFonts w:ascii="Times New Roman" w:hAnsi="Times New Roman" w:eastAsia="Times New Roman" w:cs="Times New Roman"/>
                <w:spacing w:val="-4"/>
                <w:sz w:val="24"/>
                <w:szCs w:val="24"/>
                <w:lang w:eastAsia="zh-CN"/>
              </w:rPr>
              <w:t>100%</w:t>
            </w:r>
            <w:r>
              <w:rPr>
                <w:spacing w:val="-4"/>
                <w:sz w:val="24"/>
                <w:szCs w:val="24"/>
                <w:lang w:eastAsia="zh-CN"/>
              </w:rPr>
              <w:t>密闭运输。</w:t>
            </w:r>
          </w:p>
          <w:p w14:paraId="0F35D650">
            <w:pPr>
              <w:pStyle w:val="205"/>
              <w:spacing w:line="480" w:lineRule="exact"/>
              <w:ind w:firstLine="423"/>
              <w:rPr>
                <w:sz w:val="24"/>
                <w:szCs w:val="24"/>
                <w:lang w:eastAsia="zh-CN"/>
              </w:rPr>
            </w:pPr>
            <w:r>
              <w:rPr>
                <w:spacing w:val="-2"/>
                <w:sz w:val="24"/>
                <w:szCs w:val="24"/>
                <w:lang w:eastAsia="zh-CN"/>
              </w:rPr>
              <w:t>(</w:t>
            </w:r>
            <w:r>
              <w:rPr>
                <w:rFonts w:ascii="Times New Roman" w:hAnsi="Times New Roman" w:eastAsia="Times New Roman" w:cs="Times New Roman"/>
                <w:spacing w:val="-2"/>
                <w:sz w:val="24"/>
                <w:szCs w:val="24"/>
                <w:lang w:eastAsia="zh-CN"/>
              </w:rPr>
              <w:t>5</w:t>
            </w:r>
            <w:r>
              <w:rPr>
                <w:spacing w:val="-2"/>
                <w:sz w:val="24"/>
                <w:szCs w:val="24"/>
                <w:lang w:eastAsia="zh-CN"/>
              </w:rPr>
              <w:t>)落实“两个全覆盖”。视频监控全覆盖：确保施工现场的每个角落都能被监控设</w:t>
            </w:r>
            <w:r>
              <w:rPr>
                <w:sz w:val="24"/>
                <w:szCs w:val="24"/>
                <w:lang w:eastAsia="zh-CN"/>
              </w:rPr>
              <w:t>备覆盖，以便于实时监控和管理施工现场的安全和环</w:t>
            </w:r>
            <w:r>
              <w:rPr>
                <w:spacing w:val="-1"/>
                <w:sz w:val="24"/>
                <w:szCs w:val="24"/>
                <w:lang w:eastAsia="zh-CN"/>
              </w:rPr>
              <w:t>保情况；</w:t>
            </w:r>
            <w:r>
              <w:rPr>
                <w:rFonts w:ascii="Times New Roman" w:hAnsi="Times New Roman" w:eastAsia="Times New Roman" w:cs="Times New Roman"/>
                <w:spacing w:val="-1"/>
                <w:sz w:val="24"/>
                <w:szCs w:val="24"/>
                <w:lang w:eastAsia="zh-CN"/>
              </w:rPr>
              <w:t>PM</w:t>
            </w:r>
            <w:r>
              <w:rPr>
                <w:rFonts w:ascii="Times New Roman" w:hAnsi="Times New Roman" w:eastAsia="Times New Roman" w:cs="Times New Roman"/>
                <w:spacing w:val="-1"/>
                <w:position w:val="-1"/>
                <w:sz w:val="24"/>
                <w:szCs w:val="24"/>
                <w:lang w:eastAsia="zh-CN"/>
              </w:rPr>
              <w:t>10</w:t>
            </w:r>
            <w:r>
              <w:rPr>
                <w:spacing w:val="-1"/>
                <w:sz w:val="24"/>
                <w:szCs w:val="24"/>
                <w:lang w:eastAsia="zh-CN"/>
              </w:rPr>
              <w:t>在线监测设备安装并联</w:t>
            </w:r>
            <w:r>
              <w:rPr>
                <w:sz w:val="24"/>
                <w:szCs w:val="24"/>
                <w:lang w:eastAsia="zh-CN"/>
              </w:rPr>
              <w:t>网全覆盖：在施工现场安装</w:t>
            </w:r>
            <w:r>
              <w:rPr>
                <w:rFonts w:ascii="Times New Roman" w:hAnsi="Times New Roman" w:eastAsia="Times New Roman" w:cs="Times New Roman"/>
                <w:sz w:val="24"/>
                <w:szCs w:val="24"/>
                <w:lang w:eastAsia="zh-CN"/>
              </w:rPr>
              <w:t>PM</w:t>
            </w:r>
            <w:r>
              <w:rPr>
                <w:rFonts w:ascii="Times New Roman" w:hAnsi="Times New Roman" w:eastAsia="Times New Roman" w:cs="Times New Roman"/>
                <w:position w:val="-1"/>
                <w:sz w:val="24"/>
                <w:szCs w:val="24"/>
                <w:lang w:eastAsia="zh-CN"/>
              </w:rPr>
              <w:t>10</w:t>
            </w:r>
            <w:r>
              <w:rPr>
                <w:sz w:val="24"/>
                <w:szCs w:val="24"/>
                <w:lang w:eastAsia="zh-CN"/>
              </w:rPr>
              <w:t>(可吸入颗粒物)在线</w:t>
            </w:r>
            <w:r>
              <w:rPr>
                <w:spacing w:val="-1"/>
                <w:sz w:val="24"/>
                <w:szCs w:val="24"/>
                <w:lang w:eastAsia="zh-CN"/>
              </w:rPr>
              <w:t>监测设备，并与环保部门联网，实时监测施工现场的空气质量，确保施工过程中的空气污染控制在</w:t>
            </w:r>
            <w:r>
              <w:rPr>
                <w:spacing w:val="-2"/>
                <w:sz w:val="24"/>
                <w:szCs w:val="24"/>
                <w:lang w:eastAsia="zh-CN"/>
              </w:rPr>
              <w:t>规定范围内。</w:t>
            </w:r>
          </w:p>
          <w:p w14:paraId="31AF5836">
            <w:pPr>
              <w:pStyle w:val="205"/>
              <w:spacing w:line="480" w:lineRule="exact"/>
              <w:ind w:firstLine="420"/>
              <w:rPr>
                <w:sz w:val="24"/>
                <w:szCs w:val="24"/>
                <w:lang w:eastAsia="zh-CN"/>
              </w:rPr>
            </w:pPr>
            <w:r>
              <w:rPr>
                <w:spacing w:val="2"/>
                <w:sz w:val="24"/>
                <w:szCs w:val="24"/>
                <w:lang w:eastAsia="zh-CN"/>
              </w:rPr>
              <w:t>为尽可能减少施工期产生的废气对周围大气环境的影响，建议</w:t>
            </w:r>
            <w:r>
              <w:rPr>
                <w:spacing w:val="1"/>
                <w:sz w:val="24"/>
                <w:szCs w:val="24"/>
                <w:lang w:eastAsia="zh-CN"/>
              </w:rPr>
              <w:t>提倡科学施工、文明施</w:t>
            </w:r>
            <w:r>
              <w:rPr>
                <w:spacing w:val="-3"/>
                <w:sz w:val="24"/>
                <w:szCs w:val="24"/>
                <w:lang w:eastAsia="zh-CN"/>
              </w:rPr>
              <w:t>工，将项目建设期的污染降低到最小程度。</w:t>
            </w:r>
          </w:p>
          <w:p w14:paraId="2052C251">
            <w:pPr>
              <w:pStyle w:val="205"/>
              <w:spacing w:line="480" w:lineRule="exact"/>
              <w:rPr>
                <w:rFonts w:hint="eastAsia" w:ascii="黑体" w:hAnsi="黑体" w:eastAsia="黑体" w:cs="黑体"/>
                <w:sz w:val="24"/>
                <w:szCs w:val="24"/>
                <w:lang w:eastAsia="zh-CN"/>
              </w:rPr>
            </w:pPr>
            <w:r>
              <w:rPr>
                <w:rFonts w:hint="eastAsia" w:ascii="黑体" w:hAnsi="黑体" w:eastAsia="黑体" w:cs="黑体"/>
                <w:spacing w:val="-3"/>
                <w:sz w:val="24"/>
                <w:szCs w:val="24"/>
                <w:lang w:eastAsia="zh-CN"/>
              </w:rPr>
              <w:t>2、施工期废水环境保护措施</w:t>
            </w:r>
          </w:p>
          <w:p w14:paraId="1827531A">
            <w:pPr>
              <w:pStyle w:val="205"/>
              <w:spacing w:line="480" w:lineRule="exact"/>
              <w:ind w:firstLine="422"/>
              <w:rPr>
                <w:sz w:val="24"/>
                <w:szCs w:val="24"/>
                <w:lang w:eastAsia="zh-CN"/>
              </w:rPr>
            </w:pPr>
            <w:r>
              <w:rPr>
                <w:spacing w:val="2"/>
                <w:sz w:val="24"/>
                <w:szCs w:val="24"/>
                <w:lang w:eastAsia="zh-CN"/>
              </w:rPr>
              <w:t>建设期的废水排放主要来自于施工人员的生活污水和施工废水。</w:t>
            </w:r>
            <w:r>
              <w:rPr>
                <w:spacing w:val="1"/>
                <w:sz w:val="24"/>
                <w:szCs w:val="24"/>
                <w:lang w:eastAsia="zh-CN"/>
              </w:rPr>
              <w:t>施工期项目污水处理</w:t>
            </w:r>
            <w:r>
              <w:rPr>
                <w:spacing w:val="-2"/>
                <w:sz w:val="24"/>
                <w:szCs w:val="24"/>
                <w:lang w:eastAsia="zh-CN"/>
              </w:rPr>
              <w:t>措施具体如下：</w:t>
            </w:r>
          </w:p>
          <w:p w14:paraId="6AD29664">
            <w:pPr>
              <w:pStyle w:val="205"/>
              <w:spacing w:line="480" w:lineRule="exact"/>
              <w:rPr>
                <w:sz w:val="24"/>
                <w:szCs w:val="24"/>
                <w:lang w:eastAsia="zh-CN"/>
              </w:rPr>
            </w:pPr>
            <w:r>
              <w:rPr>
                <w:spacing w:val="-5"/>
                <w:sz w:val="24"/>
                <w:szCs w:val="24"/>
                <w:lang w:eastAsia="zh-CN"/>
              </w:rPr>
              <w:t>(</w:t>
            </w:r>
            <w:r>
              <w:rPr>
                <w:rFonts w:ascii="Times New Roman" w:hAnsi="Times New Roman" w:eastAsia="Times New Roman" w:cs="Times New Roman"/>
                <w:spacing w:val="-5"/>
                <w:sz w:val="24"/>
                <w:szCs w:val="24"/>
                <w:lang w:eastAsia="zh-CN"/>
              </w:rPr>
              <w:t>1</w:t>
            </w:r>
            <w:r>
              <w:rPr>
                <w:spacing w:val="-5"/>
                <w:sz w:val="24"/>
                <w:szCs w:val="24"/>
                <w:lang w:eastAsia="zh-CN"/>
              </w:rPr>
              <w:t>)施工现场建造沉淀池、隔油池等污水临时处理设施，将施工废水处</w:t>
            </w:r>
            <w:r>
              <w:rPr>
                <w:spacing w:val="-6"/>
                <w:sz w:val="24"/>
                <w:szCs w:val="24"/>
                <w:lang w:eastAsia="zh-CN"/>
              </w:rPr>
              <w:t>理后回用。在</w:t>
            </w:r>
            <w:r>
              <w:rPr>
                <w:spacing w:val="-2"/>
                <w:sz w:val="24"/>
                <w:szCs w:val="24"/>
                <w:lang w:eastAsia="zh-CN"/>
              </w:rPr>
              <w:t>施工场地建造污水收集边沟，将施工污水导流入施工废水处理设施。同时加强施工期</w:t>
            </w:r>
            <w:r>
              <w:rPr>
                <w:spacing w:val="-3"/>
                <w:sz w:val="24"/>
                <w:szCs w:val="24"/>
                <w:lang w:eastAsia="zh-CN"/>
              </w:rPr>
              <w:t>管理，</w:t>
            </w:r>
            <w:r>
              <w:rPr>
                <w:spacing w:val="2"/>
                <w:sz w:val="24"/>
                <w:szCs w:val="24"/>
                <w:lang w:eastAsia="zh-CN"/>
              </w:rPr>
              <w:t>针对施工期污水产生过程不连续、废水种类较单一等特点，可采</w:t>
            </w:r>
            <w:r>
              <w:rPr>
                <w:spacing w:val="1"/>
                <w:sz w:val="24"/>
                <w:szCs w:val="24"/>
                <w:lang w:eastAsia="zh-CN"/>
              </w:rPr>
              <w:t>取相应措施有效控制污水</w:t>
            </w:r>
            <w:r>
              <w:rPr>
                <w:spacing w:val="-1"/>
                <w:sz w:val="24"/>
                <w:szCs w:val="24"/>
                <w:lang w:eastAsia="zh-CN"/>
              </w:rPr>
              <w:t>及其中污染物的产生量。具体如下：</w:t>
            </w:r>
          </w:p>
          <w:p w14:paraId="52F1C7C1">
            <w:pPr>
              <w:pStyle w:val="205"/>
              <w:spacing w:line="480" w:lineRule="exact"/>
              <w:ind w:firstLine="420"/>
              <w:rPr>
                <w:sz w:val="24"/>
                <w:szCs w:val="24"/>
                <w:lang w:eastAsia="zh-CN"/>
              </w:rPr>
            </w:pPr>
            <w:r>
              <w:rPr>
                <w:spacing w:val="2"/>
                <w:sz w:val="24"/>
                <w:szCs w:val="24"/>
                <w:lang w:eastAsia="zh-CN"/>
              </w:rPr>
              <w:t>①水泥、黄沙、石灰类的建筑材料需集中堆放，并采取一定的防雨淋</w:t>
            </w:r>
            <w:r>
              <w:rPr>
                <w:spacing w:val="1"/>
                <w:sz w:val="24"/>
                <w:szCs w:val="24"/>
                <w:lang w:eastAsia="zh-CN"/>
              </w:rPr>
              <w:t>措施，及时清扫</w:t>
            </w:r>
            <w:r>
              <w:rPr>
                <w:spacing w:val="-3"/>
                <w:sz w:val="24"/>
                <w:szCs w:val="24"/>
                <w:lang w:eastAsia="zh-CN"/>
              </w:rPr>
              <w:t>施工运输过程中抛洒的建筑材料。</w:t>
            </w:r>
          </w:p>
          <w:p w14:paraId="48E338C4">
            <w:pPr>
              <w:pStyle w:val="205"/>
              <w:spacing w:line="480" w:lineRule="exact"/>
              <w:ind w:firstLine="476" w:firstLineChars="200"/>
              <w:rPr>
                <w:sz w:val="24"/>
                <w:szCs w:val="24"/>
                <w:lang w:eastAsia="zh-CN"/>
              </w:rPr>
            </w:pPr>
            <w:r>
              <w:rPr>
                <w:spacing w:val="-1"/>
                <w:sz w:val="24"/>
                <w:szCs w:val="24"/>
                <w:lang w:eastAsia="zh-CN"/>
              </w:rPr>
              <w:t>②砂浆和石灰浆等废液宜集中处理，干燥后与固废一起</w:t>
            </w:r>
            <w:r>
              <w:rPr>
                <w:spacing w:val="-2"/>
                <w:sz w:val="24"/>
                <w:szCs w:val="24"/>
                <w:lang w:eastAsia="zh-CN"/>
              </w:rPr>
              <w:t>处置。</w:t>
            </w:r>
          </w:p>
          <w:p w14:paraId="26477481">
            <w:pPr>
              <w:pStyle w:val="205"/>
              <w:spacing w:line="480" w:lineRule="exact"/>
              <w:ind w:firstLine="415"/>
              <w:rPr>
                <w:sz w:val="24"/>
                <w:szCs w:val="24"/>
                <w:lang w:eastAsia="zh-CN"/>
              </w:rPr>
            </w:pPr>
            <w:r>
              <w:rPr>
                <w:spacing w:val="2"/>
                <w:sz w:val="24"/>
                <w:szCs w:val="24"/>
                <w:lang w:eastAsia="zh-CN"/>
              </w:rPr>
              <w:t>③在施工现场建造沉淀池、隔油池等污水临时处理设施，收集工地内洼</w:t>
            </w:r>
            <w:r>
              <w:rPr>
                <w:spacing w:val="1"/>
                <w:sz w:val="24"/>
                <w:szCs w:val="24"/>
                <w:lang w:eastAsia="zh-CN"/>
              </w:rPr>
              <w:t>地中积存的雨</w:t>
            </w:r>
            <w:r>
              <w:rPr>
                <w:spacing w:val="-3"/>
                <w:sz w:val="24"/>
                <w:szCs w:val="24"/>
                <w:lang w:eastAsia="zh-CN"/>
              </w:rPr>
              <w:t>水和施工废水，处理后回用于施工。</w:t>
            </w:r>
          </w:p>
          <w:p w14:paraId="47CBC46C">
            <w:pPr>
              <w:pStyle w:val="205"/>
              <w:spacing w:line="480" w:lineRule="exact"/>
              <w:ind w:firstLine="476" w:firstLineChars="200"/>
              <w:rPr>
                <w:sz w:val="24"/>
                <w:szCs w:val="24"/>
                <w:lang w:eastAsia="zh-CN"/>
              </w:rPr>
            </w:pPr>
            <w:r>
              <w:rPr>
                <w:spacing w:val="-1"/>
                <w:sz w:val="24"/>
                <w:szCs w:val="24"/>
                <w:lang w:eastAsia="zh-CN"/>
              </w:rPr>
              <w:t>(</w:t>
            </w:r>
            <w:r>
              <w:rPr>
                <w:rFonts w:ascii="Times New Roman" w:hAnsi="Times New Roman" w:eastAsia="Times New Roman" w:cs="Times New Roman"/>
                <w:spacing w:val="-1"/>
                <w:sz w:val="24"/>
                <w:szCs w:val="24"/>
                <w:lang w:eastAsia="zh-CN"/>
              </w:rPr>
              <w:t>2</w:t>
            </w:r>
            <w:r>
              <w:rPr>
                <w:spacing w:val="-1"/>
                <w:sz w:val="24"/>
                <w:szCs w:val="24"/>
                <w:lang w:eastAsia="zh-CN"/>
              </w:rPr>
              <w:t>)施工人员产生的生活污水经</w:t>
            </w:r>
            <w:r>
              <w:rPr>
                <w:rFonts w:hint="eastAsia"/>
                <w:spacing w:val="-1"/>
                <w:sz w:val="24"/>
                <w:szCs w:val="24"/>
                <w:lang w:val="en-US" w:eastAsia="zh-CN"/>
              </w:rPr>
              <w:t>化粪池收集后定期清掏</w:t>
            </w:r>
            <w:r>
              <w:rPr>
                <w:spacing w:val="-2"/>
                <w:sz w:val="24"/>
                <w:szCs w:val="24"/>
                <w:lang w:eastAsia="zh-CN"/>
              </w:rPr>
              <w:t>。</w:t>
            </w:r>
          </w:p>
          <w:p w14:paraId="08B63BF5">
            <w:pPr>
              <w:pStyle w:val="205"/>
              <w:spacing w:line="480" w:lineRule="exact"/>
              <w:rPr>
                <w:rFonts w:hint="eastAsia" w:ascii="微软雅黑" w:hAnsi="微软雅黑" w:eastAsia="微软雅黑" w:cs="微软雅黑"/>
                <w:sz w:val="24"/>
                <w:szCs w:val="24"/>
                <w:lang w:eastAsia="zh-CN"/>
              </w:rPr>
            </w:pPr>
            <w:r>
              <w:rPr>
                <w:rFonts w:hint="eastAsia" w:ascii="微软雅黑" w:hAnsi="微软雅黑" w:eastAsia="微软雅黑" w:cs="微软雅黑"/>
                <w:spacing w:val="-3"/>
                <w:sz w:val="24"/>
                <w:szCs w:val="24"/>
                <w:lang w:eastAsia="zh-CN"/>
              </w:rPr>
              <w:t>3、施工期噪声环境保护措施</w:t>
            </w:r>
          </w:p>
          <w:p w14:paraId="5837FAA4">
            <w:pPr>
              <w:pStyle w:val="205"/>
              <w:spacing w:line="480" w:lineRule="exact"/>
              <w:ind w:firstLine="485"/>
              <w:rPr>
                <w:sz w:val="24"/>
                <w:szCs w:val="24"/>
                <w:lang w:eastAsia="zh-CN"/>
              </w:rPr>
            </w:pPr>
            <w:r>
              <w:rPr>
                <w:spacing w:val="-3"/>
                <w:sz w:val="24"/>
                <w:szCs w:val="24"/>
                <w:lang w:eastAsia="zh-CN"/>
              </w:rPr>
              <w:t>(</w:t>
            </w:r>
            <w:r>
              <w:rPr>
                <w:rFonts w:ascii="Times New Roman" w:hAnsi="Times New Roman" w:eastAsia="Times New Roman" w:cs="Times New Roman"/>
                <w:spacing w:val="-3"/>
                <w:sz w:val="24"/>
                <w:szCs w:val="24"/>
                <w:lang w:eastAsia="zh-CN"/>
              </w:rPr>
              <w:t>1</w:t>
            </w:r>
            <w:r>
              <w:rPr>
                <w:spacing w:val="-3"/>
                <w:sz w:val="24"/>
                <w:szCs w:val="24"/>
                <w:lang w:eastAsia="zh-CN"/>
              </w:rPr>
              <w:t>)为减轻施工噪声对周围居民的影响，施工期应严格执行《建筑施工场界</w:t>
            </w:r>
            <w:r>
              <w:rPr>
                <w:spacing w:val="-4"/>
                <w:sz w:val="24"/>
                <w:szCs w:val="24"/>
                <w:lang w:eastAsia="zh-CN"/>
              </w:rPr>
              <w:t>环境噪声</w:t>
            </w:r>
            <w:r>
              <w:rPr>
                <w:sz w:val="24"/>
                <w:szCs w:val="24"/>
                <w:lang w:eastAsia="zh-CN"/>
              </w:rPr>
              <w:t>排放标准》(</w:t>
            </w:r>
            <w:r>
              <w:rPr>
                <w:rFonts w:ascii="Times New Roman" w:hAnsi="Times New Roman" w:eastAsia="Times New Roman" w:cs="Times New Roman"/>
                <w:sz w:val="24"/>
                <w:szCs w:val="24"/>
                <w:lang w:eastAsia="zh-CN"/>
              </w:rPr>
              <w:t>GB12523-2011</w:t>
            </w:r>
            <w:r>
              <w:rPr>
                <w:sz w:val="24"/>
                <w:szCs w:val="24"/>
                <w:lang w:eastAsia="zh-CN"/>
              </w:rPr>
              <w:t>)有关规定，加强管理，控制同时作业</w:t>
            </w:r>
            <w:r>
              <w:rPr>
                <w:spacing w:val="-1"/>
                <w:sz w:val="24"/>
                <w:szCs w:val="24"/>
                <w:lang w:eastAsia="zh-CN"/>
              </w:rPr>
              <w:t>的高噪声设备的数量。</w:t>
            </w:r>
            <w:r>
              <w:rPr>
                <w:spacing w:val="-5"/>
                <w:sz w:val="24"/>
                <w:szCs w:val="24"/>
                <w:lang w:eastAsia="zh-CN"/>
              </w:rPr>
              <w:t>夜间禁止作业。</w:t>
            </w:r>
          </w:p>
          <w:p w14:paraId="60324CC2">
            <w:pPr>
              <w:pStyle w:val="205"/>
              <w:spacing w:line="480" w:lineRule="exact"/>
              <w:ind w:firstLine="488" w:firstLineChars="207"/>
              <w:rPr>
                <w:sz w:val="24"/>
                <w:szCs w:val="24"/>
                <w:lang w:eastAsia="zh-CN"/>
              </w:rPr>
            </w:pPr>
            <w:r>
              <w:rPr>
                <w:spacing w:val="-2"/>
                <w:sz w:val="24"/>
                <w:szCs w:val="24"/>
                <w:lang w:eastAsia="zh-CN"/>
              </w:rPr>
              <w:t>(</w:t>
            </w:r>
            <w:r>
              <w:rPr>
                <w:rFonts w:ascii="Times New Roman" w:hAnsi="Times New Roman" w:eastAsia="Times New Roman" w:cs="Times New Roman"/>
                <w:spacing w:val="-2"/>
                <w:sz w:val="24"/>
                <w:szCs w:val="24"/>
                <w:lang w:eastAsia="zh-CN"/>
              </w:rPr>
              <w:t>2</w:t>
            </w:r>
            <w:r>
              <w:rPr>
                <w:spacing w:val="-2"/>
                <w:sz w:val="24"/>
                <w:szCs w:val="24"/>
                <w:lang w:eastAsia="zh-CN"/>
              </w:rPr>
              <w:t>)施工机械噪声往往具有突发、无规则、不连续和高强度等特点，对于此类情况，</w:t>
            </w:r>
            <w:r>
              <w:rPr>
                <w:spacing w:val="2"/>
                <w:sz w:val="24"/>
                <w:szCs w:val="24"/>
                <w:lang w:eastAsia="zh-CN"/>
              </w:rPr>
              <w:t>一般可采取合</w:t>
            </w:r>
            <w:r>
              <w:rPr>
                <w:spacing w:val="-6"/>
                <w:sz w:val="24"/>
                <w:szCs w:val="24"/>
                <w:lang w:eastAsia="zh-CN"/>
              </w:rPr>
              <w:t>的“垃圾堆场”，不然会对周围环境造成影</w:t>
            </w:r>
            <w:r>
              <w:rPr>
                <w:spacing w:val="-7"/>
                <w:sz w:val="24"/>
                <w:szCs w:val="24"/>
                <w:lang w:eastAsia="zh-CN"/>
              </w:rPr>
              <w:t>响。装修阶段产生的装修垃圾，必须及时外运，</w:t>
            </w:r>
            <w:r>
              <w:rPr>
                <w:spacing w:val="-4"/>
                <w:sz w:val="24"/>
                <w:szCs w:val="24"/>
                <w:lang w:eastAsia="zh-CN"/>
              </w:rPr>
              <w:t>在固定垃圾堆场处置。</w:t>
            </w:r>
          </w:p>
          <w:p w14:paraId="7797D32F">
            <w:pPr>
              <w:pStyle w:val="205"/>
              <w:spacing w:line="480" w:lineRule="exact"/>
              <w:ind w:firstLine="485"/>
              <w:rPr>
                <w:sz w:val="24"/>
                <w:szCs w:val="24"/>
                <w:lang w:eastAsia="zh-CN"/>
              </w:rPr>
            </w:pPr>
            <w:r>
              <w:rPr>
                <w:spacing w:val="2"/>
                <w:sz w:val="24"/>
                <w:szCs w:val="24"/>
                <w:lang w:eastAsia="zh-CN"/>
              </w:rPr>
              <w:t>另外施工期间施工人员还将产生一定量的生活垃圾，应</w:t>
            </w:r>
            <w:r>
              <w:rPr>
                <w:spacing w:val="1"/>
                <w:sz w:val="24"/>
                <w:szCs w:val="24"/>
                <w:lang w:eastAsia="zh-CN"/>
              </w:rPr>
              <w:t>收集到指定的垃圾箱内，由环</w:t>
            </w:r>
            <w:r>
              <w:rPr>
                <w:spacing w:val="-4"/>
                <w:sz w:val="24"/>
                <w:szCs w:val="24"/>
                <w:lang w:eastAsia="zh-CN"/>
              </w:rPr>
              <w:t>卫部门统一处理。</w:t>
            </w:r>
            <w:r>
              <w:rPr>
                <w:spacing w:val="2"/>
                <w:sz w:val="24"/>
                <w:szCs w:val="24"/>
                <w:lang w:eastAsia="zh-CN"/>
              </w:rPr>
              <w:t>施工机械操作时间的方法加以缓解。如噪</w:t>
            </w:r>
            <w:r>
              <w:rPr>
                <w:spacing w:val="1"/>
                <w:sz w:val="24"/>
                <w:szCs w:val="24"/>
                <w:lang w:eastAsia="zh-CN"/>
              </w:rPr>
              <w:t>声源强大的作业可放在昼间</w:t>
            </w:r>
            <w:r>
              <w:rPr>
                <w:rFonts w:ascii="Times New Roman" w:hAnsi="Times New Roman" w:eastAsia="Times New Roman" w:cs="Times New Roman"/>
                <w:spacing w:val="-1"/>
                <w:sz w:val="24"/>
                <w:szCs w:val="24"/>
                <w:lang w:eastAsia="zh-CN"/>
              </w:rPr>
              <w:t>(08:00~18:00)</w:t>
            </w:r>
            <w:r>
              <w:rPr>
                <w:spacing w:val="-1"/>
                <w:sz w:val="24"/>
                <w:szCs w:val="24"/>
                <w:lang w:eastAsia="zh-CN"/>
              </w:rPr>
              <w:t>或对各种施工机械作业时间</w:t>
            </w:r>
            <w:r>
              <w:rPr>
                <w:spacing w:val="-2"/>
                <w:sz w:val="24"/>
                <w:szCs w:val="24"/>
                <w:lang w:eastAsia="zh-CN"/>
              </w:rPr>
              <w:t>加以适当调整。</w:t>
            </w:r>
          </w:p>
          <w:p w14:paraId="0A31EDBB">
            <w:pPr>
              <w:pStyle w:val="205"/>
              <w:spacing w:line="480" w:lineRule="exact"/>
              <w:ind w:firstLine="483"/>
              <w:rPr>
                <w:sz w:val="24"/>
                <w:szCs w:val="24"/>
                <w:lang w:eastAsia="zh-CN"/>
              </w:rPr>
            </w:pPr>
            <w:r>
              <w:rPr>
                <w:spacing w:val="-6"/>
                <w:sz w:val="24"/>
                <w:szCs w:val="24"/>
                <w:lang w:eastAsia="zh-CN"/>
              </w:rPr>
              <w:t>(</w:t>
            </w:r>
            <w:r>
              <w:rPr>
                <w:rFonts w:ascii="Times New Roman" w:hAnsi="Times New Roman" w:eastAsia="Times New Roman" w:cs="Times New Roman"/>
                <w:spacing w:val="-6"/>
                <w:sz w:val="24"/>
                <w:szCs w:val="24"/>
                <w:lang w:eastAsia="zh-CN"/>
              </w:rPr>
              <w:t>3</w:t>
            </w:r>
            <w:r>
              <w:rPr>
                <w:spacing w:val="-6"/>
                <w:sz w:val="24"/>
                <w:szCs w:val="24"/>
                <w:lang w:eastAsia="zh-CN"/>
              </w:rPr>
              <w:t>)对于施工期间的材料运输、敲击、人的喊叫等施工声源，要求施工队通过文明施</w:t>
            </w:r>
            <w:r>
              <w:rPr>
                <w:spacing w:val="-3"/>
                <w:sz w:val="24"/>
                <w:szCs w:val="24"/>
                <w:lang w:eastAsia="zh-CN"/>
              </w:rPr>
              <w:t>工、加强有效管理加以缓解。</w:t>
            </w:r>
          </w:p>
          <w:p w14:paraId="41D98F39">
            <w:pPr>
              <w:pStyle w:val="205"/>
              <w:spacing w:line="480" w:lineRule="exact"/>
              <w:ind w:firstLine="480"/>
              <w:rPr>
                <w:sz w:val="24"/>
                <w:szCs w:val="24"/>
                <w:lang w:eastAsia="zh-CN"/>
              </w:rPr>
            </w:pPr>
            <w:r>
              <w:rPr>
                <w:spacing w:val="-3"/>
                <w:sz w:val="24"/>
                <w:szCs w:val="24"/>
                <w:lang w:eastAsia="zh-CN"/>
              </w:rPr>
              <w:t>(</w:t>
            </w:r>
            <w:r>
              <w:rPr>
                <w:rFonts w:ascii="Times New Roman" w:hAnsi="Times New Roman" w:eastAsia="Times New Roman" w:cs="Times New Roman"/>
                <w:spacing w:val="-3"/>
                <w:sz w:val="24"/>
                <w:szCs w:val="24"/>
                <w:lang w:eastAsia="zh-CN"/>
              </w:rPr>
              <w:t>4</w:t>
            </w:r>
            <w:r>
              <w:rPr>
                <w:spacing w:val="-3"/>
                <w:sz w:val="24"/>
                <w:szCs w:val="24"/>
                <w:lang w:eastAsia="zh-CN"/>
              </w:rPr>
              <w:t>)考虑到项目施工期间工地来往车辆行驶可能会对沿途声环境造成一定的影响，本</w:t>
            </w:r>
            <w:r>
              <w:rPr>
                <w:spacing w:val="-2"/>
                <w:sz w:val="24"/>
                <w:szCs w:val="24"/>
                <w:lang w:eastAsia="zh-CN"/>
              </w:rPr>
              <w:t>次评价建议施工材料运输应安排在白天进行，禁止夜间扰民。</w:t>
            </w:r>
          </w:p>
          <w:p w14:paraId="3E99A0FB">
            <w:pPr>
              <w:pStyle w:val="205"/>
              <w:spacing w:line="480" w:lineRule="exact"/>
              <w:ind w:firstLine="483"/>
              <w:rPr>
                <w:sz w:val="24"/>
                <w:szCs w:val="24"/>
                <w:lang w:eastAsia="zh-CN"/>
              </w:rPr>
            </w:pPr>
            <w:r>
              <w:rPr>
                <w:spacing w:val="-3"/>
                <w:sz w:val="24"/>
                <w:szCs w:val="24"/>
                <w:lang w:eastAsia="zh-CN"/>
              </w:rPr>
              <w:t>(</w:t>
            </w:r>
            <w:r>
              <w:rPr>
                <w:rFonts w:ascii="Times New Roman" w:hAnsi="Times New Roman" w:eastAsia="Times New Roman" w:cs="Times New Roman"/>
                <w:spacing w:val="-3"/>
                <w:sz w:val="24"/>
                <w:szCs w:val="24"/>
                <w:lang w:eastAsia="zh-CN"/>
              </w:rPr>
              <w:t>5</w:t>
            </w:r>
            <w:r>
              <w:rPr>
                <w:spacing w:val="-3"/>
                <w:sz w:val="24"/>
                <w:szCs w:val="24"/>
                <w:lang w:eastAsia="zh-CN"/>
              </w:rPr>
              <w:t>)运输车辆进入现场应减速，并减少鸣笛；同时应合理安排施工工期，尽量避免夜</w:t>
            </w:r>
            <w:r>
              <w:rPr>
                <w:spacing w:val="-2"/>
                <w:sz w:val="24"/>
                <w:szCs w:val="24"/>
                <w:lang w:eastAsia="zh-CN"/>
              </w:rPr>
              <w:t>间高噪声源施工，如需进行夜间施工作业，需征得当地环保部门的同意</w:t>
            </w:r>
            <w:r>
              <w:rPr>
                <w:spacing w:val="-3"/>
                <w:sz w:val="24"/>
                <w:szCs w:val="24"/>
                <w:lang w:eastAsia="zh-CN"/>
              </w:rPr>
              <w:t>，并告知周围居民，取得当地居民的谅解和支持。</w:t>
            </w:r>
          </w:p>
          <w:p w14:paraId="2C5262D2">
            <w:pPr>
              <w:pStyle w:val="205"/>
              <w:spacing w:line="480" w:lineRule="exact"/>
              <w:ind w:firstLine="487"/>
              <w:rPr>
                <w:sz w:val="24"/>
                <w:szCs w:val="24"/>
                <w:lang w:eastAsia="zh-CN"/>
              </w:rPr>
            </w:pPr>
            <w:r>
              <w:rPr>
                <w:spacing w:val="-1"/>
                <w:sz w:val="24"/>
                <w:szCs w:val="24"/>
                <w:lang w:eastAsia="zh-CN"/>
              </w:rPr>
              <w:t>(</w:t>
            </w:r>
            <w:r>
              <w:rPr>
                <w:rFonts w:ascii="Times New Roman" w:hAnsi="Times New Roman" w:eastAsia="Times New Roman" w:cs="Times New Roman"/>
                <w:spacing w:val="-1"/>
                <w:sz w:val="24"/>
                <w:szCs w:val="24"/>
                <w:lang w:eastAsia="zh-CN"/>
              </w:rPr>
              <w:t>6</w:t>
            </w:r>
            <w:r>
              <w:rPr>
                <w:spacing w:val="-1"/>
                <w:sz w:val="24"/>
                <w:szCs w:val="24"/>
                <w:lang w:eastAsia="zh-CN"/>
              </w:rPr>
              <w:t>)合理设计施工平面图：结合项目外环境关系，建议将相对固定的</w:t>
            </w:r>
            <w:r>
              <w:rPr>
                <w:spacing w:val="-2"/>
                <w:sz w:val="24"/>
                <w:szCs w:val="24"/>
                <w:lang w:eastAsia="zh-CN"/>
              </w:rPr>
              <w:t>产噪区如木工、</w:t>
            </w:r>
            <w:r>
              <w:rPr>
                <w:spacing w:val="-1"/>
                <w:sz w:val="24"/>
                <w:szCs w:val="24"/>
                <w:lang w:eastAsia="zh-CN"/>
              </w:rPr>
              <w:t>钢筋加工房等高噪声源分布在远离人群一侧。</w:t>
            </w:r>
          </w:p>
          <w:p w14:paraId="000B4440">
            <w:pPr>
              <w:pStyle w:val="205"/>
              <w:spacing w:line="480" w:lineRule="exact"/>
              <w:ind w:firstLine="426"/>
              <w:rPr>
                <w:sz w:val="24"/>
                <w:szCs w:val="24"/>
                <w:lang w:eastAsia="zh-CN"/>
              </w:rPr>
            </w:pPr>
            <w:r>
              <w:rPr>
                <w:spacing w:val="-5"/>
                <w:sz w:val="24"/>
                <w:szCs w:val="24"/>
                <w:lang w:eastAsia="zh-CN"/>
              </w:rPr>
              <w:t>(</w:t>
            </w:r>
            <w:r>
              <w:rPr>
                <w:rFonts w:ascii="Times New Roman" w:hAnsi="Times New Roman" w:eastAsia="Times New Roman" w:cs="Times New Roman"/>
                <w:spacing w:val="-5"/>
                <w:sz w:val="24"/>
                <w:szCs w:val="24"/>
                <w:lang w:eastAsia="zh-CN"/>
              </w:rPr>
              <w:t>7</w:t>
            </w:r>
            <w:r>
              <w:rPr>
                <w:spacing w:val="-5"/>
                <w:sz w:val="24"/>
                <w:szCs w:val="24"/>
                <w:lang w:eastAsia="zh-CN"/>
              </w:rPr>
              <w:t>)采用声屏障措施：在施工场地周围设置临时屏障，在施工的结构阶段和装修阶段，</w:t>
            </w:r>
            <w:r>
              <w:rPr>
                <w:spacing w:val="-1"/>
                <w:sz w:val="24"/>
                <w:szCs w:val="24"/>
                <w:lang w:eastAsia="zh-CN"/>
              </w:rPr>
              <w:t>对建筑物的外部也采用围挡，以减轻设备噪声对周围</w:t>
            </w:r>
            <w:r>
              <w:rPr>
                <w:spacing w:val="-2"/>
                <w:sz w:val="24"/>
                <w:szCs w:val="24"/>
                <w:lang w:eastAsia="zh-CN"/>
              </w:rPr>
              <w:t>环境的影响。</w:t>
            </w:r>
          </w:p>
          <w:p w14:paraId="1A929707">
            <w:pPr>
              <w:pStyle w:val="205"/>
              <w:spacing w:line="480" w:lineRule="exact"/>
              <w:rPr>
                <w:rFonts w:hint="eastAsia" w:ascii="黑体" w:hAnsi="黑体" w:eastAsia="黑体" w:cs="黑体"/>
                <w:sz w:val="24"/>
                <w:szCs w:val="24"/>
                <w:lang w:eastAsia="zh-CN"/>
              </w:rPr>
            </w:pPr>
            <w:r>
              <w:rPr>
                <w:rFonts w:hint="eastAsia" w:ascii="黑体" w:hAnsi="黑体" w:eastAsia="黑体" w:cs="黑体"/>
                <w:spacing w:val="-2"/>
                <w:sz w:val="24"/>
                <w:szCs w:val="24"/>
                <w:lang w:eastAsia="zh-CN"/>
              </w:rPr>
              <w:t>4、施工期固体废物环境保护措施</w:t>
            </w:r>
          </w:p>
          <w:p w14:paraId="6612E916">
            <w:pPr>
              <w:pStyle w:val="205"/>
              <w:spacing w:line="480" w:lineRule="exact"/>
              <w:ind w:firstLine="420"/>
              <w:rPr>
                <w:sz w:val="24"/>
                <w:szCs w:val="24"/>
                <w:lang w:eastAsia="zh-CN"/>
              </w:rPr>
            </w:pPr>
            <w:r>
              <w:rPr>
                <w:sz w:val="24"/>
                <w:szCs w:val="24"/>
                <w:lang w:eastAsia="zh-CN"/>
              </w:rPr>
              <w:t>施工期间会产生弃土和弃渣，在运输各种建筑材料(如砂石、水</w:t>
            </w:r>
            <w:r>
              <w:rPr>
                <w:spacing w:val="-1"/>
                <w:sz w:val="24"/>
                <w:szCs w:val="24"/>
                <w:lang w:eastAsia="zh-CN"/>
              </w:rPr>
              <w:t>泥、砖等)过程中以</w:t>
            </w:r>
            <w:r>
              <w:rPr>
                <w:sz w:val="24"/>
                <w:szCs w:val="24"/>
                <w:lang w:eastAsia="zh-CN"/>
              </w:rPr>
              <w:t>及在工程完成后，会残留不少废建筑材料。对于建筑垃圾，其中的钢</w:t>
            </w:r>
            <w:r>
              <w:rPr>
                <w:spacing w:val="-1"/>
                <w:sz w:val="24"/>
                <w:szCs w:val="24"/>
                <w:lang w:eastAsia="zh-CN"/>
              </w:rPr>
              <w:t>筋可以回收利用，其</w:t>
            </w:r>
            <w:r>
              <w:rPr>
                <w:spacing w:val="-2"/>
                <w:sz w:val="24"/>
                <w:szCs w:val="24"/>
                <w:lang w:eastAsia="zh-CN"/>
              </w:rPr>
              <w:t>它的混凝土块连同弃渣等均为无机物，可送至专用垃圾场所。</w:t>
            </w:r>
          </w:p>
          <w:p w14:paraId="63AE3A4E">
            <w:pPr>
              <w:adjustRightInd w:val="0"/>
              <w:snapToGrid w:val="0"/>
              <w:spacing w:line="480" w:lineRule="exact"/>
              <w:ind w:firstLine="480" w:firstLineChars="200"/>
              <w:rPr>
                <w:rFonts w:hint="eastAsia"/>
                <w:spacing w:val="-1"/>
                <w:sz w:val="24"/>
              </w:rPr>
            </w:pPr>
            <w:r>
              <w:rPr>
                <w:sz w:val="24"/>
              </w:rPr>
              <w:t>在建设过程中，建设单位应要求施工单位规范运输，不能随意倾</w:t>
            </w:r>
            <w:r>
              <w:rPr>
                <w:spacing w:val="-1"/>
                <w:sz w:val="24"/>
              </w:rPr>
              <w:t>倒建筑垃圾，制造新</w:t>
            </w:r>
            <w:r>
              <w:rPr>
                <w:rFonts w:hint="eastAsia"/>
                <w:spacing w:val="-1"/>
                <w:sz w:val="24"/>
              </w:rPr>
              <w:t>的“垃圾堆场”，不然会对周围环境造成影响。装修阶段产生的装修垃圾，必须及时外运，在固定垃圾堆场处置。</w:t>
            </w:r>
          </w:p>
          <w:p w14:paraId="27EA019D">
            <w:pPr>
              <w:adjustRightInd w:val="0"/>
              <w:snapToGrid w:val="0"/>
              <w:spacing w:line="480" w:lineRule="exact"/>
              <w:ind w:firstLine="476" w:firstLineChars="200"/>
              <w:rPr>
                <w:rFonts w:hint="eastAsia"/>
                <w:spacing w:val="-1"/>
                <w:sz w:val="24"/>
              </w:rPr>
            </w:pPr>
            <w:r>
              <w:rPr>
                <w:rFonts w:hint="eastAsia"/>
                <w:spacing w:val="-1"/>
                <w:sz w:val="24"/>
              </w:rPr>
              <w:t>另外施工期间施工人员还将产生一定量的生活垃圾，应收集到指定的垃圾箱内，由环卫部门统一处理。</w:t>
            </w:r>
          </w:p>
          <w:p w14:paraId="038D3800">
            <w:pPr>
              <w:adjustRightInd w:val="0"/>
              <w:snapToGrid w:val="0"/>
              <w:spacing w:line="480" w:lineRule="exact"/>
              <w:ind w:firstLine="476" w:firstLineChars="200"/>
              <w:rPr>
                <w:rFonts w:hint="eastAsia"/>
                <w:spacing w:val="-1"/>
                <w:sz w:val="24"/>
              </w:rPr>
            </w:pPr>
          </w:p>
          <w:p w14:paraId="0040B20A">
            <w:pPr>
              <w:adjustRightInd w:val="0"/>
              <w:snapToGrid w:val="0"/>
              <w:spacing w:line="480" w:lineRule="exact"/>
              <w:ind w:firstLine="476" w:firstLineChars="200"/>
              <w:rPr>
                <w:rFonts w:hint="eastAsia"/>
                <w:spacing w:val="-1"/>
                <w:sz w:val="24"/>
              </w:rPr>
            </w:pPr>
          </w:p>
          <w:p w14:paraId="4F2DAFE2">
            <w:pPr>
              <w:adjustRightInd w:val="0"/>
              <w:snapToGrid w:val="0"/>
              <w:spacing w:line="480" w:lineRule="exact"/>
              <w:ind w:firstLine="476" w:firstLineChars="200"/>
              <w:rPr>
                <w:rFonts w:hint="eastAsia"/>
                <w:spacing w:val="-1"/>
                <w:sz w:val="24"/>
              </w:rPr>
            </w:pPr>
          </w:p>
          <w:p w14:paraId="0A5AB716">
            <w:pPr>
              <w:adjustRightInd w:val="0"/>
              <w:snapToGrid w:val="0"/>
              <w:spacing w:line="480" w:lineRule="exact"/>
              <w:ind w:firstLine="476" w:firstLineChars="200"/>
              <w:rPr>
                <w:rFonts w:hint="eastAsia"/>
                <w:spacing w:val="-1"/>
                <w:sz w:val="24"/>
              </w:rPr>
            </w:pPr>
          </w:p>
          <w:p w14:paraId="4F37AD24">
            <w:pPr>
              <w:adjustRightInd w:val="0"/>
              <w:snapToGrid w:val="0"/>
              <w:spacing w:line="480" w:lineRule="exact"/>
              <w:ind w:firstLine="476" w:firstLineChars="200"/>
              <w:rPr>
                <w:rFonts w:hint="eastAsia"/>
                <w:spacing w:val="-1"/>
                <w:sz w:val="24"/>
              </w:rPr>
            </w:pPr>
          </w:p>
          <w:p w14:paraId="099F748E">
            <w:pPr>
              <w:adjustRightInd w:val="0"/>
              <w:snapToGrid w:val="0"/>
              <w:spacing w:line="480" w:lineRule="exact"/>
              <w:ind w:firstLine="476" w:firstLineChars="200"/>
              <w:rPr>
                <w:rFonts w:hint="eastAsia"/>
                <w:spacing w:val="-1"/>
                <w:sz w:val="24"/>
              </w:rPr>
            </w:pPr>
          </w:p>
          <w:p w14:paraId="5276D4BB">
            <w:pPr>
              <w:adjustRightInd w:val="0"/>
              <w:snapToGrid w:val="0"/>
              <w:spacing w:line="480" w:lineRule="exact"/>
              <w:ind w:firstLine="476" w:firstLineChars="200"/>
              <w:rPr>
                <w:rFonts w:hint="eastAsia"/>
                <w:spacing w:val="-1"/>
                <w:sz w:val="24"/>
              </w:rPr>
            </w:pPr>
          </w:p>
          <w:p w14:paraId="7A33D006">
            <w:pPr>
              <w:adjustRightInd w:val="0"/>
              <w:snapToGrid w:val="0"/>
              <w:spacing w:line="480" w:lineRule="exact"/>
              <w:ind w:firstLine="476" w:firstLineChars="200"/>
              <w:rPr>
                <w:rFonts w:hint="eastAsia"/>
                <w:spacing w:val="-1"/>
                <w:sz w:val="24"/>
              </w:rPr>
            </w:pPr>
          </w:p>
          <w:p w14:paraId="432E253D">
            <w:pPr>
              <w:adjustRightInd w:val="0"/>
              <w:snapToGrid w:val="0"/>
              <w:spacing w:line="480" w:lineRule="exact"/>
              <w:ind w:firstLine="476" w:firstLineChars="200"/>
              <w:rPr>
                <w:rFonts w:hint="eastAsia"/>
                <w:spacing w:val="-1"/>
                <w:sz w:val="24"/>
              </w:rPr>
            </w:pPr>
          </w:p>
          <w:p w14:paraId="2D9FC294">
            <w:pPr>
              <w:adjustRightInd w:val="0"/>
              <w:snapToGrid w:val="0"/>
              <w:spacing w:line="480" w:lineRule="exact"/>
              <w:rPr>
                <w:rFonts w:hint="eastAsia"/>
                <w:spacing w:val="-1"/>
                <w:sz w:val="24"/>
              </w:rPr>
            </w:pPr>
          </w:p>
        </w:tc>
      </w:tr>
    </w:tbl>
    <w:p w14:paraId="17094677">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sectPr>
          <w:headerReference r:id="rId9" w:type="default"/>
          <w:pgSz w:w="11906" w:h="16838"/>
          <w:pgMar w:top="1440" w:right="1440" w:bottom="1440" w:left="1440" w:header="851" w:footer="851" w:gutter="0"/>
          <w:pgNumType w:fmt="numberInDash"/>
          <w:cols w:space="720" w:num="1"/>
          <w:docGrid w:linePitch="312" w:charSpace="0"/>
        </w:sectPr>
      </w:pPr>
    </w:p>
    <w:tbl>
      <w:tblPr>
        <w:tblStyle w:val="38"/>
        <w:tblW w:w="144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3835"/>
      </w:tblGrid>
      <w:tr w14:paraId="593B2C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610" w:type="dxa"/>
            <w:noWrap w:val="0"/>
            <w:tcMar>
              <w:left w:w="28" w:type="dxa"/>
              <w:right w:w="28" w:type="dxa"/>
            </w:tcMar>
            <w:vAlign w:val="center"/>
          </w:tcPr>
          <w:p w14:paraId="1E894945">
            <w:pPr>
              <w:pStyle w:val="34"/>
              <w:adjustRightInd w:val="0"/>
              <w:snapToGrid w:val="0"/>
              <w:spacing w:before="0" w:beforeAutospacing="0" w:after="0" w:afterAutospacing="0" w:line="440" w:lineRule="exact"/>
              <w:jc w:val="center"/>
              <w:rPr>
                <w:rFonts w:hint="eastAsia" w:ascii="Times New Roman" w:hAnsi="Times New Roman"/>
                <w:kern w:val="2"/>
                <w:szCs w:val="24"/>
              </w:rPr>
            </w:pPr>
            <w:r>
              <w:rPr>
                <w:rFonts w:hint="eastAsia" w:ascii="Times New Roman" w:hAnsi="Times New Roman"/>
                <w:kern w:val="2"/>
                <w:szCs w:val="24"/>
              </w:rPr>
              <w:t>运营</w:t>
            </w:r>
          </w:p>
          <w:p w14:paraId="1F91C0A3">
            <w:pPr>
              <w:pStyle w:val="34"/>
              <w:adjustRightInd w:val="0"/>
              <w:snapToGrid w:val="0"/>
              <w:spacing w:before="0" w:beforeAutospacing="0" w:after="0" w:afterAutospacing="0" w:line="440" w:lineRule="exact"/>
              <w:jc w:val="center"/>
              <w:rPr>
                <w:rFonts w:ascii="Times New Roman" w:hAnsi="Times New Roman"/>
                <w:kern w:val="2"/>
                <w:szCs w:val="24"/>
              </w:rPr>
            </w:pPr>
            <w:r>
              <w:rPr>
                <w:rFonts w:ascii="Times New Roman" w:hAnsi="Times New Roman"/>
                <w:kern w:val="2"/>
                <w:szCs w:val="24"/>
              </w:rPr>
              <w:t>期环</w:t>
            </w:r>
          </w:p>
          <w:p w14:paraId="57983242">
            <w:pPr>
              <w:pStyle w:val="34"/>
              <w:adjustRightInd w:val="0"/>
              <w:snapToGrid w:val="0"/>
              <w:spacing w:before="0" w:beforeAutospacing="0" w:after="0" w:afterAutospacing="0" w:line="440" w:lineRule="exact"/>
              <w:jc w:val="center"/>
              <w:rPr>
                <w:rFonts w:ascii="Times New Roman" w:hAnsi="Times New Roman"/>
                <w:kern w:val="2"/>
                <w:szCs w:val="24"/>
              </w:rPr>
            </w:pPr>
            <w:r>
              <w:rPr>
                <w:rFonts w:ascii="Times New Roman" w:hAnsi="Times New Roman"/>
                <w:kern w:val="2"/>
                <w:szCs w:val="24"/>
              </w:rPr>
              <w:t>境保</w:t>
            </w:r>
          </w:p>
          <w:p w14:paraId="456E42AB">
            <w:pPr>
              <w:pStyle w:val="34"/>
              <w:adjustRightInd w:val="0"/>
              <w:snapToGrid w:val="0"/>
              <w:spacing w:before="0" w:beforeAutospacing="0" w:after="0" w:afterAutospacing="0" w:line="440" w:lineRule="exact"/>
              <w:jc w:val="center"/>
              <w:rPr>
                <w:rFonts w:ascii="Times New Roman" w:hAnsi="Times New Roman"/>
                <w:kern w:val="2"/>
                <w:szCs w:val="24"/>
              </w:rPr>
            </w:pPr>
            <w:r>
              <w:rPr>
                <w:rFonts w:ascii="Times New Roman" w:hAnsi="Times New Roman"/>
                <w:kern w:val="2"/>
                <w:szCs w:val="24"/>
              </w:rPr>
              <w:t>护措</w:t>
            </w:r>
          </w:p>
          <w:p w14:paraId="726D496F">
            <w:pPr>
              <w:pStyle w:val="34"/>
              <w:adjustRightInd w:val="0"/>
              <w:snapToGrid w:val="0"/>
              <w:spacing w:before="0" w:beforeAutospacing="0" w:after="0" w:afterAutospacing="0" w:line="440" w:lineRule="exact"/>
              <w:jc w:val="center"/>
              <w:rPr>
                <w:rFonts w:ascii="Times New Roman" w:hAnsi="Times New Roman"/>
                <w:bCs/>
                <w:kern w:val="2"/>
                <w:szCs w:val="24"/>
              </w:rPr>
            </w:pPr>
            <w:r>
              <w:rPr>
                <w:rFonts w:ascii="Times New Roman" w:hAnsi="Times New Roman"/>
                <w:kern w:val="2"/>
                <w:szCs w:val="24"/>
              </w:rPr>
              <w:t>施</w:t>
            </w:r>
          </w:p>
        </w:tc>
        <w:tc>
          <w:tcPr>
            <w:tcW w:w="13835" w:type="dxa"/>
            <w:noWrap w:val="0"/>
            <w:vAlign w:val="top"/>
          </w:tcPr>
          <w:p w14:paraId="1B1D081F">
            <w:pPr>
              <w:adjustRightInd w:val="0"/>
              <w:snapToGrid w:val="0"/>
              <w:spacing w:line="480" w:lineRule="exact"/>
              <w:rPr>
                <w:b/>
                <w:bCs/>
                <w:spacing w:val="-10"/>
                <w:sz w:val="24"/>
              </w:rPr>
            </w:pPr>
            <w:r>
              <w:rPr>
                <w:b/>
                <w:bCs/>
                <w:spacing w:val="-10"/>
                <w:sz w:val="24"/>
              </w:rPr>
              <w:t>1、废气</w:t>
            </w:r>
          </w:p>
          <w:p w14:paraId="5F0D35E7">
            <w:pPr>
              <w:autoSpaceDE w:val="0"/>
              <w:autoSpaceDN w:val="0"/>
              <w:adjustRightInd w:val="0"/>
              <w:snapToGrid w:val="0"/>
              <w:spacing w:line="480" w:lineRule="exact"/>
              <w:ind w:firstLine="442" w:firstLineChars="200"/>
              <w:jc w:val="left"/>
              <w:rPr>
                <w:b/>
                <w:bCs/>
                <w:color w:val="000000"/>
                <w:sz w:val="24"/>
              </w:rPr>
            </w:pPr>
            <w:r>
              <w:rPr>
                <w:b/>
                <w:bCs/>
                <w:color w:val="000000"/>
                <w:spacing w:val="-10"/>
                <w:sz w:val="24"/>
              </w:rPr>
              <w:t>(1)项目污染物产生及排放情况</w:t>
            </w:r>
          </w:p>
          <w:p w14:paraId="2690D07F">
            <w:pPr>
              <w:spacing w:line="480" w:lineRule="exact"/>
              <w:jc w:val="center"/>
              <w:outlineLvl w:val="0"/>
              <w:rPr>
                <w:rFonts w:hint="eastAsia" w:ascii="黑体" w:hAnsi="黑体" w:eastAsia="黑体" w:cs="黑体"/>
                <w:sz w:val="24"/>
                <w:szCs w:val="32"/>
              </w:rPr>
            </w:pPr>
            <w:r>
              <w:rPr>
                <w:rFonts w:hint="eastAsia" w:ascii="黑体" w:hAnsi="黑体" w:eastAsia="黑体" w:cs="黑体"/>
                <w:sz w:val="24"/>
                <w:szCs w:val="32"/>
              </w:rPr>
              <w:t>表4-1  项目有组织废气产生和排放情况表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26"/>
              <w:gridCol w:w="676"/>
              <w:gridCol w:w="660"/>
              <w:gridCol w:w="465"/>
              <w:gridCol w:w="885"/>
              <w:gridCol w:w="720"/>
              <w:gridCol w:w="720"/>
              <w:gridCol w:w="881"/>
              <w:gridCol w:w="426"/>
              <w:gridCol w:w="749"/>
              <w:gridCol w:w="680"/>
              <w:gridCol w:w="890"/>
              <w:gridCol w:w="721"/>
              <w:gridCol w:w="697"/>
              <w:gridCol w:w="792"/>
              <w:gridCol w:w="689"/>
              <w:gridCol w:w="691"/>
              <w:gridCol w:w="797"/>
              <w:gridCol w:w="618"/>
            </w:tblGrid>
            <w:tr w14:paraId="08BE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restart"/>
                  <w:noWrap w:val="0"/>
                  <w:vAlign w:val="center"/>
                </w:tcPr>
                <w:p w14:paraId="57189FAA">
                  <w:pPr>
                    <w:spacing w:line="320" w:lineRule="exact"/>
                    <w:jc w:val="center"/>
                    <w:rPr>
                      <w:szCs w:val="21"/>
                    </w:rPr>
                  </w:pPr>
                  <w:r>
                    <w:rPr>
                      <w:rFonts w:hint="eastAsia"/>
                      <w:szCs w:val="21"/>
                    </w:rPr>
                    <w:t>生产线</w:t>
                  </w:r>
                </w:p>
              </w:tc>
              <w:tc>
                <w:tcPr>
                  <w:tcW w:w="156" w:type="pct"/>
                  <w:vMerge w:val="restart"/>
                  <w:noWrap w:val="0"/>
                  <w:vAlign w:val="center"/>
                </w:tcPr>
                <w:p w14:paraId="200DB554">
                  <w:pPr>
                    <w:spacing w:line="320" w:lineRule="exact"/>
                    <w:jc w:val="center"/>
                    <w:rPr>
                      <w:szCs w:val="21"/>
                    </w:rPr>
                  </w:pPr>
                  <w:r>
                    <w:rPr>
                      <w:rFonts w:hint="eastAsia"/>
                      <w:szCs w:val="21"/>
                    </w:rPr>
                    <w:t>产污环节</w:t>
                  </w:r>
                </w:p>
              </w:tc>
              <w:tc>
                <w:tcPr>
                  <w:tcW w:w="248" w:type="pct"/>
                  <w:vMerge w:val="restart"/>
                  <w:noWrap w:val="0"/>
                  <w:vAlign w:val="center"/>
                </w:tcPr>
                <w:p w14:paraId="6603AB09">
                  <w:pPr>
                    <w:spacing w:line="320" w:lineRule="exact"/>
                    <w:jc w:val="center"/>
                    <w:rPr>
                      <w:szCs w:val="21"/>
                    </w:rPr>
                  </w:pPr>
                  <w:r>
                    <w:rPr>
                      <w:rFonts w:hint="eastAsia"/>
                      <w:szCs w:val="21"/>
                    </w:rPr>
                    <w:t>污染源名称</w:t>
                  </w:r>
                </w:p>
              </w:tc>
              <w:tc>
                <w:tcPr>
                  <w:tcW w:w="242" w:type="pct"/>
                  <w:vMerge w:val="restart"/>
                  <w:noWrap w:val="0"/>
                  <w:vAlign w:val="center"/>
                </w:tcPr>
                <w:p w14:paraId="497F8A39">
                  <w:pPr>
                    <w:spacing w:line="320" w:lineRule="exact"/>
                    <w:jc w:val="center"/>
                    <w:rPr>
                      <w:szCs w:val="21"/>
                    </w:rPr>
                  </w:pPr>
                  <w:r>
                    <w:rPr>
                      <w:szCs w:val="21"/>
                    </w:rPr>
                    <w:t>核算方法</w:t>
                  </w:r>
                </w:p>
              </w:tc>
              <w:tc>
                <w:tcPr>
                  <w:tcW w:w="170" w:type="pct"/>
                  <w:vMerge w:val="restart"/>
                  <w:noWrap w:val="0"/>
                  <w:vAlign w:val="center"/>
                </w:tcPr>
                <w:p w14:paraId="4AF95AA7">
                  <w:pPr>
                    <w:spacing w:line="320" w:lineRule="exact"/>
                    <w:jc w:val="center"/>
                    <w:rPr>
                      <w:szCs w:val="21"/>
                    </w:rPr>
                  </w:pPr>
                  <w:r>
                    <w:rPr>
                      <w:szCs w:val="21"/>
                    </w:rPr>
                    <w:t>排气筒编号</w:t>
                  </w:r>
                </w:p>
              </w:tc>
              <w:tc>
                <w:tcPr>
                  <w:tcW w:w="325" w:type="pct"/>
                  <w:vMerge w:val="restart"/>
                  <w:noWrap w:val="0"/>
                  <w:vAlign w:val="center"/>
                </w:tcPr>
                <w:p w14:paraId="338D7290">
                  <w:pPr>
                    <w:spacing w:line="320" w:lineRule="exact"/>
                    <w:jc w:val="center"/>
                    <w:rPr>
                      <w:szCs w:val="21"/>
                    </w:rPr>
                  </w:pPr>
                  <w:r>
                    <w:rPr>
                      <w:szCs w:val="21"/>
                    </w:rPr>
                    <w:t>污染物</w:t>
                  </w:r>
                </w:p>
              </w:tc>
              <w:tc>
                <w:tcPr>
                  <w:tcW w:w="852" w:type="pct"/>
                  <w:gridSpan w:val="3"/>
                  <w:noWrap w:val="0"/>
                  <w:vAlign w:val="center"/>
                </w:tcPr>
                <w:p w14:paraId="15A885F0">
                  <w:pPr>
                    <w:spacing w:line="320" w:lineRule="exact"/>
                    <w:jc w:val="center"/>
                    <w:rPr>
                      <w:szCs w:val="21"/>
                    </w:rPr>
                  </w:pPr>
                  <w:r>
                    <w:rPr>
                      <w:szCs w:val="21"/>
                    </w:rPr>
                    <w:t>污染物产生</w:t>
                  </w:r>
                </w:p>
              </w:tc>
              <w:tc>
                <w:tcPr>
                  <w:tcW w:w="1273" w:type="pct"/>
                  <w:gridSpan w:val="5"/>
                  <w:noWrap w:val="0"/>
                  <w:vAlign w:val="center"/>
                </w:tcPr>
                <w:p w14:paraId="696DB298">
                  <w:pPr>
                    <w:spacing w:line="320" w:lineRule="exact"/>
                    <w:jc w:val="center"/>
                    <w:rPr>
                      <w:szCs w:val="21"/>
                    </w:rPr>
                  </w:pPr>
                  <w:r>
                    <w:rPr>
                      <w:szCs w:val="21"/>
                    </w:rPr>
                    <w:t>治理措施</w:t>
                  </w:r>
                </w:p>
              </w:tc>
              <w:tc>
                <w:tcPr>
                  <w:tcW w:w="256" w:type="pct"/>
                  <w:vMerge w:val="restart"/>
                  <w:noWrap w:val="0"/>
                  <w:vAlign w:val="center"/>
                </w:tcPr>
                <w:p w14:paraId="775A398B">
                  <w:pPr>
                    <w:spacing w:line="320" w:lineRule="exact"/>
                    <w:jc w:val="center"/>
                    <w:rPr>
                      <w:szCs w:val="21"/>
                    </w:rPr>
                  </w:pPr>
                  <w:r>
                    <w:rPr>
                      <w:szCs w:val="21"/>
                    </w:rPr>
                    <w:t>是否为可行性技术</w:t>
                  </w:r>
                </w:p>
              </w:tc>
              <w:tc>
                <w:tcPr>
                  <w:tcW w:w="798" w:type="pct"/>
                  <w:gridSpan w:val="3"/>
                  <w:noWrap w:val="0"/>
                  <w:vAlign w:val="center"/>
                </w:tcPr>
                <w:p w14:paraId="467CDA3A">
                  <w:pPr>
                    <w:spacing w:line="320" w:lineRule="exact"/>
                    <w:jc w:val="center"/>
                    <w:rPr>
                      <w:szCs w:val="21"/>
                    </w:rPr>
                  </w:pPr>
                  <w:r>
                    <w:rPr>
                      <w:szCs w:val="21"/>
                    </w:rPr>
                    <w:t>污染物排放</w:t>
                  </w:r>
                </w:p>
              </w:tc>
              <w:tc>
                <w:tcPr>
                  <w:tcW w:w="519" w:type="pct"/>
                  <w:gridSpan w:val="2"/>
                  <w:noWrap w:val="0"/>
                  <w:vAlign w:val="center"/>
                </w:tcPr>
                <w:p w14:paraId="787FC28B">
                  <w:pPr>
                    <w:spacing w:line="320" w:lineRule="exact"/>
                    <w:jc w:val="center"/>
                    <w:rPr>
                      <w:szCs w:val="21"/>
                    </w:rPr>
                  </w:pPr>
                  <w:r>
                    <w:rPr>
                      <w:szCs w:val="21"/>
                    </w:rPr>
                    <w:t>标准</w:t>
                  </w:r>
                </w:p>
              </w:tc>
            </w:tr>
            <w:tr w14:paraId="1735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continue"/>
                  <w:noWrap w:val="0"/>
                  <w:vAlign w:val="center"/>
                </w:tcPr>
                <w:p w14:paraId="54F9EE5D">
                  <w:pPr>
                    <w:spacing w:line="320" w:lineRule="exact"/>
                    <w:jc w:val="center"/>
                    <w:rPr>
                      <w:szCs w:val="21"/>
                    </w:rPr>
                  </w:pPr>
                </w:p>
              </w:tc>
              <w:tc>
                <w:tcPr>
                  <w:tcW w:w="156" w:type="pct"/>
                  <w:vMerge w:val="continue"/>
                  <w:noWrap w:val="0"/>
                  <w:vAlign w:val="center"/>
                </w:tcPr>
                <w:p w14:paraId="4128A597">
                  <w:pPr>
                    <w:spacing w:line="320" w:lineRule="exact"/>
                    <w:jc w:val="center"/>
                    <w:rPr>
                      <w:szCs w:val="21"/>
                    </w:rPr>
                  </w:pPr>
                </w:p>
              </w:tc>
              <w:tc>
                <w:tcPr>
                  <w:tcW w:w="248" w:type="pct"/>
                  <w:vMerge w:val="continue"/>
                  <w:noWrap w:val="0"/>
                  <w:vAlign w:val="center"/>
                </w:tcPr>
                <w:p w14:paraId="4F3EF789">
                  <w:pPr>
                    <w:spacing w:line="320" w:lineRule="exact"/>
                    <w:jc w:val="center"/>
                    <w:rPr>
                      <w:szCs w:val="21"/>
                    </w:rPr>
                  </w:pPr>
                </w:p>
              </w:tc>
              <w:tc>
                <w:tcPr>
                  <w:tcW w:w="242" w:type="pct"/>
                  <w:vMerge w:val="continue"/>
                  <w:noWrap w:val="0"/>
                  <w:vAlign w:val="center"/>
                </w:tcPr>
                <w:p w14:paraId="39E90406">
                  <w:pPr>
                    <w:spacing w:line="320" w:lineRule="exact"/>
                    <w:jc w:val="center"/>
                    <w:rPr>
                      <w:szCs w:val="21"/>
                    </w:rPr>
                  </w:pPr>
                </w:p>
              </w:tc>
              <w:tc>
                <w:tcPr>
                  <w:tcW w:w="170" w:type="pct"/>
                  <w:vMerge w:val="continue"/>
                  <w:noWrap w:val="0"/>
                  <w:vAlign w:val="center"/>
                </w:tcPr>
                <w:p w14:paraId="2F0A6DE6">
                  <w:pPr>
                    <w:spacing w:line="320" w:lineRule="exact"/>
                    <w:jc w:val="center"/>
                    <w:rPr>
                      <w:szCs w:val="21"/>
                    </w:rPr>
                  </w:pPr>
                </w:p>
              </w:tc>
              <w:tc>
                <w:tcPr>
                  <w:tcW w:w="325" w:type="pct"/>
                  <w:vMerge w:val="continue"/>
                  <w:noWrap w:val="0"/>
                  <w:vAlign w:val="center"/>
                </w:tcPr>
                <w:p w14:paraId="3E0C2D99">
                  <w:pPr>
                    <w:spacing w:line="320" w:lineRule="exact"/>
                    <w:jc w:val="center"/>
                    <w:rPr>
                      <w:szCs w:val="21"/>
                    </w:rPr>
                  </w:pPr>
                </w:p>
              </w:tc>
              <w:tc>
                <w:tcPr>
                  <w:tcW w:w="264" w:type="pct"/>
                  <w:noWrap w:val="0"/>
                  <w:vAlign w:val="center"/>
                </w:tcPr>
                <w:p w14:paraId="5AF6E4B6">
                  <w:pPr>
                    <w:spacing w:line="320" w:lineRule="exact"/>
                    <w:jc w:val="center"/>
                    <w:rPr>
                      <w:szCs w:val="21"/>
                    </w:rPr>
                  </w:pPr>
                  <w:r>
                    <w:rPr>
                      <w:rFonts w:hint="eastAsia"/>
                      <w:szCs w:val="21"/>
                    </w:rPr>
                    <w:t>浓度</w:t>
                  </w:r>
                  <w:r>
                    <w:rPr>
                      <w:szCs w:val="21"/>
                    </w:rPr>
                    <w:t>mg</w:t>
                  </w:r>
                  <w:r>
                    <w:rPr>
                      <w:rFonts w:hint="eastAsia"/>
                      <w:szCs w:val="21"/>
                    </w:rPr>
                    <w:t>/</w:t>
                  </w:r>
                  <w:r>
                    <w:rPr>
                      <w:szCs w:val="21"/>
                    </w:rPr>
                    <w:t>m</w:t>
                  </w:r>
                  <w:r>
                    <w:rPr>
                      <w:szCs w:val="21"/>
                      <w:vertAlign w:val="superscript"/>
                    </w:rPr>
                    <w:t>3</w:t>
                  </w:r>
                </w:p>
              </w:tc>
              <w:tc>
                <w:tcPr>
                  <w:tcW w:w="264" w:type="pct"/>
                  <w:noWrap w:val="0"/>
                  <w:vAlign w:val="center"/>
                </w:tcPr>
                <w:p w14:paraId="76FF5851">
                  <w:pPr>
                    <w:spacing w:line="320" w:lineRule="exact"/>
                    <w:jc w:val="center"/>
                    <w:rPr>
                      <w:szCs w:val="21"/>
                    </w:rPr>
                  </w:pPr>
                  <w:r>
                    <w:rPr>
                      <w:szCs w:val="21"/>
                    </w:rPr>
                    <w:t>速率</w:t>
                  </w:r>
                </w:p>
                <w:p w14:paraId="0DB656B2">
                  <w:pPr>
                    <w:spacing w:line="320" w:lineRule="exact"/>
                    <w:jc w:val="center"/>
                    <w:rPr>
                      <w:szCs w:val="21"/>
                    </w:rPr>
                  </w:pPr>
                  <w:r>
                    <w:rPr>
                      <w:szCs w:val="21"/>
                    </w:rPr>
                    <w:t>kg/h</w:t>
                  </w:r>
                </w:p>
              </w:tc>
              <w:tc>
                <w:tcPr>
                  <w:tcW w:w="323" w:type="pct"/>
                  <w:noWrap w:val="0"/>
                  <w:vAlign w:val="center"/>
                </w:tcPr>
                <w:p w14:paraId="49F08272">
                  <w:pPr>
                    <w:spacing w:line="320" w:lineRule="exact"/>
                    <w:jc w:val="center"/>
                    <w:rPr>
                      <w:szCs w:val="21"/>
                    </w:rPr>
                  </w:pPr>
                  <w:r>
                    <w:rPr>
                      <w:szCs w:val="21"/>
                    </w:rPr>
                    <w:t>产生量t/a</w:t>
                  </w:r>
                </w:p>
              </w:tc>
              <w:tc>
                <w:tcPr>
                  <w:tcW w:w="156" w:type="pct"/>
                  <w:noWrap w:val="0"/>
                  <w:vAlign w:val="center"/>
                </w:tcPr>
                <w:p w14:paraId="714CBBB0">
                  <w:pPr>
                    <w:spacing w:line="320" w:lineRule="exact"/>
                    <w:jc w:val="center"/>
                    <w:rPr>
                      <w:szCs w:val="21"/>
                    </w:rPr>
                  </w:pPr>
                  <w:r>
                    <w:rPr>
                      <w:szCs w:val="21"/>
                    </w:rPr>
                    <w:t>收集措施</w:t>
                  </w:r>
                </w:p>
              </w:tc>
              <w:tc>
                <w:tcPr>
                  <w:tcW w:w="275" w:type="pct"/>
                  <w:noWrap w:val="0"/>
                  <w:vAlign w:val="center"/>
                </w:tcPr>
                <w:p w14:paraId="71E8A20A">
                  <w:pPr>
                    <w:spacing w:line="320" w:lineRule="exact"/>
                    <w:jc w:val="center"/>
                    <w:rPr>
                      <w:szCs w:val="21"/>
                    </w:rPr>
                  </w:pPr>
                  <w:r>
                    <w:rPr>
                      <w:rFonts w:hint="eastAsia"/>
                      <w:szCs w:val="21"/>
                    </w:rPr>
                    <w:t>治理能力</w:t>
                  </w:r>
                </w:p>
                <w:p w14:paraId="46ED88F6">
                  <w:pPr>
                    <w:spacing w:line="320" w:lineRule="exact"/>
                    <w:jc w:val="center"/>
                    <w:rPr>
                      <w:szCs w:val="21"/>
                    </w:rPr>
                  </w:pPr>
                  <w:r>
                    <w:rPr>
                      <w:szCs w:val="21"/>
                    </w:rPr>
                    <w:t>m</w:t>
                  </w:r>
                  <w:r>
                    <w:rPr>
                      <w:szCs w:val="21"/>
                      <w:vertAlign w:val="superscript"/>
                    </w:rPr>
                    <w:t>3</w:t>
                  </w:r>
                  <w:r>
                    <w:rPr>
                      <w:szCs w:val="21"/>
                    </w:rPr>
                    <w:t>/h</w:t>
                  </w:r>
                </w:p>
              </w:tc>
              <w:tc>
                <w:tcPr>
                  <w:tcW w:w="249" w:type="pct"/>
                  <w:noWrap w:val="0"/>
                  <w:vAlign w:val="center"/>
                </w:tcPr>
                <w:p w14:paraId="4D383B6C">
                  <w:pPr>
                    <w:spacing w:line="320" w:lineRule="exact"/>
                    <w:jc w:val="center"/>
                    <w:rPr>
                      <w:szCs w:val="21"/>
                    </w:rPr>
                  </w:pPr>
                  <w:r>
                    <w:rPr>
                      <w:szCs w:val="21"/>
                    </w:rPr>
                    <w:t>收集效率</w:t>
                  </w:r>
                  <w:r>
                    <w:rPr>
                      <w:rFonts w:hint="eastAsia"/>
                      <w:szCs w:val="21"/>
                    </w:rPr>
                    <w:t>(%)</w:t>
                  </w:r>
                </w:p>
              </w:tc>
              <w:tc>
                <w:tcPr>
                  <w:tcW w:w="326" w:type="pct"/>
                  <w:noWrap w:val="0"/>
                  <w:vAlign w:val="center"/>
                </w:tcPr>
                <w:p w14:paraId="78AABEE9">
                  <w:pPr>
                    <w:spacing w:line="320" w:lineRule="exact"/>
                    <w:jc w:val="center"/>
                    <w:rPr>
                      <w:szCs w:val="21"/>
                    </w:rPr>
                  </w:pPr>
                  <w:r>
                    <w:rPr>
                      <w:szCs w:val="21"/>
                    </w:rPr>
                    <w:t>治理措施</w:t>
                  </w:r>
                </w:p>
              </w:tc>
              <w:tc>
                <w:tcPr>
                  <w:tcW w:w="264" w:type="pct"/>
                  <w:noWrap w:val="0"/>
                  <w:vAlign w:val="center"/>
                </w:tcPr>
                <w:p w14:paraId="76105B8A">
                  <w:pPr>
                    <w:spacing w:line="320" w:lineRule="exact"/>
                    <w:jc w:val="center"/>
                    <w:rPr>
                      <w:szCs w:val="21"/>
                    </w:rPr>
                  </w:pPr>
                  <w:r>
                    <w:rPr>
                      <w:szCs w:val="21"/>
                    </w:rPr>
                    <w:t>治理效率</w:t>
                  </w:r>
                  <w:r>
                    <w:rPr>
                      <w:rFonts w:hint="eastAsia"/>
                      <w:szCs w:val="21"/>
                    </w:rPr>
                    <w:t>(%)</w:t>
                  </w:r>
                </w:p>
              </w:tc>
              <w:tc>
                <w:tcPr>
                  <w:tcW w:w="256" w:type="pct"/>
                  <w:vMerge w:val="continue"/>
                  <w:noWrap w:val="0"/>
                  <w:vAlign w:val="center"/>
                </w:tcPr>
                <w:p w14:paraId="22DAB74B">
                  <w:pPr>
                    <w:spacing w:line="320" w:lineRule="exact"/>
                    <w:jc w:val="center"/>
                    <w:rPr>
                      <w:szCs w:val="21"/>
                    </w:rPr>
                  </w:pPr>
                </w:p>
              </w:tc>
              <w:tc>
                <w:tcPr>
                  <w:tcW w:w="290" w:type="pct"/>
                  <w:noWrap w:val="0"/>
                  <w:vAlign w:val="center"/>
                </w:tcPr>
                <w:p w14:paraId="6FDA83A6">
                  <w:pPr>
                    <w:spacing w:line="320" w:lineRule="exact"/>
                    <w:jc w:val="center"/>
                    <w:rPr>
                      <w:szCs w:val="21"/>
                    </w:rPr>
                  </w:pPr>
                  <w:r>
                    <w:rPr>
                      <w:szCs w:val="21"/>
                    </w:rPr>
                    <w:t>浓度</w:t>
                  </w:r>
                </w:p>
                <w:p w14:paraId="52607448">
                  <w:pPr>
                    <w:spacing w:line="320" w:lineRule="exact"/>
                    <w:jc w:val="center"/>
                    <w:rPr>
                      <w:szCs w:val="21"/>
                    </w:rPr>
                  </w:pPr>
                  <w:r>
                    <w:rPr>
                      <w:szCs w:val="21"/>
                    </w:rPr>
                    <w:t>mg/m³</w:t>
                  </w:r>
                </w:p>
              </w:tc>
              <w:tc>
                <w:tcPr>
                  <w:tcW w:w="253" w:type="pct"/>
                  <w:noWrap w:val="0"/>
                  <w:vAlign w:val="center"/>
                </w:tcPr>
                <w:p w14:paraId="7E4E90E1">
                  <w:pPr>
                    <w:spacing w:line="320" w:lineRule="exact"/>
                    <w:jc w:val="center"/>
                    <w:rPr>
                      <w:szCs w:val="21"/>
                    </w:rPr>
                  </w:pPr>
                  <w:r>
                    <w:rPr>
                      <w:szCs w:val="21"/>
                    </w:rPr>
                    <w:t>速率</w:t>
                  </w:r>
                </w:p>
                <w:p w14:paraId="78F4BEC5">
                  <w:pPr>
                    <w:spacing w:line="320" w:lineRule="exact"/>
                    <w:jc w:val="center"/>
                    <w:rPr>
                      <w:szCs w:val="21"/>
                    </w:rPr>
                  </w:pPr>
                  <w:r>
                    <w:rPr>
                      <w:szCs w:val="21"/>
                    </w:rPr>
                    <w:t>kg/h</w:t>
                  </w:r>
                </w:p>
              </w:tc>
              <w:tc>
                <w:tcPr>
                  <w:tcW w:w="253" w:type="pct"/>
                  <w:noWrap w:val="0"/>
                  <w:vAlign w:val="center"/>
                </w:tcPr>
                <w:p w14:paraId="5325850D">
                  <w:pPr>
                    <w:spacing w:line="320" w:lineRule="exact"/>
                    <w:jc w:val="center"/>
                    <w:rPr>
                      <w:szCs w:val="21"/>
                    </w:rPr>
                  </w:pPr>
                  <w:r>
                    <w:rPr>
                      <w:szCs w:val="21"/>
                    </w:rPr>
                    <w:t>排放量t/a</w:t>
                  </w:r>
                </w:p>
              </w:tc>
              <w:tc>
                <w:tcPr>
                  <w:tcW w:w="292" w:type="pct"/>
                  <w:noWrap w:val="0"/>
                  <w:vAlign w:val="center"/>
                </w:tcPr>
                <w:p w14:paraId="751D546B">
                  <w:pPr>
                    <w:spacing w:line="320" w:lineRule="exact"/>
                    <w:jc w:val="center"/>
                    <w:textAlignment w:val="center"/>
                    <w:rPr>
                      <w:szCs w:val="21"/>
                    </w:rPr>
                  </w:pPr>
                  <w:r>
                    <w:rPr>
                      <w:szCs w:val="21"/>
                    </w:rPr>
                    <w:t>浓度mg/m</w:t>
                  </w:r>
                  <w:r>
                    <w:rPr>
                      <w:szCs w:val="21"/>
                      <w:vertAlign w:val="superscript"/>
                    </w:rPr>
                    <w:t>3</w:t>
                  </w:r>
                </w:p>
              </w:tc>
              <w:tc>
                <w:tcPr>
                  <w:tcW w:w="227" w:type="pct"/>
                  <w:noWrap w:val="0"/>
                  <w:vAlign w:val="center"/>
                </w:tcPr>
                <w:p w14:paraId="4E9EC4AE">
                  <w:pPr>
                    <w:spacing w:line="320" w:lineRule="exact"/>
                    <w:jc w:val="center"/>
                    <w:textAlignment w:val="center"/>
                    <w:rPr>
                      <w:szCs w:val="21"/>
                    </w:rPr>
                  </w:pPr>
                  <w:r>
                    <w:rPr>
                      <w:szCs w:val="21"/>
                    </w:rPr>
                    <w:t>速率kg/h</w:t>
                  </w:r>
                </w:p>
              </w:tc>
            </w:tr>
            <w:tr w14:paraId="6A95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restart"/>
                  <w:noWrap w:val="0"/>
                  <w:vAlign w:val="center"/>
                </w:tcPr>
                <w:p w14:paraId="4E4C8CEE">
                  <w:pPr>
                    <w:spacing w:line="320" w:lineRule="exact"/>
                    <w:jc w:val="center"/>
                    <w:textAlignment w:val="center"/>
                    <w:rPr>
                      <w:szCs w:val="21"/>
                    </w:rPr>
                  </w:pPr>
                  <w:r>
                    <w:rPr>
                      <w:rFonts w:hint="eastAsia"/>
                      <w:szCs w:val="21"/>
                    </w:rPr>
                    <w:t>煤矸石烧结空心砖生产线</w:t>
                  </w:r>
                </w:p>
              </w:tc>
              <w:tc>
                <w:tcPr>
                  <w:tcW w:w="156" w:type="pct"/>
                  <w:noWrap w:val="0"/>
                  <w:vAlign w:val="center"/>
                </w:tcPr>
                <w:p w14:paraId="6BD6A5D7">
                  <w:pPr>
                    <w:spacing w:line="320" w:lineRule="exact"/>
                    <w:jc w:val="center"/>
                    <w:textAlignment w:val="center"/>
                    <w:rPr>
                      <w:szCs w:val="21"/>
                    </w:rPr>
                  </w:pPr>
                  <w:r>
                    <w:rPr>
                      <w:rFonts w:hint="eastAsia"/>
                      <w:szCs w:val="21"/>
                    </w:rPr>
                    <w:t>破碎筛分</w:t>
                  </w:r>
                </w:p>
              </w:tc>
              <w:tc>
                <w:tcPr>
                  <w:tcW w:w="248" w:type="pct"/>
                  <w:noWrap w:val="0"/>
                  <w:vAlign w:val="center"/>
                </w:tcPr>
                <w:p w14:paraId="1514C2DA">
                  <w:pPr>
                    <w:spacing w:line="320" w:lineRule="exact"/>
                    <w:jc w:val="center"/>
                    <w:rPr>
                      <w:szCs w:val="21"/>
                    </w:rPr>
                  </w:pPr>
                  <w:r>
                    <w:rPr>
                      <w:rFonts w:hint="eastAsia"/>
                      <w:szCs w:val="21"/>
                      <w:lang w:val="en-US" w:eastAsia="zh-CN"/>
                    </w:rPr>
                    <w:t>上料</w:t>
                  </w:r>
                  <w:r>
                    <w:rPr>
                      <w:rFonts w:hint="eastAsia"/>
                      <w:szCs w:val="21"/>
                    </w:rPr>
                    <w:t>破碎筛分粉尘</w:t>
                  </w:r>
                </w:p>
              </w:tc>
              <w:tc>
                <w:tcPr>
                  <w:tcW w:w="242" w:type="pct"/>
                  <w:noWrap w:val="0"/>
                  <w:vAlign w:val="center"/>
                </w:tcPr>
                <w:p w14:paraId="14B8729D">
                  <w:pPr>
                    <w:spacing w:line="320" w:lineRule="exact"/>
                    <w:jc w:val="center"/>
                    <w:textAlignment w:val="center"/>
                    <w:rPr>
                      <w:rFonts w:hint="default" w:eastAsia="宋体"/>
                      <w:szCs w:val="21"/>
                      <w:lang w:val="en-US" w:eastAsia="zh-CN"/>
                    </w:rPr>
                  </w:pPr>
                  <w:r>
                    <w:rPr>
                      <w:rFonts w:hint="eastAsia"/>
                      <w:szCs w:val="21"/>
                      <w:lang w:val="en-US" w:eastAsia="zh-CN"/>
                    </w:rPr>
                    <w:t>实测法及产物系数法</w:t>
                  </w:r>
                </w:p>
              </w:tc>
              <w:tc>
                <w:tcPr>
                  <w:tcW w:w="170" w:type="pct"/>
                  <w:noWrap w:val="0"/>
                  <w:vAlign w:val="center"/>
                </w:tcPr>
                <w:p w14:paraId="323AF662">
                  <w:pPr>
                    <w:spacing w:line="320" w:lineRule="exact"/>
                    <w:jc w:val="center"/>
                    <w:textAlignment w:val="center"/>
                    <w:rPr>
                      <w:szCs w:val="21"/>
                    </w:rPr>
                  </w:pPr>
                  <w:r>
                    <w:rPr>
                      <w:rFonts w:hint="eastAsia"/>
                      <w:szCs w:val="21"/>
                    </w:rPr>
                    <w:t>DA001</w:t>
                  </w:r>
                </w:p>
              </w:tc>
              <w:tc>
                <w:tcPr>
                  <w:tcW w:w="325" w:type="pct"/>
                  <w:noWrap w:val="0"/>
                  <w:vAlign w:val="center"/>
                </w:tcPr>
                <w:p w14:paraId="64F32FFA">
                  <w:pPr>
                    <w:spacing w:line="320" w:lineRule="exact"/>
                    <w:jc w:val="center"/>
                    <w:textAlignment w:val="center"/>
                    <w:rPr>
                      <w:szCs w:val="21"/>
                    </w:rPr>
                  </w:pPr>
                  <w:r>
                    <w:rPr>
                      <w:rFonts w:hint="eastAsia"/>
                      <w:szCs w:val="21"/>
                    </w:rPr>
                    <w:t>颗粒物</w:t>
                  </w:r>
                </w:p>
              </w:tc>
              <w:tc>
                <w:tcPr>
                  <w:tcW w:w="264" w:type="pct"/>
                  <w:noWrap w:val="0"/>
                  <w:vAlign w:val="center"/>
                </w:tcPr>
                <w:p w14:paraId="29C358D2">
                  <w:pPr>
                    <w:spacing w:line="320" w:lineRule="exact"/>
                    <w:jc w:val="center"/>
                    <w:textAlignment w:val="center"/>
                    <w:rPr>
                      <w:rFonts w:hint="default" w:eastAsia="宋体"/>
                      <w:szCs w:val="21"/>
                      <w:lang w:val="en-US" w:eastAsia="zh-CN"/>
                    </w:rPr>
                  </w:pPr>
                  <w:r>
                    <w:rPr>
                      <w:rFonts w:hint="eastAsia"/>
                      <w:szCs w:val="21"/>
                      <w:lang w:val="en-US" w:eastAsia="zh-CN"/>
                    </w:rPr>
                    <w:t>906</w:t>
                  </w:r>
                </w:p>
              </w:tc>
              <w:tc>
                <w:tcPr>
                  <w:tcW w:w="264" w:type="pct"/>
                  <w:noWrap w:val="0"/>
                  <w:vAlign w:val="center"/>
                </w:tcPr>
                <w:p w14:paraId="13032A79">
                  <w:pPr>
                    <w:spacing w:line="320" w:lineRule="exact"/>
                    <w:jc w:val="center"/>
                    <w:textAlignment w:val="center"/>
                    <w:rPr>
                      <w:rFonts w:hint="default" w:eastAsia="宋体"/>
                      <w:szCs w:val="21"/>
                      <w:lang w:val="en-US" w:eastAsia="zh-CN"/>
                    </w:rPr>
                  </w:pPr>
                  <w:r>
                    <w:rPr>
                      <w:rFonts w:hint="eastAsia"/>
                      <w:szCs w:val="21"/>
                      <w:lang w:val="en-US" w:eastAsia="zh-CN"/>
                    </w:rPr>
                    <w:t>45.3</w:t>
                  </w:r>
                </w:p>
              </w:tc>
              <w:tc>
                <w:tcPr>
                  <w:tcW w:w="323" w:type="pct"/>
                  <w:noWrap w:val="0"/>
                  <w:vAlign w:val="center"/>
                </w:tcPr>
                <w:p w14:paraId="1F9E47F3">
                  <w:pPr>
                    <w:spacing w:line="320" w:lineRule="exact"/>
                    <w:jc w:val="center"/>
                    <w:textAlignment w:val="center"/>
                    <w:rPr>
                      <w:rFonts w:hint="default" w:eastAsia="宋体"/>
                      <w:szCs w:val="21"/>
                      <w:lang w:val="en-US" w:eastAsia="zh-CN"/>
                    </w:rPr>
                  </w:pPr>
                  <w:r>
                    <w:rPr>
                      <w:rFonts w:hint="eastAsia"/>
                      <w:szCs w:val="21"/>
                      <w:lang w:val="en-US" w:eastAsia="zh-CN"/>
                    </w:rPr>
                    <w:t>64</w:t>
                  </w:r>
                </w:p>
              </w:tc>
              <w:tc>
                <w:tcPr>
                  <w:tcW w:w="156" w:type="pct"/>
                  <w:noWrap w:val="0"/>
                  <w:vAlign w:val="center"/>
                </w:tcPr>
                <w:p w14:paraId="5FD36AF8">
                  <w:pPr>
                    <w:spacing w:line="320" w:lineRule="exact"/>
                    <w:jc w:val="center"/>
                    <w:rPr>
                      <w:szCs w:val="21"/>
                    </w:rPr>
                  </w:pPr>
                  <w:r>
                    <w:rPr>
                      <w:rFonts w:hint="eastAsia"/>
                      <w:szCs w:val="21"/>
                    </w:rPr>
                    <w:t>集气罩</w:t>
                  </w:r>
                </w:p>
              </w:tc>
              <w:tc>
                <w:tcPr>
                  <w:tcW w:w="275" w:type="pct"/>
                  <w:noWrap w:val="0"/>
                  <w:vAlign w:val="center"/>
                </w:tcPr>
                <w:p w14:paraId="7C4E4A66">
                  <w:pPr>
                    <w:spacing w:line="320" w:lineRule="exact"/>
                    <w:jc w:val="center"/>
                    <w:textAlignment w:val="center"/>
                    <w:rPr>
                      <w:rFonts w:hint="default" w:eastAsia="宋体"/>
                      <w:color w:val="000000"/>
                      <w:szCs w:val="21"/>
                      <w:highlight w:val="none"/>
                      <w:lang w:val="en-US" w:eastAsia="zh-CN"/>
                    </w:rPr>
                  </w:pPr>
                  <w:r>
                    <w:rPr>
                      <w:rFonts w:hint="eastAsia"/>
                      <w:color w:val="000000"/>
                      <w:szCs w:val="21"/>
                      <w:highlight w:val="none"/>
                      <w:lang w:val="en-US" w:eastAsia="zh-CN"/>
                    </w:rPr>
                    <w:t>50000</w:t>
                  </w:r>
                </w:p>
              </w:tc>
              <w:tc>
                <w:tcPr>
                  <w:tcW w:w="249" w:type="pct"/>
                  <w:noWrap w:val="0"/>
                  <w:vAlign w:val="center"/>
                </w:tcPr>
                <w:p w14:paraId="780C1ED2">
                  <w:pPr>
                    <w:spacing w:line="320" w:lineRule="exact"/>
                    <w:jc w:val="center"/>
                    <w:textAlignment w:val="center"/>
                    <w:rPr>
                      <w:szCs w:val="21"/>
                    </w:rPr>
                  </w:pPr>
                  <w:r>
                    <w:rPr>
                      <w:rFonts w:hint="eastAsia"/>
                      <w:szCs w:val="21"/>
                    </w:rPr>
                    <w:t>90</w:t>
                  </w:r>
                </w:p>
              </w:tc>
              <w:tc>
                <w:tcPr>
                  <w:tcW w:w="326" w:type="pct"/>
                  <w:noWrap w:val="0"/>
                  <w:vAlign w:val="center"/>
                </w:tcPr>
                <w:p w14:paraId="788CD543">
                  <w:pPr>
                    <w:spacing w:line="320" w:lineRule="exact"/>
                    <w:jc w:val="center"/>
                    <w:textAlignment w:val="center"/>
                    <w:rPr>
                      <w:szCs w:val="21"/>
                    </w:rPr>
                  </w:pPr>
                  <w:r>
                    <w:rPr>
                      <w:rFonts w:hint="eastAsia"/>
                      <w:szCs w:val="21"/>
                    </w:rPr>
                    <w:t>脉冲式布袋除尘器</w:t>
                  </w:r>
                </w:p>
              </w:tc>
              <w:tc>
                <w:tcPr>
                  <w:tcW w:w="264" w:type="pct"/>
                  <w:noWrap w:val="0"/>
                  <w:vAlign w:val="center"/>
                </w:tcPr>
                <w:p w14:paraId="04F4A5F5">
                  <w:pPr>
                    <w:spacing w:line="320" w:lineRule="exact"/>
                    <w:jc w:val="center"/>
                    <w:textAlignment w:val="center"/>
                    <w:rPr>
                      <w:szCs w:val="21"/>
                    </w:rPr>
                  </w:pPr>
                  <w:r>
                    <w:rPr>
                      <w:rFonts w:hint="eastAsia"/>
                      <w:szCs w:val="21"/>
                    </w:rPr>
                    <w:t>99</w:t>
                  </w:r>
                </w:p>
              </w:tc>
              <w:tc>
                <w:tcPr>
                  <w:tcW w:w="256" w:type="pct"/>
                  <w:noWrap w:val="0"/>
                  <w:vAlign w:val="center"/>
                </w:tcPr>
                <w:p w14:paraId="4E4511F0">
                  <w:pPr>
                    <w:spacing w:line="320" w:lineRule="exact"/>
                    <w:jc w:val="center"/>
                    <w:textAlignment w:val="center"/>
                    <w:rPr>
                      <w:szCs w:val="21"/>
                    </w:rPr>
                  </w:pPr>
                  <w:r>
                    <w:rPr>
                      <w:rFonts w:hint="eastAsia"/>
                      <w:szCs w:val="21"/>
                    </w:rPr>
                    <w:t>是</w:t>
                  </w:r>
                </w:p>
              </w:tc>
              <w:tc>
                <w:tcPr>
                  <w:tcW w:w="290" w:type="pct"/>
                  <w:noWrap w:val="0"/>
                  <w:vAlign w:val="center"/>
                </w:tcPr>
                <w:p w14:paraId="0AFF7F06">
                  <w:pPr>
                    <w:spacing w:line="320" w:lineRule="exact"/>
                    <w:jc w:val="center"/>
                    <w:rPr>
                      <w:rFonts w:hint="default" w:eastAsia="宋体"/>
                      <w:szCs w:val="21"/>
                      <w:lang w:val="en-US" w:eastAsia="zh-CN"/>
                    </w:rPr>
                  </w:pPr>
                  <w:r>
                    <w:rPr>
                      <w:rFonts w:hint="eastAsia"/>
                      <w:szCs w:val="21"/>
                      <w:lang w:val="en-US" w:eastAsia="zh-CN"/>
                    </w:rPr>
                    <w:t>9</w:t>
                  </w:r>
                </w:p>
              </w:tc>
              <w:tc>
                <w:tcPr>
                  <w:tcW w:w="253" w:type="pct"/>
                  <w:noWrap w:val="0"/>
                  <w:vAlign w:val="center"/>
                </w:tcPr>
                <w:p w14:paraId="751ECFC0">
                  <w:pPr>
                    <w:spacing w:line="320" w:lineRule="exact"/>
                    <w:jc w:val="center"/>
                    <w:textAlignment w:val="center"/>
                    <w:rPr>
                      <w:rFonts w:hint="default" w:eastAsia="宋体"/>
                      <w:szCs w:val="21"/>
                      <w:lang w:val="en-US" w:eastAsia="zh-CN"/>
                    </w:rPr>
                  </w:pPr>
                  <w:r>
                    <w:rPr>
                      <w:rFonts w:hint="eastAsia"/>
                      <w:szCs w:val="21"/>
                      <w:lang w:val="en-US" w:eastAsia="zh-CN"/>
                    </w:rPr>
                    <w:t>0.45</w:t>
                  </w:r>
                </w:p>
              </w:tc>
              <w:tc>
                <w:tcPr>
                  <w:tcW w:w="253" w:type="pct"/>
                  <w:noWrap w:val="0"/>
                  <w:vAlign w:val="center"/>
                </w:tcPr>
                <w:p w14:paraId="0EF4E585">
                  <w:pPr>
                    <w:spacing w:line="320" w:lineRule="exact"/>
                    <w:jc w:val="center"/>
                    <w:textAlignment w:val="center"/>
                    <w:rPr>
                      <w:rFonts w:hint="default" w:eastAsia="宋体"/>
                      <w:szCs w:val="21"/>
                      <w:lang w:val="en-US" w:eastAsia="zh-CN"/>
                    </w:rPr>
                  </w:pPr>
                  <w:r>
                    <w:rPr>
                      <w:rFonts w:hint="eastAsia"/>
                      <w:szCs w:val="21"/>
                      <w:lang w:val="en-US" w:eastAsia="zh-CN"/>
                    </w:rPr>
                    <w:t>0.57</w:t>
                  </w:r>
                </w:p>
              </w:tc>
              <w:tc>
                <w:tcPr>
                  <w:tcW w:w="292" w:type="pct"/>
                  <w:noWrap w:val="0"/>
                  <w:vAlign w:val="center"/>
                </w:tcPr>
                <w:p w14:paraId="782940B0">
                  <w:pPr>
                    <w:spacing w:line="320" w:lineRule="exact"/>
                    <w:jc w:val="center"/>
                    <w:textAlignment w:val="center"/>
                    <w:rPr>
                      <w:szCs w:val="21"/>
                    </w:rPr>
                  </w:pPr>
                  <w:r>
                    <w:rPr>
                      <w:rFonts w:hint="eastAsia"/>
                      <w:szCs w:val="21"/>
                    </w:rPr>
                    <w:t>10</w:t>
                  </w:r>
                </w:p>
              </w:tc>
              <w:tc>
                <w:tcPr>
                  <w:tcW w:w="227" w:type="pct"/>
                  <w:noWrap w:val="0"/>
                  <w:vAlign w:val="center"/>
                </w:tcPr>
                <w:p w14:paraId="6A97FEAE">
                  <w:pPr>
                    <w:spacing w:line="320" w:lineRule="exact"/>
                    <w:jc w:val="center"/>
                    <w:textAlignment w:val="center"/>
                    <w:rPr>
                      <w:szCs w:val="21"/>
                    </w:rPr>
                  </w:pPr>
                  <w:r>
                    <w:rPr>
                      <w:rFonts w:hint="eastAsia"/>
                      <w:szCs w:val="21"/>
                    </w:rPr>
                    <w:t>/</w:t>
                  </w:r>
                </w:p>
              </w:tc>
            </w:tr>
            <w:tr w14:paraId="1A9E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56" w:type="pct"/>
                  <w:vMerge w:val="continue"/>
                  <w:noWrap w:val="0"/>
                  <w:vAlign w:val="center"/>
                </w:tcPr>
                <w:p w14:paraId="47FC5218">
                  <w:pPr>
                    <w:spacing w:line="320" w:lineRule="exact"/>
                    <w:jc w:val="center"/>
                    <w:textAlignment w:val="center"/>
                    <w:rPr>
                      <w:szCs w:val="21"/>
                    </w:rPr>
                  </w:pPr>
                </w:p>
              </w:tc>
              <w:tc>
                <w:tcPr>
                  <w:tcW w:w="156" w:type="pct"/>
                  <w:vMerge w:val="restart"/>
                  <w:noWrap w:val="0"/>
                  <w:vAlign w:val="center"/>
                </w:tcPr>
                <w:p w14:paraId="5C82C222">
                  <w:pPr>
                    <w:spacing w:line="320" w:lineRule="exact"/>
                    <w:jc w:val="center"/>
                    <w:textAlignment w:val="center"/>
                    <w:rPr>
                      <w:szCs w:val="21"/>
                    </w:rPr>
                  </w:pPr>
                  <w:r>
                    <w:rPr>
                      <w:szCs w:val="21"/>
                    </w:rPr>
                    <w:t>干燥焙烧</w:t>
                  </w:r>
                </w:p>
              </w:tc>
              <w:tc>
                <w:tcPr>
                  <w:tcW w:w="248" w:type="pct"/>
                  <w:vMerge w:val="restart"/>
                  <w:noWrap w:val="0"/>
                  <w:vAlign w:val="center"/>
                </w:tcPr>
                <w:p w14:paraId="23080DEB">
                  <w:pPr>
                    <w:spacing w:line="320" w:lineRule="exact"/>
                    <w:jc w:val="center"/>
                    <w:rPr>
                      <w:szCs w:val="21"/>
                    </w:rPr>
                  </w:pPr>
                  <w:r>
                    <w:rPr>
                      <w:rFonts w:hint="eastAsia"/>
                      <w:szCs w:val="21"/>
                    </w:rPr>
                    <w:t>干燥</w:t>
                  </w:r>
                  <w:r>
                    <w:rPr>
                      <w:szCs w:val="21"/>
                    </w:rPr>
                    <w:t>焙烧废气</w:t>
                  </w:r>
                </w:p>
              </w:tc>
              <w:tc>
                <w:tcPr>
                  <w:tcW w:w="242" w:type="pct"/>
                  <w:vMerge w:val="restart"/>
                  <w:noWrap w:val="0"/>
                  <w:vAlign w:val="center"/>
                </w:tcPr>
                <w:p w14:paraId="78BE43AB">
                  <w:pPr>
                    <w:spacing w:line="320" w:lineRule="exact"/>
                    <w:jc w:val="center"/>
                    <w:textAlignment w:val="center"/>
                    <w:rPr>
                      <w:szCs w:val="21"/>
                    </w:rPr>
                  </w:pPr>
                  <w:r>
                    <w:rPr>
                      <w:rFonts w:hint="eastAsia"/>
                      <w:szCs w:val="21"/>
                      <w:lang w:val="en-US" w:eastAsia="zh-CN"/>
                    </w:rPr>
                    <w:t>实测法</w:t>
                  </w:r>
                </w:p>
              </w:tc>
              <w:tc>
                <w:tcPr>
                  <w:tcW w:w="170" w:type="pct"/>
                  <w:vMerge w:val="restart"/>
                  <w:noWrap w:val="0"/>
                  <w:vAlign w:val="center"/>
                </w:tcPr>
                <w:p w14:paraId="4C266AB0">
                  <w:pPr>
                    <w:spacing w:line="320" w:lineRule="exact"/>
                    <w:jc w:val="center"/>
                    <w:textAlignment w:val="center"/>
                    <w:rPr>
                      <w:szCs w:val="21"/>
                    </w:rPr>
                  </w:pPr>
                  <w:r>
                    <w:rPr>
                      <w:rFonts w:hint="eastAsia"/>
                      <w:szCs w:val="21"/>
                    </w:rPr>
                    <w:t>DA002</w:t>
                  </w:r>
                </w:p>
              </w:tc>
              <w:tc>
                <w:tcPr>
                  <w:tcW w:w="325" w:type="pct"/>
                  <w:noWrap w:val="0"/>
                  <w:vAlign w:val="center"/>
                </w:tcPr>
                <w:p w14:paraId="7AE2B176">
                  <w:pPr>
                    <w:spacing w:line="320" w:lineRule="exact"/>
                    <w:jc w:val="center"/>
                    <w:textAlignment w:val="center"/>
                    <w:rPr>
                      <w:szCs w:val="21"/>
                    </w:rPr>
                  </w:pPr>
                  <w:r>
                    <w:rPr>
                      <w:szCs w:val="21"/>
                    </w:rPr>
                    <w:t>颗粒物</w:t>
                  </w:r>
                </w:p>
              </w:tc>
              <w:tc>
                <w:tcPr>
                  <w:tcW w:w="264" w:type="pct"/>
                  <w:noWrap w:val="0"/>
                  <w:vAlign w:val="center"/>
                </w:tcPr>
                <w:p w14:paraId="637F57B6">
                  <w:pPr>
                    <w:spacing w:line="320" w:lineRule="exact"/>
                    <w:jc w:val="center"/>
                    <w:textAlignment w:val="center"/>
                    <w:rPr>
                      <w:rFonts w:hint="default" w:eastAsia="宋体"/>
                      <w:szCs w:val="21"/>
                      <w:lang w:val="en-US" w:eastAsia="zh-CN"/>
                    </w:rPr>
                  </w:pPr>
                  <w:r>
                    <w:rPr>
                      <w:rFonts w:hint="eastAsia"/>
                      <w:szCs w:val="21"/>
                      <w:lang w:val="en-US" w:eastAsia="zh-CN"/>
                    </w:rPr>
                    <w:t>50</w:t>
                  </w:r>
                </w:p>
              </w:tc>
              <w:tc>
                <w:tcPr>
                  <w:tcW w:w="264" w:type="pct"/>
                  <w:noWrap w:val="0"/>
                  <w:vAlign w:val="center"/>
                </w:tcPr>
                <w:p w14:paraId="6F2EF52E">
                  <w:pPr>
                    <w:spacing w:line="320" w:lineRule="exact"/>
                    <w:jc w:val="center"/>
                    <w:textAlignment w:val="center"/>
                    <w:rPr>
                      <w:rFonts w:hint="default" w:eastAsia="宋体"/>
                      <w:szCs w:val="21"/>
                      <w:lang w:val="en-US" w:eastAsia="zh-CN"/>
                    </w:rPr>
                  </w:pPr>
                  <w:r>
                    <w:rPr>
                      <w:rFonts w:hint="eastAsia"/>
                      <w:szCs w:val="21"/>
                      <w:lang w:val="en-US" w:eastAsia="zh-CN"/>
                    </w:rPr>
                    <w:t>15</w:t>
                  </w:r>
                </w:p>
              </w:tc>
              <w:tc>
                <w:tcPr>
                  <w:tcW w:w="323" w:type="pct"/>
                  <w:noWrap w:val="0"/>
                  <w:vAlign w:val="center"/>
                </w:tcPr>
                <w:p w14:paraId="7D9F88D3">
                  <w:pPr>
                    <w:spacing w:line="320" w:lineRule="exact"/>
                    <w:jc w:val="center"/>
                    <w:textAlignment w:val="center"/>
                    <w:rPr>
                      <w:rFonts w:hint="default" w:eastAsia="宋体"/>
                      <w:szCs w:val="21"/>
                      <w:lang w:val="en-US" w:eastAsia="zh-CN"/>
                    </w:rPr>
                  </w:pPr>
                  <w:r>
                    <w:rPr>
                      <w:rFonts w:hint="eastAsia"/>
                      <w:szCs w:val="21"/>
                      <w:lang w:val="en-US" w:eastAsia="zh-CN"/>
                    </w:rPr>
                    <w:t>108</w:t>
                  </w:r>
                </w:p>
              </w:tc>
              <w:tc>
                <w:tcPr>
                  <w:tcW w:w="156" w:type="pct"/>
                  <w:vMerge w:val="restart"/>
                  <w:noWrap w:val="0"/>
                  <w:vAlign w:val="center"/>
                </w:tcPr>
                <w:p w14:paraId="153B4271">
                  <w:pPr>
                    <w:spacing w:line="320" w:lineRule="exact"/>
                    <w:jc w:val="center"/>
                    <w:rPr>
                      <w:szCs w:val="21"/>
                    </w:rPr>
                  </w:pPr>
                  <w:r>
                    <w:rPr>
                      <w:rFonts w:hint="eastAsia"/>
                      <w:szCs w:val="21"/>
                    </w:rPr>
                    <w:t>管道收集</w:t>
                  </w:r>
                </w:p>
              </w:tc>
              <w:tc>
                <w:tcPr>
                  <w:tcW w:w="275" w:type="pct"/>
                  <w:vMerge w:val="restart"/>
                  <w:noWrap w:val="0"/>
                  <w:vAlign w:val="center"/>
                </w:tcPr>
                <w:p w14:paraId="42C9F29A">
                  <w:pPr>
                    <w:spacing w:line="320" w:lineRule="exact"/>
                    <w:jc w:val="center"/>
                    <w:textAlignment w:val="center"/>
                    <w:rPr>
                      <w:rFonts w:hint="default" w:eastAsia="宋体"/>
                      <w:color w:val="000000"/>
                      <w:szCs w:val="21"/>
                      <w:highlight w:val="none"/>
                      <w:lang w:val="en-US" w:eastAsia="zh-CN"/>
                    </w:rPr>
                  </w:pPr>
                  <w:r>
                    <w:rPr>
                      <w:rFonts w:hint="eastAsia"/>
                      <w:color w:val="000000"/>
                      <w:szCs w:val="21"/>
                      <w:highlight w:val="none"/>
                      <w:lang w:val="en-US" w:eastAsia="zh-CN"/>
                    </w:rPr>
                    <w:t>300000</w:t>
                  </w:r>
                </w:p>
              </w:tc>
              <w:tc>
                <w:tcPr>
                  <w:tcW w:w="249" w:type="pct"/>
                  <w:vMerge w:val="restart"/>
                  <w:noWrap w:val="0"/>
                  <w:vAlign w:val="center"/>
                </w:tcPr>
                <w:p w14:paraId="6BE8A34F">
                  <w:pPr>
                    <w:spacing w:line="320" w:lineRule="exact"/>
                    <w:jc w:val="center"/>
                    <w:textAlignment w:val="center"/>
                    <w:rPr>
                      <w:szCs w:val="21"/>
                    </w:rPr>
                  </w:pPr>
                  <w:r>
                    <w:rPr>
                      <w:rFonts w:hint="eastAsia"/>
                      <w:szCs w:val="21"/>
                    </w:rPr>
                    <w:t>100</w:t>
                  </w:r>
                </w:p>
              </w:tc>
              <w:tc>
                <w:tcPr>
                  <w:tcW w:w="326" w:type="pct"/>
                  <w:vMerge w:val="restart"/>
                  <w:noWrap w:val="0"/>
                  <w:vAlign w:val="center"/>
                </w:tcPr>
                <w:p w14:paraId="5CC6DD96">
                  <w:pPr>
                    <w:spacing w:line="320" w:lineRule="exact"/>
                    <w:jc w:val="center"/>
                  </w:pPr>
                  <w:r>
                    <w:rPr>
                      <w:rFonts w:hint="eastAsia"/>
                      <w:szCs w:val="21"/>
                      <w:lang w:val="en-US" w:eastAsia="zh-CN"/>
                    </w:rPr>
                    <w:t>SNCR+</w:t>
                  </w:r>
                  <w:r>
                    <w:rPr>
                      <w:szCs w:val="21"/>
                    </w:rPr>
                    <w:t>石灰石—石膏法</w:t>
                  </w:r>
                  <w:r>
                    <w:rPr>
                      <w:rFonts w:hint="eastAsia"/>
                      <w:szCs w:val="21"/>
                      <w:lang w:val="en-US" w:eastAsia="zh-CN"/>
                    </w:rPr>
                    <w:t>+</w:t>
                  </w:r>
                  <w:r>
                    <w:rPr>
                      <w:szCs w:val="21"/>
                    </w:rPr>
                    <w:t>湿电除尘</w:t>
                  </w:r>
                </w:p>
              </w:tc>
              <w:tc>
                <w:tcPr>
                  <w:tcW w:w="264" w:type="pct"/>
                  <w:noWrap w:val="0"/>
                  <w:vAlign w:val="center"/>
                </w:tcPr>
                <w:p w14:paraId="45EE201B">
                  <w:pPr>
                    <w:spacing w:line="320" w:lineRule="exact"/>
                    <w:jc w:val="center"/>
                    <w:textAlignment w:val="center"/>
                    <w:rPr>
                      <w:szCs w:val="21"/>
                    </w:rPr>
                  </w:pPr>
                  <w:r>
                    <w:rPr>
                      <w:rFonts w:hint="eastAsia"/>
                      <w:szCs w:val="21"/>
                    </w:rPr>
                    <w:t>92</w:t>
                  </w:r>
                </w:p>
              </w:tc>
              <w:tc>
                <w:tcPr>
                  <w:tcW w:w="256" w:type="pct"/>
                  <w:vMerge w:val="restart"/>
                  <w:noWrap w:val="0"/>
                  <w:vAlign w:val="center"/>
                </w:tcPr>
                <w:p w14:paraId="1A6792CE">
                  <w:pPr>
                    <w:spacing w:line="320" w:lineRule="exact"/>
                    <w:jc w:val="center"/>
                    <w:textAlignment w:val="center"/>
                    <w:rPr>
                      <w:szCs w:val="21"/>
                    </w:rPr>
                  </w:pPr>
                  <w:r>
                    <w:rPr>
                      <w:rFonts w:hint="eastAsia"/>
                      <w:szCs w:val="21"/>
                    </w:rPr>
                    <w:t>是</w:t>
                  </w:r>
                </w:p>
              </w:tc>
              <w:tc>
                <w:tcPr>
                  <w:tcW w:w="290" w:type="pct"/>
                  <w:noWrap w:val="0"/>
                  <w:vAlign w:val="center"/>
                </w:tcPr>
                <w:p w14:paraId="4F219735">
                  <w:pPr>
                    <w:spacing w:line="320" w:lineRule="exact"/>
                    <w:jc w:val="center"/>
                    <w:textAlignment w:val="center"/>
                    <w:rPr>
                      <w:rFonts w:hint="default" w:eastAsia="宋体"/>
                      <w:szCs w:val="21"/>
                      <w:lang w:val="en-US" w:eastAsia="zh-CN"/>
                    </w:rPr>
                  </w:pPr>
                  <w:r>
                    <w:rPr>
                      <w:rFonts w:hint="eastAsia"/>
                      <w:szCs w:val="21"/>
                      <w:lang w:val="en-US" w:eastAsia="zh-CN"/>
                    </w:rPr>
                    <w:t>4</w:t>
                  </w:r>
                </w:p>
              </w:tc>
              <w:tc>
                <w:tcPr>
                  <w:tcW w:w="253" w:type="pct"/>
                  <w:noWrap w:val="0"/>
                  <w:vAlign w:val="center"/>
                </w:tcPr>
                <w:p w14:paraId="55432EC6">
                  <w:pPr>
                    <w:spacing w:line="320" w:lineRule="exact"/>
                    <w:jc w:val="center"/>
                    <w:textAlignment w:val="center"/>
                    <w:rPr>
                      <w:rFonts w:hint="default" w:eastAsia="宋体"/>
                      <w:szCs w:val="21"/>
                      <w:lang w:val="en-US" w:eastAsia="zh-CN"/>
                    </w:rPr>
                  </w:pPr>
                  <w:r>
                    <w:rPr>
                      <w:rFonts w:hint="eastAsia"/>
                      <w:szCs w:val="21"/>
                      <w:lang w:val="en-US" w:eastAsia="zh-CN"/>
                    </w:rPr>
                    <w:t>1.2</w:t>
                  </w:r>
                </w:p>
              </w:tc>
              <w:tc>
                <w:tcPr>
                  <w:tcW w:w="253" w:type="pct"/>
                  <w:noWrap w:val="0"/>
                  <w:vAlign w:val="center"/>
                </w:tcPr>
                <w:p w14:paraId="27419AE5">
                  <w:pPr>
                    <w:spacing w:line="320" w:lineRule="exact"/>
                    <w:jc w:val="center"/>
                    <w:textAlignment w:val="center"/>
                    <w:rPr>
                      <w:rFonts w:hint="default" w:eastAsia="宋体"/>
                      <w:szCs w:val="21"/>
                      <w:lang w:val="en-US" w:eastAsia="zh-CN"/>
                    </w:rPr>
                  </w:pPr>
                  <w:r>
                    <w:rPr>
                      <w:rFonts w:hint="eastAsia"/>
                      <w:szCs w:val="21"/>
                      <w:lang w:val="en-US" w:eastAsia="zh-CN"/>
                    </w:rPr>
                    <w:t>8.64</w:t>
                  </w:r>
                </w:p>
              </w:tc>
              <w:tc>
                <w:tcPr>
                  <w:tcW w:w="292" w:type="pct"/>
                  <w:noWrap w:val="0"/>
                  <w:vAlign w:val="center"/>
                </w:tcPr>
                <w:p w14:paraId="706C5FD6">
                  <w:pPr>
                    <w:spacing w:line="320" w:lineRule="exact"/>
                    <w:jc w:val="center"/>
                    <w:textAlignment w:val="center"/>
                    <w:rPr>
                      <w:szCs w:val="21"/>
                    </w:rPr>
                  </w:pPr>
                  <w:r>
                    <w:rPr>
                      <w:rFonts w:hint="eastAsia"/>
                      <w:szCs w:val="21"/>
                    </w:rPr>
                    <w:t>10</w:t>
                  </w:r>
                </w:p>
              </w:tc>
              <w:tc>
                <w:tcPr>
                  <w:tcW w:w="227" w:type="pct"/>
                  <w:noWrap w:val="0"/>
                  <w:vAlign w:val="center"/>
                </w:tcPr>
                <w:p w14:paraId="409AE768">
                  <w:pPr>
                    <w:spacing w:line="320" w:lineRule="exact"/>
                    <w:jc w:val="center"/>
                    <w:textAlignment w:val="center"/>
                    <w:rPr>
                      <w:szCs w:val="21"/>
                    </w:rPr>
                  </w:pPr>
                  <w:r>
                    <w:rPr>
                      <w:rFonts w:hint="eastAsia"/>
                      <w:szCs w:val="21"/>
                    </w:rPr>
                    <w:t>/</w:t>
                  </w:r>
                </w:p>
              </w:tc>
            </w:tr>
            <w:tr w14:paraId="5727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6" w:type="pct"/>
                  <w:vMerge w:val="continue"/>
                  <w:noWrap w:val="0"/>
                  <w:vAlign w:val="center"/>
                </w:tcPr>
                <w:p w14:paraId="671EDA63">
                  <w:pPr>
                    <w:spacing w:line="320" w:lineRule="exact"/>
                    <w:jc w:val="center"/>
                    <w:textAlignment w:val="center"/>
                    <w:rPr>
                      <w:szCs w:val="21"/>
                    </w:rPr>
                  </w:pPr>
                </w:p>
              </w:tc>
              <w:tc>
                <w:tcPr>
                  <w:tcW w:w="156" w:type="pct"/>
                  <w:vMerge w:val="continue"/>
                  <w:noWrap w:val="0"/>
                  <w:vAlign w:val="center"/>
                </w:tcPr>
                <w:p w14:paraId="433BBB46">
                  <w:pPr>
                    <w:spacing w:line="320" w:lineRule="exact"/>
                    <w:jc w:val="center"/>
                    <w:textAlignment w:val="center"/>
                    <w:rPr>
                      <w:szCs w:val="21"/>
                    </w:rPr>
                  </w:pPr>
                </w:p>
              </w:tc>
              <w:tc>
                <w:tcPr>
                  <w:tcW w:w="248" w:type="pct"/>
                  <w:vMerge w:val="continue"/>
                  <w:noWrap w:val="0"/>
                  <w:vAlign w:val="center"/>
                </w:tcPr>
                <w:p w14:paraId="520D9AF6">
                  <w:pPr>
                    <w:spacing w:line="320" w:lineRule="exact"/>
                    <w:jc w:val="center"/>
                    <w:rPr>
                      <w:szCs w:val="21"/>
                    </w:rPr>
                  </w:pPr>
                </w:p>
              </w:tc>
              <w:tc>
                <w:tcPr>
                  <w:tcW w:w="242" w:type="pct"/>
                  <w:vMerge w:val="continue"/>
                  <w:noWrap w:val="0"/>
                  <w:vAlign w:val="center"/>
                </w:tcPr>
                <w:p w14:paraId="7D0CC7AD">
                  <w:pPr>
                    <w:spacing w:line="320" w:lineRule="exact"/>
                    <w:jc w:val="center"/>
                    <w:textAlignment w:val="center"/>
                    <w:rPr>
                      <w:szCs w:val="21"/>
                    </w:rPr>
                  </w:pPr>
                </w:p>
              </w:tc>
              <w:tc>
                <w:tcPr>
                  <w:tcW w:w="170" w:type="pct"/>
                  <w:vMerge w:val="continue"/>
                  <w:noWrap w:val="0"/>
                  <w:vAlign w:val="center"/>
                </w:tcPr>
                <w:p w14:paraId="10CCFDD7">
                  <w:pPr>
                    <w:spacing w:line="320" w:lineRule="exact"/>
                    <w:jc w:val="center"/>
                    <w:textAlignment w:val="center"/>
                    <w:rPr>
                      <w:szCs w:val="21"/>
                    </w:rPr>
                  </w:pPr>
                </w:p>
              </w:tc>
              <w:tc>
                <w:tcPr>
                  <w:tcW w:w="325" w:type="pct"/>
                  <w:noWrap w:val="0"/>
                  <w:vAlign w:val="center"/>
                </w:tcPr>
                <w:p w14:paraId="2F67CAE6">
                  <w:pPr>
                    <w:spacing w:line="320" w:lineRule="exact"/>
                    <w:jc w:val="center"/>
                    <w:textAlignment w:val="center"/>
                    <w:rPr>
                      <w:szCs w:val="21"/>
                    </w:rPr>
                  </w:pPr>
                  <w:r>
                    <w:rPr>
                      <w:rFonts w:hint="eastAsia"/>
                      <w:szCs w:val="21"/>
                    </w:rPr>
                    <w:t>SO</w:t>
                  </w:r>
                  <w:r>
                    <w:rPr>
                      <w:rFonts w:hint="eastAsia"/>
                      <w:szCs w:val="21"/>
                      <w:vertAlign w:val="subscript"/>
                    </w:rPr>
                    <w:t>2</w:t>
                  </w:r>
                </w:p>
              </w:tc>
              <w:tc>
                <w:tcPr>
                  <w:tcW w:w="264" w:type="pct"/>
                  <w:noWrap w:val="0"/>
                  <w:vAlign w:val="center"/>
                </w:tcPr>
                <w:p w14:paraId="10620101">
                  <w:pPr>
                    <w:spacing w:line="320" w:lineRule="exact"/>
                    <w:jc w:val="center"/>
                    <w:textAlignment w:val="center"/>
                    <w:rPr>
                      <w:rFonts w:hint="default" w:eastAsia="宋体"/>
                      <w:szCs w:val="21"/>
                      <w:lang w:val="en-US" w:eastAsia="zh-CN"/>
                    </w:rPr>
                  </w:pPr>
                  <w:r>
                    <w:rPr>
                      <w:rFonts w:hint="eastAsia"/>
                      <w:szCs w:val="21"/>
                      <w:lang w:val="en-US" w:eastAsia="zh-CN"/>
                    </w:rPr>
                    <w:t>584.7</w:t>
                  </w:r>
                </w:p>
              </w:tc>
              <w:tc>
                <w:tcPr>
                  <w:tcW w:w="264" w:type="pct"/>
                  <w:noWrap w:val="0"/>
                  <w:vAlign w:val="center"/>
                </w:tcPr>
                <w:p w14:paraId="4A8798AD">
                  <w:pPr>
                    <w:spacing w:line="320" w:lineRule="exact"/>
                    <w:jc w:val="center"/>
                    <w:textAlignment w:val="center"/>
                    <w:rPr>
                      <w:rFonts w:hint="default" w:eastAsia="宋体"/>
                      <w:szCs w:val="21"/>
                      <w:lang w:val="en-US" w:eastAsia="zh-CN"/>
                    </w:rPr>
                  </w:pPr>
                  <w:r>
                    <w:rPr>
                      <w:rFonts w:hint="eastAsia"/>
                      <w:szCs w:val="21"/>
                      <w:lang w:val="en-US" w:eastAsia="zh-CN"/>
                    </w:rPr>
                    <w:t>175.4</w:t>
                  </w:r>
                </w:p>
              </w:tc>
              <w:tc>
                <w:tcPr>
                  <w:tcW w:w="323" w:type="pct"/>
                  <w:noWrap w:val="0"/>
                  <w:vAlign w:val="center"/>
                </w:tcPr>
                <w:p w14:paraId="3C9EA061">
                  <w:pPr>
                    <w:spacing w:line="320" w:lineRule="exact"/>
                    <w:jc w:val="center"/>
                    <w:textAlignment w:val="center"/>
                    <w:rPr>
                      <w:rFonts w:hint="default" w:eastAsia="宋体"/>
                      <w:szCs w:val="21"/>
                      <w:lang w:val="en-US" w:eastAsia="zh-CN"/>
                    </w:rPr>
                  </w:pPr>
                  <w:r>
                    <w:rPr>
                      <w:rFonts w:hint="eastAsia"/>
                      <w:szCs w:val="21"/>
                      <w:lang w:val="en-US" w:eastAsia="zh-CN"/>
                    </w:rPr>
                    <w:t>1262.9</w:t>
                  </w:r>
                </w:p>
              </w:tc>
              <w:tc>
                <w:tcPr>
                  <w:tcW w:w="156" w:type="pct"/>
                  <w:vMerge w:val="continue"/>
                  <w:noWrap w:val="0"/>
                  <w:vAlign w:val="center"/>
                </w:tcPr>
                <w:p w14:paraId="1D10C2D0">
                  <w:pPr>
                    <w:spacing w:line="320" w:lineRule="exact"/>
                    <w:jc w:val="center"/>
                    <w:rPr>
                      <w:szCs w:val="21"/>
                    </w:rPr>
                  </w:pPr>
                </w:p>
              </w:tc>
              <w:tc>
                <w:tcPr>
                  <w:tcW w:w="275" w:type="pct"/>
                  <w:vMerge w:val="continue"/>
                  <w:noWrap w:val="0"/>
                  <w:vAlign w:val="center"/>
                </w:tcPr>
                <w:p w14:paraId="0F05D960">
                  <w:pPr>
                    <w:spacing w:line="320" w:lineRule="exact"/>
                    <w:jc w:val="center"/>
                    <w:textAlignment w:val="center"/>
                    <w:rPr>
                      <w:szCs w:val="21"/>
                    </w:rPr>
                  </w:pPr>
                </w:p>
              </w:tc>
              <w:tc>
                <w:tcPr>
                  <w:tcW w:w="249" w:type="pct"/>
                  <w:vMerge w:val="continue"/>
                  <w:noWrap w:val="0"/>
                  <w:vAlign w:val="center"/>
                </w:tcPr>
                <w:p w14:paraId="6F089BED">
                  <w:pPr>
                    <w:spacing w:line="320" w:lineRule="exact"/>
                    <w:jc w:val="center"/>
                    <w:textAlignment w:val="center"/>
                    <w:rPr>
                      <w:szCs w:val="21"/>
                    </w:rPr>
                  </w:pPr>
                </w:p>
              </w:tc>
              <w:tc>
                <w:tcPr>
                  <w:tcW w:w="326" w:type="pct"/>
                  <w:vMerge w:val="continue"/>
                  <w:noWrap w:val="0"/>
                  <w:vAlign w:val="center"/>
                </w:tcPr>
                <w:p w14:paraId="2CF36D0D">
                  <w:pPr>
                    <w:spacing w:line="320" w:lineRule="exact"/>
                    <w:jc w:val="center"/>
                    <w:rPr>
                      <w:szCs w:val="21"/>
                    </w:rPr>
                  </w:pPr>
                </w:p>
              </w:tc>
              <w:tc>
                <w:tcPr>
                  <w:tcW w:w="264" w:type="pct"/>
                  <w:noWrap w:val="0"/>
                  <w:vAlign w:val="center"/>
                </w:tcPr>
                <w:p w14:paraId="29A08D13">
                  <w:pPr>
                    <w:spacing w:line="320" w:lineRule="exact"/>
                    <w:jc w:val="center"/>
                    <w:textAlignment w:val="center"/>
                    <w:rPr>
                      <w:szCs w:val="21"/>
                    </w:rPr>
                  </w:pPr>
                  <w:r>
                    <w:rPr>
                      <w:rFonts w:hint="eastAsia"/>
                      <w:szCs w:val="21"/>
                    </w:rPr>
                    <w:t>95</w:t>
                  </w:r>
                </w:p>
              </w:tc>
              <w:tc>
                <w:tcPr>
                  <w:tcW w:w="256" w:type="pct"/>
                  <w:vMerge w:val="continue"/>
                  <w:noWrap w:val="0"/>
                  <w:vAlign w:val="center"/>
                </w:tcPr>
                <w:p w14:paraId="2B790CEA">
                  <w:pPr>
                    <w:spacing w:line="320" w:lineRule="exact"/>
                    <w:jc w:val="center"/>
                    <w:textAlignment w:val="center"/>
                    <w:rPr>
                      <w:szCs w:val="21"/>
                    </w:rPr>
                  </w:pPr>
                </w:p>
              </w:tc>
              <w:tc>
                <w:tcPr>
                  <w:tcW w:w="290" w:type="pct"/>
                  <w:noWrap w:val="0"/>
                  <w:vAlign w:val="center"/>
                </w:tcPr>
                <w:p w14:paraId="02F64B2C">
                  <w:pPr>
                    <w:spacing w:line="320" w:lineRule="exact"/>
                    <w:jc w:val="center"/>
                    <w:textAlignment w:val="center"/>
                    <w:rPr>
                      <w:rFonts w:hint="default" w:eastAsia="宋体"/>
                      <w:szCs w:val="21"/>
                      <w:lang w:val="en-US" w:eastAsia="zh-CN"/>
                    </w:rPr>
                  </w:pPr>
                  <w:r>
                    <w:rPr>
                      <w:rFonts w:hint="eastAsia"/>
                      <w:szCs w:val="21"/>
                      <w:lang w:val="en-US" w:eastAsia="zh-CN"/>
                    </w:rPr>
                    <w:t>29.2</w:t>
                  </w:r>
                </w:p>
              </w:tc>
              <w:tc>
                <w:tcPr>
                  <w:tcW w:w="253" w:type="pct"/>
                  <w:noWrap w:val="0"/>
                  <w:vAlign w:val="center"/>
                </w:tcPr>
                <w:p w14:paraId="72DBB6AB">
                  <w:pPr>
                    <w:spacing w:line="320" w:lineRule="exact"/>
                    <w:jc w:val="center"/>
                    <w:textAlignment w:val="center"/>
                    <w:rPr>
                      <w:rFonts w:hint="default" w:eastAsia="宋体"/>
                      <w:szCs w:val="21"/>
                      <w:lang w:val="en-US" w:eastAsia="zh-CN"/>
                    </w:rPr>
                  </w:pPr>
                  <w:r>
                    <w:rPr>
                      <w:rFonts w:hint="eastAsia"/>
                      <w:szCs w:val="21"/>
                      <w:lang w:val="en-US" w:eastAsia="zh-CN"/>
                    </w:rPr>
                    <w:t>8.77</w:t>
                  </w:r>
                </w:p>
              </w:tc>
              <w:tc>
                <w:tcPr>
                  <w:tcW w:w="253" w:type="pct"/>
                  <w:noWrap w:val="0"/>
                  <w:vAlign w:val="center"/>
                </w:tcPr>
                <w:p w14:paraId="4EE4FE24">
                  <w:pPr>
                    <w:spacing w:line="320" w:lineRule="exact"/>
                    <w:jc w:val="center"/>
                    <w:textAlignment w:val="center"/>
                    <w:rPr>
                      <w:rFonts w:hint="default" w:eastAsia="宋体"/>
                      <w:szCs w:val="21"/>
                      <w:lang w:val="en-US" w:eastAsia="zh-CN"/>
                    </w:rPr>
                  </w:pPr>
                  <w:r>
                    <w:rPr>
                      <w:rFonts w:hint="eastAsia"/>
                      <w:szCs w:val="21"/>
                      <w:lang w:val="en-US" w:eastAsia="zh-CN"/>
                    </w:rPr>
                    <w:t>63.1</w:t>
                  </w:r>
                </w:p>
              </w:tc>
              <w:tc>
                <w:tcPr>
                  <w:tcW w:w="292" w:type="pct"/>
                  <w:noWrap w:val="0"/>
                  <w:vAlign w:val="center"/>
                </w:tcPr>
                <w:p w14:paraId="3059C23E">
                  <w:pPr>
                    <w:spacing w:line="320" w:lineRule="exact"/>
                    <w:jc w:val="center"/>
                    <w:textAlignment w:val="center"/>
                    <w:rPr>
                      <w:szCs w:val="21"/>
                    </w:rPr>
                  </w:pPr>
                  <w:r>
                    <w:rPr>
                      <w:rFonts w:hint="eastAsia"/>
                      <w:szCs w:val="21"/>
                    </w:rPr>
                    <w:t>50</w:t>
                  </w:r>
                </w:p>
              </w:tc>
              <w:tc>
                <w:tcPr>
                  <w:tcW w:w="227" w:type="pct"/>
                  <w:noWrap w:val="0"/>
                  <w:vAlign w:val="center"/>
                </w:tcPr>
                <w:p w14:paraId="770912B3">
                  <w:pPr>
                    <w:spacing w:line="320" w:lineRule="exact"/>
                    <w:jc w:val="center"/>
                    <w:textAlignment w:val="center"/>
                    <w:rPr>
                      <w:szCs w:val="21"/>
                    </w:rPr>
                  </w:pPr>
                  <w:r>
                    <w:rPr>
                      <w:rFonts w:hint="eastAsia"/>
                      <w:szCs w:val="21"/>
                    </w:rPr>
                    <w:t>/</w:t>
                  </w:r>
                </w:p>
              </w:tc>
            </w:tr>
            <w:tr w14:paraId="775D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6" w:type="pct"/>
                  <w:vMerge w:val="continue"/>
                  <w:noWrap w:val="0"/>
                  <w:vAlign w:val="center"/>
                </w:tcPr>
                <w:p w14:paraId="23A0E808">
                  <w:pPr>
                    <w:spacing w:line="320" w:lineRule="exact"/>
                    <w:jc w:val="center"/>
                    <w:textAlignment w:val="center"/>
                    <w:rPr>
                      <w:szCs w:val="21"/>
                    </w:rPr>
                  </w:pPr>
                </w:p>
              </w:tc>
              <w:tc>
                <w:tcPr>
                  <w:tcW w:w="156" w:type="pct"/>
                  <w:vMerge w:val="continue"/>
                  <w:noWrap w:val="0"/>
                  <w:vAlign w:val="center"/>
                </w:tcPr>
                <w:p w14:paraId="76A02479">
                  <w:pPr>
                    <w:spacing w:line="320" w:lineRule="exact"/>
                    <w:jc w:val="center"/>
                    <w:textAlignment w:val="center"/>
                    <w:rPr>
                      <w:szCs w:val="21"/>
                    </w:rPr>
                  </w:pPr>
                </w:p>
              </w:tc>
              <w:tc>
                <w:tcPr>
                  <w:tcW w:w="248" w:type="pct"/>
                  <w:vMerge w:val="continue"/>
                  <w:noWrap w:val="0"/>
                  <w:vAlign w:val="center"/>
                </w:tcPr>
                <w:p w14:paraId="734FDBA3">
                  <w:pPr>
                    <w:spacing w:line="320" w:lineRule="exact"/>
                    <w:jc w:val="center"/>
                    <w:rPr>
                      <w:szCs w:val="21"/>
                    </w:rPr>
                  </w:pPr>
                </w:p>
              </w:tc>
              <w:tc>
                <w:tcPr>
                  <w:tcW w:w="242" w:type="pct"/>
                  <w:vMerge w:val="continue"/>
                  <w:noWrap w:val="0"/>
                  <w:vAlign w:val="center"/>
                </w:tcPr>
                <w:p w14:paraId="6A87A13B">
                  <w:pPr>
                    <w:spacing w:line="320" w:lineRule="exact"/>
                    <w:jc w:val="center"/>
                    <w:textAlignment w:val="center"/>
                    <w:rPr>
                      <w:szCs w:val="21"/>
                    </w:rPr>
                  </w:pPr>
                </w:p>
              </w:tc>
              <w:tc>
                <w:tcPr>
                  <w:tcW w:w="170" w:type="pct"/>
                  <w:vMerge w:val="continue"/>
                  <w:noWrap w:val="0"/>
                  <w:vAlign w:val="center"/>
                </w:tcPr>
                <w:p w14:paraId="5CD4CB5F">
                  <w:pPr>
                    <w:spacing w:line="320" w:lineRule="exact"/>
                    <w:jc w:val="center"/>
                    <w:textAlignment w:val="center"/>
                    <w:rPr>
                      <w:szCs w:val="21"/>
                    </w:rPr>
                  </w:pPr>
                </w:p>
              </w:tc>
              <w:tc>
                <w:tcPr>
                  <w:tcW w:w="325" w:type="pct"/>
                  <w:noWrap w:val="0"/>
                  <w:vAlign w:val="center"/>
                </w:tcPr>
                <w:p w14:paraId="3C2C02E0">
                  <w:pPr>
                    <w:spacing w:line="320" w:lineRule="exact"/>
                    <w:jc w:val="center"/>
                    <w:textAlignment w:val="center"/>
                    <w:rPr>
                      <w:szCs w:val="21"/>
                    </w:rPr>
                  </w:pPr>
                  <w:r>
                    <w:rPr>
                      <w:rFonts w:hint="eastAsia"/>
                      <w:szCs w:val="21"/>
                    </w:rPr>
                    <w:t>NOx</w:t>
                  </w:r>
                </w:p>
              </w:tc>
              <w:tc>
                <w:tcPr>
                  <w:tcW w:w="264" w:type="pct"/>
                  <w:noWrap w:val="0"/>
                  <w:vAlign w:val="center"/>
                </w:tcPr>
                <w:p w14:paraId="07DFFC81">
                  <w:pPr>
                    <w:spacing w:line="320" w:lineRule="exact"/>
                    <w:jc w:val="center"/>
                    <w:textAlignment w:val="center"/>
                    <w:rPr>
                      <w:rFonts w:hint="default" w:eastAsia="宋体"/>
                      <w:szCs w:val="21"/>
                      <w:lang w:val="en-US" w:eastAsia="zh-CN"/>
                    </w:rPr>
                  </w:pPr>
                  <w:r>
                    <w:rPr>
                      <w:rFonts w:hint="eastAsia"/>
                      <w:szCs w:val="21"/>
                      <w:lang w:val="en-US" w:eastAsia="zh-CN"/>
                    </w:rPr>
                    <w:t>34.8</w:t>
                  </w:r>
                </w:p>
              </w:tc>
              <w:tc>
                <w:tcPr>
                  <w:tcW w:w="264" w:type="pct"/>
                  <w:noWrap w:val="0"/>
                  <w:vAlign w:val="center"/>
                </w:tcPr>
                <w:p w14:paraId="0089B88B">
                  <w:pPr>
                    <w:spacing w:line="320" w:lineRule="exact"/>
                    <w:jc w:val="center"/>
                    <w:textAlignment w:val="center"/>
                    <w:rPr>
                      <w:rFonts w:hint="default" w:eastAsia="宋体"/>
                      <w:szCs w:val="21"/>
                      <w:lang w:val="en-US" w:eastAsia="zh-CN"/>
                    </w:rPr>
                  </w:pPr>
                  <w:r>
                    <w:rPr>
                      <w:rFonts w:hint="eastAsia"/>
                      <w:szCs w:val="21"/>
                      <w:lang w:val="en-US" w:eastAsia="zh-CN"/>
                    </w:rPr>
                    <w:t>10.44</w:t>
                  </w:r>
                </w:p>
              </w:tc>
              <w:tc>
                <w:tcPr>
                  <w:tcW w:w="323" w:type="pct"/>
                  <w:noWrap w:val="0"/>
                  <w:vAlign w:val="center"/>
                </w:tcPr>
                <w:p w14:paraId="00501624">
                  <w:pPr>
                    <w:spacing w:line="320" w:lineRule="exact"/>
                    <w:jc w:val="center"/>
                    <w:textAlignment w:val="center"/>
                    <w:rPr>
                      <w:rFonts w:hint="default" w:eastAsia="宋体"/>
                      <w:szCs w:val="21"/>
                      <w:lang w:val="en-US" w:eastAsia="zh-CN"/>
                    </w:rPr>
                  </w:pPr>
                  <w:r>
                    <w:rPr>
                      <w:rFonts w:hint="eastAsia"/>
                      <w:szCs w:val="21"/>
                      <w:lang w:val="en-US" w:eastAsia="zh-CN"/>
                    </w:rPr>
                    <w:t>75.2</w:t>
                  </w:r>
                </w:p>
              </w:tc>
              <w:tc>
                <w:tcPr>
                  <w:tcW w:w="156" w:type="pct"/>
                  <w:vMerge w:val="continue"/>
                  <w:noWrap w:val="0"/>
                  <w:vAlign w:val="center"/>
                </w:tcPr>
                <w:p w14:paraId="311A219C">
                  <w:pPr>
                    <w:spacing w:line="320" w:lineRule="exact"/>
                    <w:jc w:val="center"/>
                    <w:rPr>
                      <w:szCs w:val="21"/>
                    </w:rPr>
                  </w:pPr>
                </w:p>
              </w:tc>
              <w:tc>
                <w:tcPr>
                  <w:tcW w:w="275" w:type="pct"/>
                  <w:vMerge w:val="continue"/>
                  <w:noWrap w:val="0"/>
                  <w:vAlign w:val="center"/>
                </w:tcPr>
                <w:p w14:paraId="15AC70E6">
                  <w:pPr>
                    <w:spacing w:line="320" w:lineRule="exact"/>
                    <w:jc w:val="center"/>
                    <w:textAlignment w:val="center"/>
                    <w:rPr>
                      <w:szCs w:val="21"/>
                    </w:rPr>
                  </w:pPr>
                </w:p>
              </w:tc>
              <w:tc>
                <w:tcPr>
                  <w:tcW w:w="249" w:type="pct"/>
                  <w:vMerge w:val="continue"/>
                  <w:noWrap w:val="0"/>
                  <w:vAlign w:val="center"/>
                </w:tcPr>
                <w:p w14:paraId="080A93DB">
                  <w:pPr>
                    <w:spacing w:line="320" w:lineRule="exact"/>
                    <w:jc w:val="center"/>
                    <w:textAlignment w:val="center"/>
                    <w:rPr>
                      <w:szCs w:val="21"/>
                    </w:rPr>
                  </w:pPr>
                </w:p>
              </w:tc>
              <w:tc>
                <w:tcPr>
                  <w:tcW w:w="326" w:type="pct"/>
                  <w:vMerge w:val="continue"/>
                  <w:noWrap w:val="0"/>
                  <w:vAlign w:val="center"/>
                </w:tcPr>
                <w:p w14:paraId="77B21021">
                  <w:pPr>
                    <w:spacing w:line="320" w:lineRule="exact"/>
                    <w:jc w:val="center"/>
                    <w:rPr>
                      <w:szCs w:val="21"/>
                    </w:rPr>
                  </w:pPr>
                </w:p>
              </w:tc>
              <w:tc>
                <w:tcPr>
                  <w:tcW w:w="264" w:type="pct"/>
                  <w:noWrap w:val="0"/>
                  <w:vAlign w:val="center"/>
                </w:tcPr>
                <w:p w14:paraId="7076710D">
                  <w:pPr>
                    <w:spacing w:line="320" w:lineRule="exact"/>
                    <w:jc w:val="center"/>
                    <w:textAlignment w:val="center"/>
                    <w:rPr>
                      <w:rFonts w:hint="default" w:eastAsia="宋体"/>
                      <w:szCs w:val="21"/>
                      <w:lang w:val="en-US" w:eastAsia="zh-CN"/>
                    </w:rPr>
                  </w:pPr>
                  <w:r>
                    <w:rPr>
                      <w:rFonts w:hint="eastAsia"/>
                      <w:szCs w:val="21"/>
                      <w:lang w:val="en-US" w:eastAsia="zh-CN"/>
                    </w:rPr>
                    <w:t>50</w:t>
                  </w:r>
                </w:p>
              </w:tc>
              <w:tc>
                <w:tcPr>
                  <w:tcW w:w="256" w:type="pct"/>
                  <w:vMerge w:val="continue"/>
                  <w:noWrap w:val="0"/>
                  <w:vAlign w:val="center"/>
                </w:tcPr>
                <w:p w14:paraId="2730B704">
                  <w:pPr>
                    <w:spacing w:line="320" w:lineRule="exact"/>
                    <w:jc w:val="center"/>
                    <w:textAlignment w:val="center"/>
                    <w:rPr>
                      <w:szCs w:val="21"/>
                    </w:rPr>
                  </w:pPr>
                </w:p>
              </w:tc>
              <w:tc>
                <w:tcPr>
                  <w:tcW w:w="290" w:type="pct"/>
                  <w:noWrap w:val="0"/>
                  <w:vAlign w:val="center"/>
                </w:tcPr>
                <w:p w14:paraId="7ADCB1AC">
                  <w:pPr>
                    <w:spacing w:line="320" w:lineRule="exact"/>
                    <w:jc w:val="center"/>
                    <w:textAlignment w:val="center"/>
                    <w:rPr>
                      <w:rFonts w:hint="default"/>
                      <w:szCs w:val="21"/>
                      <w:lang w:val="en-US"/>
                    </w:rPr>
                  </w:pPr>
                  <w:r>
                    <w:rPr>
                      <w:rFonts w:hint="eastAsia"/>
                      <w:szCs w:val="21"/>
                      <w:lang w:val="en-US" w:eastAsia="zh-CN"/>
                    </w:rPr>
                    <w:t>17.4</w:t>
                  </w:r>
                </w:p>
              </w:tc>
              <w:tc>
                <w:tcPr>
                  <w:tcW w:w="253" w:type="pct"/>
                  <w:noWrap w:val="0"/>
                  <w:vAlign w:val="center"/>
                </w:tcPr>
                <w:p w14:paraId="6A7332C9">
                  <w:pPr>
                    <w:spacing w:line="320" w:lineRule="exact"/>
                    <w:jc w:val="center"/>
                    <w:textAlignment w:val="center"/>
                    <w:rPr>
                      <w:rFonts w:hint="default"/>
                      <w:szCs w:val="21"/>
                      <w:lang w:val="en-US"/>
                    </w:rPr>
                  </w:pPr>
                  <w:r>
                    <w:rPr>
                      <w:rFonts w:hint="eastAsia"/>
                      <w:szCs w:val="21"/>
                      <w:lang w:val="en-US" w:eastAsia="zh-CN"/>
                    </w:rPr>
                    <w:t>5.22</w:t>
                  </w:r>
                </w:p>
              </w:tc>
              <w:tc>
                <w:tcPr>
                  <w:tcW w:w="253" w:type="pct"/>
                  <w:noWrap w:val="0"/>
                  <w:vAlign w:val="center"/>
                </w:tcPr>
                <w:p w14:paraId="30D563F9">
                  <w:pPr>
                    <w:spacing w:line="320" w:lineRule="exact"/>
                    <w:jc w:val="center"/>
                    <w:textAlignment w:val="center"/>
                    <w:rPr>
                      <w:rFonts w:hint="default"/>
                      <w:szCs w:val="21"/>
                      <w:lang w:val="en-US"/>
                    </w:rPr>
                  </w:pPr>
                  <w:r>
                    <w:rPr>
                      <w:rFonts w:hint="eastAsia"/>
                      <w:szCs w:val="21"/>
                      <w:lang w:val="en-US" w:eastAsia="zh-CN"/>
                    </w:rPr>
                    <w:t>37.6</w:t>
                  </w:r>
                </w:p>
              </w:tc>
              <w:tc>
                <w:tcPr>
                  <w:tcW w:w="292" w:type="pct"/>
                  <w:noWrap w:val="0"/>
                  <w:vAlign w:val="center"/>
                </w:tcPr>
                <w:p w14:paraId="0E717FFC">
                  <w:pPr>
                    <w:spacing w:line="320" w:lineRule="exact"/>
                    <w:jc w:val="center"/>
                    <w:textAlignment w:val="center"/>
                    <w:rPr>
                      <w:szCs w:val="21"/>
                    </w:rPr>
                  </w:pPr>
                  <w:r>
                    <w:rPr>
                      <w:rFonts w:hint="eastAsia"/>
                      <w:szCs w:val="21"/>
                    </w:rPr>
                    <w:t>100</w:t>
                  </w:r>
                </w:p>
              </w:tc>
              <w:tc>
                <w:tcPr>
                  <w:tcW w:w="227" w:type="pct"/>
                  <w:noWrap w:val="0"/>
                  <w:vAlign w:val="center"/>
                </w:tcPr>
                <w:p w14:paraId="6B3CA05E">
                  <w:pPr>
                    <w:spacing w:line="320" w:lineRule="exact"/>
                    <w:jc w:val="center"/>
                    <w:textAlignment w:val="center"/>
                    <w:rPr>
                      <w:szCs w:val="21"/>
                    </w:rPr>
                  </w:pPr>
                  <w:r>
                    <w:rPr>
                      <w:rFonts w:hint="eastAsia"/>
                      <w:szCs w:val="21"/>
                    </w:rPr>
                    <w:t>/</w:t>
                  </w:r>
                </w:p>
              </w:tc>
            </w:tr>
            <w:tr w14:paraId="06FE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continue"/>
                  <w:noWrap w:val="0"/>
                  <w:vAlign w:val="center"/>
                </w:tcPr>
                <w:p w14:paraId="7B084AAB">
                  <w:pPr>
                    <w:spacing w:line="320" w:lineRule="exact"/>
                    <w:jc w:val="center"/>
                    <w:textAlignment w:val="center"/>
                    <w:rPr>
                      <w:szCs w:val="21"/>
                    </w:rPr>
                  </w:pPr>
                </w:p>
              </w:tc>
              <w:tc>
                <w:tcPr>
                  <w:tcW w:w="156" w:type="pct"/>
                  <w:vMerge w:val="continue"/>
                  <w:noWrap w:val="0"/>
                  <w:vAlign w:val="center"/>
                </w:tcPr>
                <w:p w14:paraId="22AEDAA7">
                  <w:pPr>
                    <w:spacing w:line="320" w:lineRule="exact"/>
                    <w:jc w:val="center"/>
                    <w:textAlignment w:val="center"/>
                    <w:rPr>
                      <w:szCs w:val="21"/>
                    </w:rPr>
                  </w:pPr>
                </w:p>
              </w:tc>
              <w:tc>
                <w:tcPr>
                  <w:tcW w:w="248" w:type="pct"/>
                  <w:vMerge w:val="continue"/>
                  <w:noWrap w:val="0"/>
                  <w:vAlign w:val="center"/>
                </w:tcPr>
                <w:p w14:paraId="39C0336A">
                  <w:pPr>
                    <w:spacing w:line="320" w:lineRule="exact"/>
                    <w:jc w:val="center"/>
                    <w:rPr>
                      <w:szCs w:val="21"/>
                    </w:rPr>
                  </w:pPr>
                </w:p>
              </w:tc>
              <w:tc>
                <w:tcPr>
                  <w:tcW w:w="242" w:type="pct"/>
                  <w:vMerge w:val="continue"/>
                  <w:noWrap w:val="0"/>
                  <w:vAlign w:val="center"/>
                </w:tcPr>
                <w:p w14:paraId="003637DE">
                  <w:pPr>
                    <w:spacing w:line="320" w:lineRule="exact"/>
                    <w:jc w:val="center"/>
                    <w:textAlignment w:val="center"/>
                    <w:rPr>
                      <w:szCs w:val="21"/>
                    </w:rPr>
                  </w:pPr>
                </w:p>
              </w:tc>
              <w:tc>
                <w:tcPr>
                  <w:tcW w:w="170" w:type="pct"/>
                  <w:vMerge w:val="continue"/>
                  <w:noWrap w:val="0"/>
                  <w:vAlign w:val="center"/>
                </w:tcPr>
                <w:p w14:paraId="5DDC8915">
                  <w:pPr>
                    <w:spacing w:line="320" w:lineRule="exact"/>
                    <w:jc w:val="center"/>
                    <w:textAlignment w:val="center"/>
                    <w:rPr>
                      <w:szCs w:val="21"/>
                    </w:rPr>
                  </w:pPr>
                </w:p>
              </w:tc>
              <w:tc>
                <w:tcPr>
                  <w:tcW w:w="325" w:type="pct"/>
                  <w:noWrap w:val="0"/>
                  <w:vAlign w:val="center"/>
                </w:tcPr>
                <w:p w14:paraId="1519F720">
                  <w:pPr>
                    <w:spacing w:line="320" w:lineRule="exact"/>
                    <w:jc w:val="center"/>
                    <w:textAlignment w:val="center"/>
                    <w:rPr>
                      <w:szCs w:val="21"/>
                    </w:rPr>
                  </w:pPr>
                  <w:r>
                    <w:rPr>
                      <w:szCs w:val="21"/>
                    </w:rPr>
                    <w:t>氟化物</w:t>
                  </w:r>
                </w:p>
              </w:tc>
              <w:tc>
                <w:tcPr>
                  <w:tcW w:w="264" w:type="pct"/>
                  <w:noWrap w:val="0"/>
                  <w:vAlign w:val="center"/>
                </w:tcPr>
                <w:p w14:paraId="58E252CE">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1.7</w:t>
                  </w:r>
                </w:p>
              </w:tc>
              <w:tc>
                <w:tcPr>
                  <w:tcW w:w="264" w:type="pct"/>
                  <w:noWrap w:val="0"/>
                  <w:vAlign w:val="center"/>
                </w:tcPr>
                <w:p w14:paraId="18F7B4E2">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0.52</w:t>
                  </w:r>
                </w:p>
              </w:tc>
              <w:tc>
                <w:tcPr>
                  <w:tcW w:w="323" w:type="pct"/>
                  <w:noWrap w:val="0"/>
                  <w:vAlign w:val="center"/>
                </w:tcPr>
                <w:p w14:paraId="1B9BC1A4">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3.7</w:t>
                  </w:r>
                </w:p>
              </w:tc>
              <w:tc>
                <w:tcPr>
                  <w:tcW w:w="156" w:type="pct"/>
                  <w:vMerge w:val="continue"/>
                  <w:noWrap w:val="0"/>
                  <w:vAlign w:val="center"/>
                </w:tcPr>
                <w:p w14:paraId="59192627">
                  <w:pPr>
                    <w:spacing w:line="320" w:lineRule="exact"/>
                    <w:jc w:val="center"/>
                    <w:rPr>
                      <w:color w:val="000000"/>
                      <w:szCs w:val="21"/>
                    </w:rPr>
                  </w:pPr>
                </w:p>
              </w:tc>
              <w:tc>
                <w:tcPr>
                  <w:tcW w:w="275" w:type="pct"/>
                  <w:vMerge w:val="continue"/>
                  <w:noWrap w:val="0"/>
                  <w:vAlign w:val="center"/>
                </w:tcPr>
                <w:p w14:paraId="339E9DCC">
                  <w:pPr>
                    <w:spacing w:line="320" w:lineRule="exact"/>
                    <w:jc w:val="center"/>
                    <w:textAlignment w:val="center"/>
                    <w:rPr>
                      <w:color w:val="000000"/>
                      <w:szCs w:val="21"/>
                    </w:rPr>
                  </w:pPr>
                </w:p>
              </w:tc>
              <w:tc>
                <w:tcPr>
                  <w:tcW w:w="249" w:type="pct"/>
                  <w:vMerge w:val="continue"/>
                  <w:noWrap w:val="0"/>
                  <w:vAlign w:val="center"/>
                </w:tcPr>
                <w:p w14:paraId="36E35AC9">
                  <w:pPr>
                    <w:spacing w:line="320" w:lineRule="exact"/>
                    <w:jc w:val="center"/>
                    <w:textAlignment w:val="center"/>
                    <w:rPr>
                      <w:color w:val="000000"/>
                      <w:szCs w:val="21"/>
                    </w:rPr>
                  </w:pPr>
                </w:p>
              </w:tc>
              <w:tc>
                <w:tcPr>
                  <w:tcW w:w="326" w:type="pct"/>
                  <w:vMerge w:val="continue"/>
                  <w:noWrap w:val="0"/>
                  <w:vAlign w:val="center"/>
                </w:tcPr>
                <w:p w14:paraId="2EE3DF3A">
                  <w:pPr>
                    <w:spacing w:line="320" w:lineRule="exact"/>
                    <w:jc w:val="center"/>
                    <w:rPr>
                      <w:color w:val="000000"/>
                      <w:szCs w:val="21"/>
                    </w:rPr>
                  </w:pPr>
                </w:p>
              </w:tc>
              <w:tc>
                <w:tcPr>
                  <w:tcW w:w="264" w:type="pct"/>
                  <w:noWrap w:val="0"/>
                  <w:vAlign w:val="center"/>
                </w:tcPr>
                <w:p w14:paraId="166D41F0">
                  <w:pPr>
                    <w:spacing w:line="320" w:lineRule="exact"/>
                    <w:jc w:val="center"/>
                    <w:textAlignment w:val="center"/>
                    <w:rPr>
                      <w:color w:val="000000"/>
                      <w:szCs w:val="21"/>
                    </w:rPr>
                  </w:pPr>
                  <w:r>
                    <w:rPr>
                      <w:rFonts w:hint="eastAsia"/>
                      <w:color w:val="000000"/>
                      <w:szCs w:val="21"/>
                    </w:rPr>
                    <w:t>40</w:t>
                  </w:r>
                </w:p>
              </w:tc>
              <w:tc>
                <w:tcPr>
                  <w:tcW w:w="256" w:type="pct"/>
                  <w:vMerge w:val="continue"/>
                  <w:noWrap w:val="0"/>
                  <w:vAlign w:val="center"/>
                </w:tcPr>
                <w:p w14:paraId="72525DDD">
                  <w:pPr>
                    <w:spacing w:line="320" w:lineRule="exact"/>
                    <w:jc w:val="center"/>
                    <w:textAlignment w:val="center"/>
                    <w:rPr>
                      <w:color w:val="000000"/>
                      <w:szCs w:val="21"/>
                    </w:rPr>
                  </w:pPr>
                </w:p>
              </w:tc>
              <w:tc>
                <w:tcPr>
                  <w:tcW w:w="290" w:type="pct"/>
                  <w:noWrap w:val="0"/>
                  <w:vAlign w:val="center"/>
                </w:tcPr>
                <w:p w14:paraId="3392D66E">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1.1</w:t>
                  </w:r>
                </w:p>
              </w:tc>
              <w:tc>
                <w:tcPr>
                  <w:tcW w:w="253" w:type="pct"/>
                  <w:noWrap w:val="0"/>
                  <w:vAlign w:val="center"/>
                </w:tcPr>
                <w:p w14:paraId="2D6237AB">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0.31</w:t>
                  </w:r>
                </w:p>
              </w:tc>
              <w:tc>
                <w:tcPr>
                  <w:tcW w:w="253" w:type="pct"/>
                  <w:noWrap w:val="0"/>
                  <w:vAlign w:val="center"/>
                </w:tcPr>
                <w:p w14:paraId="3B60D056">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2.2</w:t>
                  </w:r>
                </w:p>
              </w:tc>
              <w:tc>
                <w:tcPr>
                  <w:tcW w:w="292" w:type="pct"/>
                  <w:noWrap w:val="0"/>
                  <w:vAlign w:val="center"/>
                </w:tcPr>
                <w:p w14:paraId="0430746D">
                  <w:pPr>
                    <w:spacing w:line="320" w:lineRule="exact"/>
                    <w:jc w:val="center"/>
                    <w:textAlignment w:val="center"/>
                    <w:rPr>
                      <w:szCs w:val="21"/>
                    </w:rPr>
                  </w:pPr>
                  <w:r>
                    <w:rPr>
                      <w:rFonts w:hint="eastAsia"/>
                      <w:szCs w:val="21"/>
                    </w:rPr>
                    <w:t>3</w:t>
                  </w:r>
                </w:p>
              </w:tc>
              <w:tc>
                <w:tcPr>
                  <w:tcW w:w="227" w:type="pct"/>
                  <w:noWrap w:val="0"/>
                  <w:vAlign w:val="center"/>
                </w:tcPr>
                <w:p w14:paraId="62B6524A">
                  <w:pPr>
                    <w:spacing w:line="320" w:lineRule="exact"/>
                    <w:jc w:val="center"/>
                    <w:textAlignment w:val="center"/>
                    <w:rPr>
                      <w:szCs w:val="21"/>
                    </w:rPr>
                  </w:pPr>
                  <w:r>
                    <w:rPr>
                      <w:rFonts w:hint="eastAsia"/>
                      <w:szCs w:val="21"/>
                    </w:rPr>
                    <w:t>/</w:t>
                  </w:r>
                </w:p>
              </w:tc>
            </w:tr>
            <w:tr w14:paraId="518A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continue"/>
                  <w:noWrap w:val="0"/>
                  <w:vAlign w:val="center"/>
                </w:tcPr>
                <w:p w14:paraId="1FCB0AE8">
                  <w:pPr>
                    <w:spacing w:line="320" w:lineRule="exact"/>
                    <w:jc w:val="center"/>
                    <w:textAlignment w:val="center"/>
                    <w:rPr>
                      <w:szCs w:val="21"/>
                    </w:rPr>
                  </w:pPr>
                </w:p>
              </w:tc>
              <w:tc>
                <w:tcPr>
                  <w:tcW w:w="156" w:type="pct"/>
                  <w:vMerge w:val="continue"/>
                  <w:noWrap w:val="0"/>
                  <w:vAlign w:val="center"/>
                </w:tcPr>
                <w:p w14:paraId="20138939">
                  <w:pPr>
                    <w:spacing w:line="320" w:lineRule="exact"/>
                    <w:jc w:val="center"/>
                    <w:textAlignment w:val="center"/>
                    <w:rPr>
                      <w:szCs w:val="21"/>
                    </w:rPr>
                  </w:pPr>
                </w:p>
              </w:tc>
              <w:tc>
                <w:tcPr>
                  <w:tcW w:w="248" w:type="pct"/>
                  <w:vMerge w:val="continue"/>
                  <w:noWrap w:val="0"/>
                  <w:vAlign w:val="center"/>
                </w:tcPr>
                <w:p w14:paraId="122C291A">
                  <w:pPr>
                    <w:spacing w:line="320" w:lineRule="exact"/>
                    <w:jc w:val="center"/>
                    <w:rPr>
                      <w:szCs w:val="21"/>
                    </w:rPr>
                  </w:pPr>
                </w:p>
              </w:tc>
              <w:tc>
                <w:tcPr>
                  <w:tcW w:w="242" w:type="pct"/>
                  <w:vMerge w:val="continue"/>
                  <w:noWrap w:val="0"/>
                  <w:vAlign w:val="center"/>
                </w:tcPr>
                <w:p w14:paraId="373CF752">
                  <w:pPr>
                    <w:spacing w:line="320" w:lineRule="exact"/>
                    <w:jc w:val="center"/>
                    <w:textAlignment w:val="center"/>
                    <w:rPr>
                      <w:szCs w:val="21"/>
                    </w:rPr>
                  </w:pPr>
                </w:p>
              </w:tc>
              <w:tc>
                <w:tcPr>
                  <w:tcW w:w="170" w:type="pct"/>
                  <w:vMerge w:val="continue"/>
                  <w:noWrap w:val="0"/>
                  <w:vAlign w:val="center"/>
                </w:tcPr>
                <w:p w14:paraId="298AD707">
                  <w:pPr>
                    <w:spacing w:line="320" w:lineRule="exact"/>
                    <w:jc w:val="center"/>
                    <w:textAlignment w:val="center"/>
                    <w:rPr>
                      <w:szCs w:val="21"/>
                    </w:rPr>
                  </w:pPr>
                </w:p>
              </w:tc>
              <w:tc>
                <w:tcPr>
                  <w:tcW w:w="325" w:type="pct"/>
                  <w:noWrap w:val="0"/>
                  <w:vAlign w:val="center"/>
                </w:tcPr>
                <w:p w14:paraId="05BA70BA">
                  <w:pPr>
                    <w:spacing w:line="320" w:lineRule="exact"/>
                    <w:jc w:val="center"/>
                    <w:textAlignment w:val="center"/>
                    <w:rPr>
                      <w:rFonts w:hint="eastAsia" w:eastAsia="宋体"/>
                      <w:szCs w:val="21"/>
                      <w:lang w:val="en-US" w:eastAsia="zh-CN"/>
                    </w:rPr>
                  </w:pPr>
                  <w:r>
                    <w:rPr>
                      <w:rFonts w:hint="eastAsia"/>
                      <w:szCs w:val="21"/>
                      <w:lang w:val="en-US" w:eastAsia="zh-CN"/>
                    </w:rPr>
                    <w:t>氨</w:t>
                  </w:r>
                </w:p>
              </w:tc>
              <w:tc>
                <w:tcPr>
                  <w:tcW w:w="264" w:type="pct"/>
                  <w:noWrap w:val="0"/>
                  <w:vAlign w:val="center"/>
                </w:tcPr>
                <w:p w14:paraId="3FBFC92C">
                  <w:pPr>
                    <w:spacing w:line="320" w:lineRule="exact"/>
                    <w:jc w:val="center"/>
                    <w:textAlignment w:val="center"/>
                    <w:rPr>
                      <w:rFonts w:hint="default"/>
                      <w:color w:val="000000"/>
                      <w:szCs w:val="21"/>
                      <w:lang w:val="en-US" w:eastAsia="zh-CN"/>
                    </w:rPr>
                  </w:pPr>
                  <w:r>
                    <w:rPr>
                      <w:rFonts w:hint="eastAsia"/>
                      <w:color w:val="000000"/>
                      <w:szCs w:val="21"/>
                      <w:lang w:val="en-US" w:eastAsia="zh-CN"/>
                    </w:rPr>
                    <w:t>3</w:t>
                  </w:r>
                </w:p>
              </w:tc>
              <w:tc>
                <w:tcPr>
                  <w:tcW w:w="264" w:type="pct"/>
                  <w:noWrap w:val="0"/>
                  <w:vAlign w:val="center"/>
                </w:tcPr>
                <w:p w14:paraId="0A1199AF">
                  <w:pPr>
                    <w:spacing w:line="320" w:lineRule="exact"/>
                    <w:jc w:val="center"/>
                    <w:textAlignment w:val="center"/>
                    <w:rPr>
                      <w:rFonts w:hint="default"/>
                      <w:color w:val="000000"/>
                      <w:szCs w:val="21"/>
                      <w:lang w:val="en-US" w:eastAsia="zh-CN"/>
                    </w:rPr>
                  </w:pPr>
                  <w:r>
                    <w:rPr>
                      <w:rFonts w:hint="eastAsia"/>
                      <w:color w:val="000000"/>
                      <w:szCs w:val="21"/>
                      <w:lang w:val="en-US" w:eastAsia="zh-CN"/>
                    </w:rPr>
                    <w:t>0.9</w:t>
                  </w:r>
                </w:p>
              </w:tc>
              <w:tc>
                <w:tcPr>
                  <w:tcW w:w="323" w:type="pct"/>
                  <w:noWrap w:val="0"/>
                  <w:vAlign w:val="center"/>
                </w:tcPr>
                <w:p w14:paraId="63D73D8E">
                  <w:pPr>
                    <w:spacing w:line="320" w:lineRule="exact"/>
                    <w:jc w:val="center"/>
                    <w:textAlignment w:val="center"/>
                    <w:rPr>
                      <w:rFonts w:hint="default"/>
                      <w:color w:val="000000"/>
                      <w:szCs w:val="21"/>
                      <w:lang w:val="en-US" w:eastAsia="zh-CN"/>
                    </w:rPr>
                  </w:pPr>
                  <w:r>
                    <w:rPr>
                      <w:rFonts w:hint="eastAsia"/>
                      <w:color w:val="000000"/>
                      <w:szCs w:val="21"/>
                      <w:lang w:val="en-US" w:eastAsia="zh-CN"/>
                    </w:rPr>
                    <w:t>6.5</w:t>
                  </w:r>
                </w:p>
              </w:tc>
              <w:tc>
                <w:tcPr>
                  <w:tcW w:w="156" w:type="pct"/>
                  <w:vMerge w:val="continue"/>
                  <w:noWrap w:val="0"/>
                  <w:vAlign w:val="center"/>
                </w:tcPr>
                <w:p w14:paraId="36276A4B">
                  <w:pPr>
                    <w:spacing w:line="320" w:lineRule="exact"/>
                    <w:jc w:val="center"/>
                    <w:rPr>
                      <w:color w:val="000000"/>
                      <w:szCs w:val="21"/>
                    </w:rPr>
                  </w:pPr>
                </w:p>
              </w:tc>
              <w:tc>
                <w:tcPr>
                  <w:tcW w:w="275" w:type="pct"/>
                  <w:vMerge w:val="continue"/>
                  <w:noWrap w:val="0"/>
                  <w:vAlign w:val="center"/>
                </w:tcPr>
                <w:p w14:paraId="1383057F">
                  <w:pPr>
                    <w:spacing w:line="320" w:lineRule="exact"/>
                    <w:jc w:val="center"/>
                    <w:textAlignment w:val="center"/>
                    <w:rPr>
                      <w:color w:val="000000"/>
                      <w:szCs w:val="21"/>
                    </w:rPr>
                  </w:pPr>
                </w:p>
              </w:tc>
              <w:tc>
                <w:tcPr>
                  <w:tcW w:w="249" w:type="pct"/>
                  <w:vMerge w:val="continue"/>
                  <w:noWrap w:val="0"/>
                  <w:vAlign w:val="center"/>
                </w:tcPr>
                <w:p w14:paraId="0763F13E">
                  <w:pPr>
                    <w:spacing w:line="320" w:lineRule="exact"/>
                    <w:jc w:val="center"/>
                    <w:textAlignment w:val="center"/>
                    <w:rPr>
                      <w:color w:val="000000"/>
                      <w:szCs w:val="21"/>
                    </w:rPr>
                  </w:pPr>
                </w:p>
              </w:tc>
              <w:tc>
                <w:tcPr>
                  <w:tcW w:w="326" w:type="pct"/>
                  <w:vMerge w:val="continue"/>
                  <w:noWrap w:val="0"/>
                  <w:vAlign w:val="center"/>
                </w:tcPr>
                <w:p w14:paraId="55229B4C">
                  <w:pPr>
                    <w:spacing w:line="320" w:lineRule="exact"/>
                    <w:jc w:val="center"/>
                    <w:rPr>
                      <w:color w:val="000000"/>
                      <w:szCs w:val="21"/>
                    </w:rPr>
                  </w:pPr>
                </w:p>
              </w:tc>
              <w:tc>
                <w:tcPr>
                  <w:tcW w:w="264" w:type="pct"/>
                  <w:noWrap w:val="0"/>
                  <w:vAlign w:val="center"/>
                </w:tcPr>
                <w:p w14:paraId="30E5DD99">
                  <w:pPr>
                    <w:spacing w:line="320" w:lineRule="exact"/>
                    <w:jc w:val="center"/>
                    <w:textAlignment w:val="center"/>
                    <w:rPr>
                      <w:rFonts w:hint="eastAsia" w:eastAsia="宋体"/>
                      <w:color w:val="000000"/>
                      <w:szCs w:val="21"/>
                      <w:lang w:val="en-US" w:eastAsia="zh-CN"/>
                    </w:rPr>
                  </w:pPr>
                  <w:r>
                    <w:rPr>
                      <w:rFonts w:hint="eastAsia"/>
                      <w:color w:val="000000"/>
                      <w:szCs w:val="21"/>
                      <w:lang w:val="en-US" w:eastAsia="zh-CN"/>
                    </w:rPr>
                    <w:t>0</w:t>
                  </w:r>
                </w:p>
              </w:tc>
              <w:tc>
                <w:tcPr>
                  <w:tcW w:w="256" w:type="pct"/>
                  <w:vMerge w:val="continue"/>
                  <w:noWrap w:val="0"/>
                  <w:vAlign w:val="center"/>
                </w:tcPr>
                <w:p w14:paraId="79EB669E">
                  <w:pPr>
                    <w:spacing w:line="320" w:lineRule="exact"/>
                    <w:jc w:val="center"/>
                    <w:textAlignment w:val="center"/>
                    <w:rPr>
                      <w:color w:val="000000"/>
                      <w:szCs w:val="21"/>
                    </w:rPr>
                  </w:pPr>
                </w:p>
              </w:tc>
              <w:tc>
                <w:tcPr>
                  <w:tcW w:w="792" w:type="dxa"/>
                  <w:noWrap w:val="0"/>
                  <w:vAlign w:val="center"/>
                </w:tcPr>
                <w:p w14:paraId="1C12FFAD">
                  <w:pPr>
                    <w:spacing w:line="320" w:lineRule="exact"/>
                    <w:jc w:val="center"/>
                    <w:textAlignment w:val="center"/>
                    <w:rPr>
                      <w:rFonts w:hint="eastAsia"/>
                      <w:color w:val="000000"/>
                      <w:szCs w:val="21"/>
                      <w:lang w:val="en-US" w:eastAsia="zh-CN"/>
                    </w:rPr>
                  </w:pPr>
                  <w:r>
                    <w:rPr>
                      <w:rFonts w:hint="eastAsia"/>
                      <w:color w:val="000000"/>
                      <w:szCs w:val="21"/>
                      <w:lang w:val="en-US" w:eastAsia="zh-CN"/>
                    </w:rPr>
                    <w:t>3</w:t>
                  </w:r>
                </w:p>
              </w:tc>
              <w:tc>
                <w:tcPr>
                  <w:tcW w:w="689" w:type="dxa"/>
                  <w:noWrap w:val="0"/>
                  <w:vAlign w:val="center"/>
                </w:tcPr>
                <w:p w14:paraId="5D72FEDA">
                  <w:pPr>
                    <w:spacing w:line="320" w:lineRule="exact"/>
                    <w:jc w:val="center"/>
                    <w:textAlignment w:val="center"/>
                    <w:rPr>
                      <w:rFonts w:hint="eastAsia"/>
                      <w:color w:val="000000"/>
                      <w:szCs w:val="21"/>
                      <w:lang w:val="en-US" w:eastAsia="zh-CN"/>
                    </w:rPr>
                  </w:pPr>
                  <w:r>
                    <w:rPr>
                      <w:rFonts w:hint="eastAsia"/>
                      <w:color w:val="000000"/>
                      <w:szCs w:val="21"/>
                      <w:lang w:val="en-US" w:eastAsia="zh-CN"/>
                    </w:rPr>
                    <w:t>0.9</w:t>
                  </w:r>
                </w:p>
              </w:tc>
              <w:tc>
                <w:tcPr>
                  <w:tcW w:w="691" w:type="dxa"/>
                  <w:noWrap w:val="0"/>
                  <w:vAlign w:val="center"/>
                </w:tcPr>
                <w:p w14:paraId="56D98F28">
                  <w:pPr>
                    <w:spacing w:line="320" w:lineRule="exact"/>
                    <w:jc w:val="center"/>
                    <w:textAlignment w:val="center"/>
                    <w:rPr>
                      <w:rFonts w:hint="eastAsia"/>
                      <w:color w:val="000000"/>
                      <w:szCs w:val="21"/>
                      <w:lang w:val="en-US" w:eastAsia="zh-CN"/>
                    </w:rPr>
                  </w:pPr>
                  <w:r>
                    <w:rPr>
                      <w:rFonts w:hint="eastAsia"/>
                      <w:color w:val="000000"/>
                      <w:szCs w:val="21"/>
                      <w:lang w:val="en-US" w:eastAsia="zh-CN"/>
                    </w:rPr>
                    <w:t>6.5</w:t>
                  </w:r>
                </w:p>
              </w:tc>
              <w:tc>
                <w:tcPr>
                  <w:tcW w:w="292" w:type="pct"/>
                  <w:noWrap w:val="0"/>
                  <w:vAlign w:val="center"/>
                </w:tcPr>
                <w:p w14:paraId="04D19354">
                  <w:pPr>
                    <w:spacing w:line="320" w:lineRule="exact"/>
                    <w:jc w:val="center"/>
                    <w:textAlignment w:val="center"/>
                    <w:rPr>
                      <w:rFonts w:hint="eastAsia" w:eastAsia="宋体"/>
                      <w:szCs w:val="21"/>
                      <w:lang w:val="en-US" w:eastAsia="zh-CN"/>
                    </w:rPr>
                  </w:pPr>
                  <w:r>
                    <w:rPr>
                      <w:rFonts w:hint="eastAsia"/>
                      <w:szCs w:val="21"/>
                      <w:lang w:val="en-US" w:eastAsia="zh-CN"/>
                    </w:rPr>
                    <w:t>8</w:t>
                  </w:r>
                </w:p>
              </w:tc>
              <w:tc>
                <w:tcPr>
                  <w:tcW w:w="227" w:type="pct"/>
                  <w:noWrap w:val="0"/>
                  <w:vAlign w:val="center"/>
                </w:tcPr>
                <w:p w14:paraId="19AA0C6F">
                  <w:pPr>
                    <w:spacing w:line="320" w:lineRule="exact"/>
                    <w:jc w:val="center"/>
                    <w:textAlignment w:val="center"/>
                    <w:rPr>
                      <w:rFonts w:hint="eastAsia" w:eastAsia="宋体"/>
                      <w:szCs w:val="21"/>
                      <w:lang w:val="en-US" w:eastAsia="zh-CN"/>
                    </w:rPr>
                  </w:pPr>
                  <w:r>
                    <w:rPr>
                      <w:rFonts w:hint="eastAsia"/>
                      <w:szCs w:val="21"/>
                      <w:lang w:val="en-US" w:eastAsia="zh-CN"/>
                    </w:rPr>
                    <w:t>/</w:t>
                  </w:r>
                </w:p>
              </w:tc>
            </w:tr>
          </w:tbl>
          <w:p w14:paraId="20D39CDE">
            <w:pPr>
              <w:autoSpaceDE w:val="0"/>
              <w:autoSpaceDN w:val="0"/>
              <w:adjustRightInd w:val="0"/>
              <w:spacing w:line="360" w:lineRule="auto"/>
              <w:jc w:val="center"/>
              <w:rPr>
                <w:rFonts w:hint="eastAsia" w:ascii="黑体" w:hAnsi="黑体" w:eastAsia="黑体"/>
                <w:bCs/>
              </w:rPr>
            </w:pPr>
          </w:p>
          <w:p w14:paraId="3A1236CD">
            <w:pPr>
              <w:autoSpaceDE w:val="0"/>
              <w:autoSpaceDN w:val="0"/>
              <w:adjustRightInd w:val="0"/>
              <w:spacing w:line="480" w:lineRule="exact"/>
              <w:jc w:val="center"/>
              <w:rPr>
                <w:rFonts w:hint="eastAsia" w:ascii="黑体" w:hAnsi="黑体" w:eastAsia="黑体" w:cs="黑体"/>
                <w:bCs/>
                <w:sz w:val="24"/>
                <w:szCs w:val="32"/>
              </w:rPr>
            </w:pPr>
          </w:p>
          <w:p w14:paraId="43822FF1">
            <w:pPr>
              <w:autoSpaceDE w:val="0"/>
              <w:autoSpaceDN w:val="0"/>
              <w:adjustRightInd w:val="0"/>
              <w:spacing w:line="480" w:lineRule="exact"/>
              <w:jc w:val="center"/>
              <w:rPr>
                <w:rFonts w:hint="eastAsia" w:ascii="黑体" w:hAnsi="黑体" w:eastAsia="黑体" w:cs="黑体"/>
                <w:bCs/>
                <w:sz w:val="24"/>
                <w:szCs w:val="32"/>
              </w:rPr>
            </w:pPr>
          </w:p>
          <w:p w14:paraId="096541E5">
            <w:pPr>
              <w:autoSpaceDE w:val="0"/>
              <w:autoSpaceDN w:val="0"/>
              <w:adjustRightInd w:val="0"/>
              <w:spacing w:line="480" w:lineRule="exact"/>
              <w:jc w:val="center"/>
              <w:rPr>
                <w:rFonts w:hint="eastAsia" w:ascii="黑体" w:hAnsi="黑体" w:eastAsia="黑体" w:cs="黑体"/>
                <w:bCs/>
                <w:sz w:val="24"/>
                <w:szCs w:val="32"/>
              </w:rPr>
            </w:pPr>
          </w:p>
          <w:p w14:paraId="211508BE">
            <w:pPr>
              <w:autoSpaceDE w:val="0"/>
              <w:autoSpaceDN w:val="0"/>
              <w:adjustRightInd w:val="0"/>
              <w:spacing w:line="480" w:lineRule="exact"/>
              <w:jc w:val="center"/>
              <w:rPr>
                <w:rFonts w:hint="eastAsia" w:ascii="黑体" w:hAnsi="黑体" w:eastAsia="黑体" w:cs="黑体"/>
                <w:bCs/>
                <w:sz w:val="24"/>
                <w:szCs w:val="32"/>
              </w:rPr>
            </w:pPr>
          </w:p>
          <w:p w14:paraId="711FA64F">
            <w:pPr>
              <w:autoSpaceDE w:val="0"/>
              <w:autoSpaceDN w:val="0"/>
              <w:adjustRightInd w:val="0"/>
              <w:spacing w:line="480" w:lineRule="exact"/>
              <w:jc w:val="center"/>
              <w:rPr>
                <w:rFonts w:hint="eastAsia" w:ascii="黑体" w:hAnsi="黑体" w:eastAsia="黑体" w:cs="黑体"/>
                <w:sz w:val="24"/>
                <w:szCs w:val="32"/>
              </w:rPr>
            </w:pPr>
            <w:r>
              <w:rPr>
                <w:rFonts w:hint="eastAsia" w:ascii="黑体" w:hAnsi="黑体" w:eastAsia="黑体" w:cs="黑体"/>
                <w:bCs/>
                <w:sz w:val="24"/>
                <w:szCs w:val="32"/>
              </w:rPr>
              <w:t>表4-2  项目无组织废气产生及排放源强一览表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340"/>
              <w:gridCol w:w="1413"/>
              <w:gridCol w:w="1100"/>
              <w:gridCol w:w="2593"/>
              <w:gridCol w:w="950"/>
              <w:gridCol w:w="1274"/>
              <w:gridCol w:w="1445"/>
              <w:gridCol w:w="1524"/>
            </w:tblGrid>
            <w:tr w14:paraId="2F94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noWrap w:val="0"/>
                  <w:vAlign w:val="center"/>
                </w:tcPr>
                <w:p w14:paraId="0CA803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产污</w:t>
                  </w:r>
                </w:p>
                <w:p w14:paraId="66EDEC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单元</w:t>
                  </w:r>
                </w:p>
              </w:tc>
              <w:tc>
                <w:tcPr>
                  <w:tcW w:w="859" w:type="pct"/>
                  <w:noWrap w:val="0"/>
                  <w:vAlign w:val="center"/>
                </w:tcPr>
                <w:p w14:paraId="57A16C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污染源</w:t>
                  </w:r>
                </w:p>
              </w:tc>
              <w:tc>
                <w:tcPr>
                  <w:tcW w:w="519" w:type="pct"/>
                  <w:noWrap w:val="0"/>
                  <w:vAlign w:val="center"/>
                </w:tcPr>
                <w:p w14:paraId="049798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污染物种类</w:t>
                  </w:r>
                </w:p>
              </w:tc>
              <w:tc>
                <w:tcPr>
                  <w:tcW w:w="404" w:type="pct"/>
                  <w:noWrap w:val="0"/>
                  <w:vAlign w:val="center"/>
                </w:tcPr>
                <w:p w14:paraId="0FDD32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产生量t/a</w:t>
                  </w:r>
                </w:p>
              </w:tc>
              <w:tc>
                <w:tcPr>
                  <w:tcW w:w="952" w:type="pct"/>
                  <w:noWrap w:val="0"/>
                  <w:vAlign w:val="center"/>
                </w:tcPr>
                <w:p w14:paraId="6BD415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治理工艺</w:t>
                  </w:r>
                </w:p>
              </w:tc>
              <w:tc>
                <w:tcPr>
                  <w:tcW w:w="349" w:type="pct"/>
                  <w:noWrap w:val="0"/>
                  <w:vAlign w:val="center"/>
                </w:tcPr>
                <w:p w14:paraId="24EDE3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效率%</w:t>
                  </w:r>
                </w:p>
              </w:tc>
              <w:tc>
                <w:tcPr>
                  <w:tcW w:w="468" w:type="pct"/>
                  <w:noWrap w:val="0"/>
                  <w:vAlign w:val="center"/>
                </w:tcPr>
                <w:p w14:paraId="01CAEB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排放量t/a</w:t>
                  </w:r>
                </w:p>
              </w:tc>
              <w:tc>
                <w:tcPr>
                  <w:tcW w:w="530" w:type="pct"/>
                  <w:noWrap w:val="0"/>
                  <w:vAlign w:val="center"/>
                </w:tcPr>
                <w:p w14:paraId="6BDD21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面源高度m</w:t>
                  </w:r>
                </w:p>
              </w:tc>
              <w:tc>
                <w:tcPr>
                  <w:tcW w:w="559" w:type="pct"/>
                  <w:noWrap w:val="0"/>
                  <w:vAlign w:val="center"/>
                </w:tcPr>
                <w:p w14:paraId="1D61C8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面源面积m</w:t>
                  </w:r>
                  <w:r>
                    <w:rPr>
                      <w:bCs/>
                      <w:szCs w:val="21"/>
                      <w:vertAlign w:val="superscript"/>
                    </w:rPr>
                    <w:t>2</w:t>
                  </w:r>
                </w:p>
              </w:tc>
            </w:tr>
            <w:tr w14:paraId="7D97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356" w:type="pct"/>
                  <w:vMerge w:val="restart"/>
                  <w:noWrap w:val="0"/>
                  <w:vAlign w:val="center"/>
                </w:tcPr>
                <w:p w14:paraId="5DB956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rFonts w:hint="eastAsia"/>
                      <w:bCs/>
                      <w:szCs w:val="21"/>
                    </w:rPr>
                    <w:t>原料库</w:t>
                  </w:r>
                </w:p>
              </w:tc>
              <w:tc>
                <w:tcPr>
                  <w:tcW w:w="859" w:type="pct"/>
                  <w:noWrap w:val="0"/>
                  <w:vAlign w:val="center"/>
                </w:tcPr>
                <w:p w14:paraId="0F367D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rFonts w:hint="eastAsia"/>
                      <w:bCs/>
                      <w:szCs w:val="21"/>
                      <w:lang w:val="en-US" w:eastAsia="zh-CN"/>
                    </w:rPr>
                    <w:t>卸料</w:t>
                  </w:r>
                  <w:r>
                    <w:rPr>
                      <w:bCs/>
                      <w:szCs w:val="21"/>
                    </w:rPr>
                    <w:t>粉尘</w:t>
                  </w:r>
                </w:p>
              </w:tc>
              <w:tc>
                <w:tcPr>
                  <w:tcW w:w="519" w:type="pct"/>
                  <w:noWrap w:val="0"/>
                  <w:vAlign w:val="center"/>
                </w:tcPr>
                <w:p w14:paraId="4CE80D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颗粒物</w:t>
                  </w:r>
                </w:p>
              </w:tc>
              <w:tc>
                <w:tcPr>
                  <w:tcW w:w="404" w:type="pct"/>
                  <w:noWrap w:val="0"/>
                  <w:vAlign w:val="center"/>
                </w:tcPr>
                <w:p w14:paraId="148BB0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bCs/>
                      <w:szCs w:val="21"/>
                      <w:lang w:val="en-US" w:eastAsia="zh-CN"/>
                    </w:rPr>
                  </w:pPr>
                  <w:r>
                    <w:rPr>
                      <w:rFonts w:hint="eastAsia"/>
                      <w:bCs/>
                      <w:szCs w:val="21"/>
                      <w:lang w:val="en-US" w:eastAsia="zh-CN"/>
                    </w:rPr>
                    <w:t>6.4</w:t>
                  </w:r>
                </w:p>
              </w:tc>
              <w:tc>
                <w:tcPr>
                  <w:tcW w:w="952" w:type="pct"/>
                  <w:vMerge w:val="restart"/>
                  <w:noWrap w:val="0"/>
                  <w:vAlign w:val="center"/>
                </w:tcPr>
                <w:p w14:paraId="02CBA4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rFonts w:hint="eastAsia"/>
                      <w:bCs/>
                      <w:szCs w:val="21"/>
                    </w:rPr>
                    <w:t>原料库</w:t>
                  </w:r>
                  <w:r>
                    <w:rPr>
                      <w:bCs/>
                      <w:szCs w:val="21"/>
                    </w:rPr>
                    <w:t>内</w:t>
                  </w:r>
                  <w:r>
                    <w:rPr>
                      <w:rFonts w:hint="eastAsia"/>
                      <w:bCs/>
                      <w:szCs w:val="21"/>
                    </w:rPr>
                    <w:t>沉降</w:t>
                  </w:r>
                  <w:r>
                    <w:rPr>
                      <w:bCs/>
                      <w:szCs w:val="21"/>
                    </w:rPr>
                    <w:t>，加强密闭性</w:t>
                  </w:r>
                  <w:r>
                    <w:rPr>
                      <w:rFonts w:hint="eastAsia"/>
                      <w:bCs/>
                      <w:szCs w:val="21"/>
                    </w:rPr>
                    <w:t>，</w:t>
                  </w:r>
                  <w:r>
                    <w:rPr>
                      <w:bCs/>
                      <w:szCs w:val="21"/>
                    </w:rPr>
                    <w:t>喷雾降尘；加强物料输送过程中的密闭性</w:t>
                  </w:r>
                  <w:r>
                    <w:rPr>
                      <w:rFonts w:hint="eastAsia"/>
                      <w:bCs/>
                      <w:szCs w:val="21"/>
                    </w:rPr>
                    <w:t>，</w:t>
                  </w:r>
                  <w:r>
                    <w:rPr>
                      <w:bCs/>
                      <w:szCs w:val="21"/>
                    </w:rPr>
                    <w:t>减小物料转运</w:t>
                  </w:r>
                  <w:r>
                    <w:rPr>
                      <w:rFonts w:hint="eastAsia"/>
                      <w:bCs/>
                      <w:szCs w:val="21"/>
                    </w:rPr>
                    <w:t>、</w:t>
                  </w:r>
                  <w:r>
                    <w:rPr>
                      <w:bCs/>
                      <w:szCs w:val="21"/>
                    </w:rPr>
                    <w:t>投加过程中高度差</w:t>
                  </w:r>
                  <w:r>
                    <w:rPr>
                      <w:rFonts w:hint="eastAsia"/>
                      <w:bCs/>
                      <w:szCs w:val="21"/>
                    </w:rPr>
                    <w:t>，</w:t>
                  </w:r>
                  <w:r>
                    <w:rPr>
                      <w:bCs/>
                      <w:szCs w:val="21"/>
                    </w:rPr>
                    <w:t>生产车间定期清扫</w:t>
                  </w:r>
                  <w:r>
                    <w:rPr>
                      <w:rFonts w:hint="eastAsia"/>
                      <w:bCs/>
                      <w:szCs w:val="21"/>
                    </w:rPr>
                    <w:t>，</w:t>
                  </w:r>
                  <w:r>
                    <w:rPr>
                      <w:bCs/>
                      <w:szCs w:val="21"/>
                    </w:rPr>
                    <w:t>保持清洁</w:t>
                  </w:r>
                  <w:r>
                    <w:rPr>
                      <w:rFonts w:hint="eastAsia"/>
                      <w:bCs/>
                      <w:szCs w:val="21"/>
                    </w:rPr>
                    <w:t>，</w:t>
                  </w:r>
                  <w:r>
                    <w:rPr>
                      <w:bCs/>
                      <w:szCs w:val="21"/>
                    </w:rPr>
                    <w:t>道路洒水抑尘</w:t>
                  </w:r>
                </w:p>
              </w:tc>
              <w:tc>
                <w:tcPr>
                  <w:tcW w:w="349" w:type="pct"/>
                  <w:noWrap w:val="0"/>
                  <w:vAlign w:val="center"/>
                </w:tcPr>
                <w:p w14:paraId="0DA191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bCs/>
                      <w:szCs w:val="21"/>
                      <w:lang w:val="en-US" w:eastAsia="zh-CN"/>
                    </w:rPr>
                  </w:pPr>
                  <w:r>
                    <w:rPr>
                      <w:rFonts w:hint="eastAsia"/>
                      <w:bCs/>
                      <w:szCs w:val="21"/>
                      <w:lang w:val="en-US" w:eastAsia="zh-CN"/>
                    </w:rPr>
                    <w:t>70</w:t>
                  </w:r>
                </w:p>
              </w:tc>
              <w:tc>
                <w:tcPr>
                  <w:tcW w:w="468" w:type="pct"/>
                  <w:noWrap w:val="0"/>
                  <w:vAlign w:val="center"/>
                </w:tcPr>
                <w:p w14:paraId="39B7A3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bCs/>
                      <w:szCs w:val="21"/>
                      <w:lang w:val="en-US" w:eastAsia="zh-CN"/>
                    </w:rPr>
                  </w:pPr>
                  <w:r>
                    <w:rPr>
                      <w:rFonts w:hint="eastAsia"/>
                      <w:bCs/>
                      <w:szCs w:val="21"/>
                      <w:lang w:val="en-US" w:eastAsia="zh-CN"/>
                    </w:rPr>
                    <w:t>1.92</w:t>
                  </w:r>
                </w:p>
              </w:tc>
              <w:tc>
                <w:tcPr>
                  <w:tcW w:w="530" w:type="pct"/>
                  <w:vMerge w:val="restart"/>
                  <w:noWrap w:val="0"/>
                  <w:vAlign w:val="center"/>
                </w:tcPr>
                <w:p w14:paraId="3A8F6D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1</w:t>
                  </w:r>
                  <w:r>
                    <w:rPr>
                      <w:rFonts w:hint="eastAsia"/>
                      <w:bCs/>
                      <w:szCs w:val="21"/>
                    </w:rPr>
                    <w:t>2</w:t>
                  </w:r>
                </w:p>
              </w:tc>
              <w:tc>
                <w:tcPr>
                  <w:tcW w:w="559" w:type="pct"/>
                  <w:vMerge w:val="restart"/>
                  <w:noWrap w:val="0"/>
                  <w:vAlign w:val="center"/>
                </w:tcPr>
                <w:p w14:paraId="706168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rFonts w:hint="eastAsia"/>
                      <w:bCs/>
                      <w:szCs w:val="21"/>
                    </w:rPr>
                    <w:t>3000</w:t>
                  </w:r>
                </w:p>
              </w:tc>
            </w:tr>
            <w:tr w14:paraId="3D9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vMerge w:val="continue"/>
                  <w:noWrap w:val="0"/>
                  <w:vAlign w:val="center"/>
                </w:tcPr>
                <w:p w14:paraId="083342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p>
              </w:tc>
              <w:tc>
                <w:tcPr>
                  <w:tcW w:w="859" w:type="pct"/>
                  <w:noWrap w:val="0"/>
                  <w:vAlign w:val="center"/>
                </w:tcPr>
                <w:p w14:paraId="3A6706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未收集的</w:t>
                  </w:r>
                  <w:r>
                    <w:rPr>
                      <w:rFonts w:hint="eastAsia"/>
                      <w:bCs/>
                      <w:szCs w:val="21"/>
                    </w:rPr>
                    <w:t>破碎</w:t>
                  </w:r>
                  <w:r>
                    <w:rPr>
                      <w:bCs/>
                      <w:szCs w:val="21"/>
                    </w:rPr>
                    <w:t>筛分粉尘</w:t>
                  </w:r>
                </w:p>
              </w:tc>
              <w:tc>
                <w:tcPr>
                  <w:tcW w:w="519" w:type="pct"/>
                  <w:noWrap w:val="0"/>
                  <w:vAlign w:val="center"/>
                </w:tcPr>
                <w:p w14:paraId="0E5CC3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bCs/>
                      <w:szCs w:val="21"/>
                    </w:rPr>
                    <w:t>颗粒物</w:t>
                  </w:r>
                </w:p>
              </w:tc>
              <w:tc>
                <w:tcPr>
                  <w:tcW w:w="404" w:type="pct"/>
                  <w:noWrap w:val="0"/>
                  <w:vAlign w:val="center"/>
                </w:tcPr>
                <w:p w14:paraId="4573BE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bCs/>
                      <w:szCs w:val="21"/>
                      <w:lang w:val="en-US" w:eastAsia="zh-CN"/>
                    </w:rPr>
                  </w:pPr>
                  <w:r>
                    <w:rPr>
                      <w:rFonts w:hint="eastAsia"/>
                      <w:bCs/>
                      <w:szCs w:val="21"/>
                      <w:lang w:val="en-US" w:eastAsia="zh-CN"/>
                    </w:rPr>
                    <w:t>5.13</w:t>
                  </w:r>
                </w:p>
              </w:tc>
              <w:tc>
                <w:tcPr>
                  <w:tcW w:w="952" w:type="pct"/>
                  <w:vMerge w:val="continue"/>
                  <w:noWrap w:val="0"/>
                  <w:vAlign w:val="center"/>
                </w:tcPr>
                <w:p w14:paraId="0DEA8B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p>
              </w:tc>
              <w:tc>
                <w:tcPr>
                  <w:tcW w:w="349" w:type="pct"/>
                  <w:noWrap w:val="0"/>
                  <w:vAlign w:val="center"/>
                </w:tcPr>
                <w:p w14:paraId="5026B1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r>
                    <w:rPr>
                      <w:rFonts w:hint="eastAsia"/>
                      <w:bCs/>
                      <w:szCs w:val="21"/>
                    </w:rPr>
                    <w:t>70</w:t>
                  </w:r>
                </w:p>
              </w:tc>
              <w:tc>
                <w:tcPr>
                  <w:tcW w:w="468" w:type="pct"/>
                  <w:noWrap w:val="0"/>
                  <w:vAlign w:val="center"/>
                </w:tcPr>
                <w:p w14:paraId="4D7752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bCs/>
                      <w:szCs w:val="21"/>
                      <w:lang w:val="en-US" w:eastAsia="zh-CN"/>
                    </w:rPr>
                  </w:pPr>
                  <w:r>
                    <w:rPr>
                      <w:rFonts w:hint="eastAsia"/>
                      <w:bCs/>
                      <w:szCs w:val="21"/>
                      <w:lang w:val="en-US" w:eastAsia="zh-CN"/>
                    </w:rPr>
                    <w:t>1.54</w:t>
                  </w:r>
                </w:p>
              </w:tc>
              <w:tc>
                <w:tcPr>
                  <w:tcW w:w="530" w:type="pct"/>
                  <w:vMerge w:val="continue"/>
                  <w:noWrap w:val="0"/>
                  <w:vAlign w:val="center"/>
                </w:tcPr>
                <w:p w14:paraId="50116F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p>
              </w:tc>
              <w:tc>
                <w:tcPr>
                  <w:tcW w:w="559" w:type="pct"/>
                  <w:vMerge w:val="continue"/>
                  <w:noWrap w:val="0"/>
                  <w:vAlign w:val="center"/>
                </w:tcPr>
                <w:p w14:paraId="1D8AD9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zCs w:val="21"/>
                    </w:rPr>
                  </w:pPr>
                </w:p>
              </w:tc>
            </w:tr>
          </w:tbl>
          <w:p w14:paraId="707A7D05">
            <w:pPr>
              <w:autoSpaceDE w:val="0"/>
              <w:autoSpaceDN w:val="0"/>
              <w:adjustRightInd w:val="0"/>
              <w:spacing w:line="480" w:lineRule="exact"/>
              <w:rPr>
                <w:rFonts w:ascii="黑体" w:hAnsi="黑体" w:eastAsia="黑体"/>
                <w:bCs/>
                <w:sz w:val="24"/>
                <w:szCs w:val="32"/>
              </w:rPr>
            </w:pPr>
          </w:p>
          <w:p w14:paraId="4E4D4014">
            <w:pPr>
              <w:autoSpaceDE w:val="0"/>
              <w:autoSpaceDN w:val="0"/>
              <w:adjustRightInd w:val="0"/>
              <w:spacing w:line="480" w:lineRule="exact"/>
              <w:jc w:val="center"/>
              <w:rPr>
                <w:rFonts w:hint="eastAsia" w:ascii="黑体" w:hAnsi="黑体" w:eastAsia="黑体" w:cs="黑体"/>
                <w:sz w:val="24"/>
                <w:szCs w:val="32"/>
              </w:rPr>
            </w:pPr>
            <w:r>
              <w:rPr>
                <w:rFonts w:hint="eastAsia" w:ascii="黑体" w:hAnsi="黑体" w:eastAsia="黑体" w:cs="黑体"/>
                <w:bCs/>
                <w:sz w:val="24"/>
                <w:szCs w:val="32"/>
              </w:rPr>
              <w:t>表4-3  项目大气有组织排放基本情况表</w:t>
            </w:r>
          </w:p>
          <w:tbl>
            <w:tblPr>
              <w:tblStyle w:val="38"/>
              <w:tblW w:w="13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695"/>
              <w:gridCol w:w="1255"/>
              <w:gridCol w:w="1176"/>
              <w:gridCol w:w="1056"/>
              <w:gridCol w:w="978"/>
              <w:gridCol w:w="852"/>
              <w:gridCol w:w="792"/>
              <w:gridCol w:w="862"/>
              <w:gridCol w:w="1089"/>
              <w:gridCol w:w="2683"/>
              <w:gridCol w:w="1116"/>
              <w:gridCol w:w="763"/>
            </w:tblGrid>
            <w:tr w14:paraId="2ED1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19" w:type="dxa"/>
                  <w:vMerge w:val="restart"/>
                  <w:noWrap w:val="0"/>
                  <w:vAlign w:val="center"/>
                </w:tcPr>
                <w:p w14:paraId="25733C49">
                  <w:pPr>
                    <w:spacing w:line="320" w:lineRule="exact"/>
                    <w:jc w:val="center"/>
                    <w:rPr>
                      <w:bCs/>
                      <w:szCs w:val="21"/>
                    </w:rPr>
                  </w:pPr>
                  <w:r>
                    <w:rPr>
                      <w:rFonts w:hAnsi="Calibri"/>
                      <w:bCs/>
                      <w:szCs w:val="21"/>
                    </w:rPr>
                    <w:t>序</w:t>
                  </w:r>
                </w:p>
                <w:p w14:paraId="168DE0B7">
                  <w:pPr>
                    <w:spacing w:line="320" w:lineRule="exact"/>
                    <w:jc w:val="center"/>
                    <w:rPr>
                      <w:bCs/>
                      <w:szCs w:val="21"/>
                    </w:rPr>
                  </w:pPr>
                  <w:r>
                    <w:rPr>
                      <w:rFonts w:hAnsi="Calibri"/>
                      <w:bCs/>
                      <w:szCs w:val="21"/>
                    </w:rPr>
                    <w:t>号</w:t>
                  </w:r>
                </w:p>
              </w:tc>
              <w:tc>
                <w:tcPr>
                  <w:tcW w:w="695" w:type="dxa"/>
                  <w:vMerge w:val="restart"/>
                  <w:noWrap w:val="0"/>
                  <w:vAlign w:val="center"/>
                </w:tcPr>
                <w:p w14:paraId="69E58094">
                  <w:pPr>
                    <w:spacing w:line="320" w:lineRule="exact"/>
                    <w:jc w:val="center"/>
                    <w:rPr>
                      <w:bCs/>
                      <w:szCs w:val="21"/>
                    </w:rPr>
                  </w:pPr>
                  <w:r>
                    <w:rPr>
                      <w:rFonts w:hAnsi="Calibri"/>
                      <w:bCs/>
                      <w:szCs w:val="21"/>
                    </w:rPr>
                    <w:t>排放口编号</w:t>
                  </w:r>
                </w:p>
              </w:tc>
              <w:tc>
                <w:tcPr>
                  <w:tcW w:w="1255" w:type="dxa"/>
                  <w:vMerge w:val="restart"/>
                  <w:noWrap w:val="0"/>
                  <w:vAlign w:val="center"/>
                </w:tcPr>
                <w:p w14:paraId="7D554A75">
                  <w:pPr>
                    <w:spacing w:line="320" w:lineRule="exact"/>
                    <w:jc w:val="center"/>
                    <w:rPr>
                      <w:bCs/>
                      <w:szCs w:val="21"/>
                    </w:rPr>
                  </w:pPr>
                  <w:r>
                    <w:rPr>
                      <w:rFonts w:hAnsi="Calibri"/>
                      <w:bCs/>
                      <w:szCs w:val="21"/>
                    </w:rPr>
                    <w:t>排放口</w:t>
                  </w:r>
                </w:p>
                <w:p w14:paraId="7F9B20D4">
                  <w:pPr>
                    <w:spacing w:line="320" w:lineRule="exact"/>
                    <w:jc w:val="center"/>
                    <w:rPr>
                      <w:bCs/>
                      <w:szCs w:val="21"/>
                    </w:rPr>
                  </w:pPr>
                  <w:r>
                    <w:rPr>
                      <w:rFonts w:hAnsi="Calibri"/>
                      <w:bCs/>
                      <w:szCs w:val="21"/>
                    </w:rPr>
                    <w:t>名称</w:t>
                  </w:r>
                </w:p>
              </w:tc>
              <w:tc>
                <w:tcPr>
                  <w:tcW w:w="1176" w:type="dxa"/>
                  <w:vMerge w:val="restart"/>
                  <w:noWrap w:val="0"/>
                  <w:vAlign w:val="center"/>
                </w:tcPr>
                <w:p w14:paraId="4A8E1B9C">
                  <w:pPr>
                    <w:spacing w:line="320" w:lineRule="exact"/>
                    <w:jc w:val="center"/>
                    <w:rPr>
                      <w:bCs/>
                      <w:szCs w:val="21"/>
                    </w:rPr>
                  </w:pPr>
                  <w:r>
                    <w:rPr>
                      <w:rFonts w:hAnsi="Calibri"/>
                      <w:bCs/>
                      <w:szCs w:val="21"/>
                    </w:rPr>
                    <w:t>污染物种类</w:t>
                  </w:r>
                </w:p>
              </w:tc>
              <w:tc>
                <w:tcPr>
                  <w:tcW w:w="2034" w:type="dxa"/>
                  <w:gridSpan w:val="2"/>
                  <w:noWrap w:val="0"/>
                  <w:vAlign w:val="center"/>
                </w:tcPr>
                <w:p w14:paraId="1E95AA12">
                  <w:pPr>
                    <w:spacing w:line="320" w:lineRule="exact"/>
                    <w:jc w:val="center"/>
                    <w:rPr>
                      <w:rFonts w:hAnsi="Calibri"/>
                      <w:bCs/>
                      <w:szCs w:val="21"/>
                    </w:rPr>
                  </w:pPr>
                  <w:r>
                    <w:rPr>
                      <w:rFonts w:hAnsi="Calibri"/>
                      <w:bCs/>
                      <w:szCs w:val="21"/>
                    </w:rPr>
                    <w:t>排放口地理坐标</w:t>
                  </w:r>
                </w:p>
              </w:tc>
              <w:tc>
                <w:tcPr>
                  <w:tcW w:w="3595" w:type="dxa"/>
                  <w:gridSpan w:val="4"/>
                  <w:noWrap w:val="0"/>
                  <w:vAlign w:val="center"/>
                </w:tcPr>
                <w:p w14:paraId="317556AC">
                  <w:pPr>
                    <w:spacing w:line="320" w:lineRule="exact"/>
                    <w:jc w:val="center"/>
                    <w:rPr>
                      <w:bCs/>
                      <w:szCs w:val="21"/>
                    </w:rPr>
                  </w:pPr>
                  <w:r>
                    <w:rPr>
                      <w:rFonts w:hAnsi="Calibri"/>
                      <w:bCs/>
                      <w:szCs w:val="21"/>
                    </w:rPr>
                    <w:t>排气筒参数</w:t>
                  </w:r>
                </w:p>
              </w:tc>
              <w:tc>
                <w:tcPr>
                  <w:tcW w:w="4562" w:type="dxa"/>
                  <w:gridSpan w:val="3"/>
                  <w:noWrap w:val="0"/>
                  <w:vAlign w:val="center"/>
                </w:tcPr>
                <w:p w14:paraId="5D0432E2">
                  <w:pPr>
                    <w:spacing w:line="320" w:lineRule="exact"/>
                    <w:jc w:val="center"/>
                    <w:rPr>
                      <w:bCs/>
                      <w:szCs w:val="21"/>
                    </w:rPr>
                  </w:pPr>
                  <w:r>
                    <w:rPr>
                      <w:rFonts w:hAnsi="Calibri"/>
                      <w:bCs/>
                      <w:szCs w:val="21"/>
                    </w:rPr>
                    <w:t>国家或地方污染物排放标准</w:t>
                  </w:r>
                </w:p>
              </w:tc>
            </w:tr>
            <w:tr w14:paraId="0DE8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419" w:type="dxa"/>
                  <w:vMerge w:val="continue"/>
                  <w:noWrap w:val="0"/>
                  <w:vAlign w:val="center"/>
                </w:tcPr>
                <w:p w14:paraId="026FE7F2">
                  <w:pPr>
                    <w:spacing w:line="320" w:lineRule="exact"/>
                    <w:jc w:val="center"/>
                    <w:rPr>
                      <w:bCs/>
                      <w:szCs w:val="21"/>
                    </w:rPr>
                  </w:pPr>
                </w:p>
              </w:tc>
              <w:tc>
                <w:tcPr>
                  <w:tcW w:w="695" w:type="dxa"/>
                  <w:vMerge w:val="continue"/>
                  <w:noWrap w:val="0"/>
                  <w:vAlign w:val="center"/>
                </w:tcPr>
                <w:p w14:paraId="3D5A1BEE">
                  <w:pPr>
                    <w:spacing w:line="320" w:lineRule="exact"/>
                    <w:jc w:val="center"/>
                    <w:rPr>
                      <w:bCs/>
                      <w:szCs w:val="21"/>
                    </w:rPr>
                  </w:pPr>
                </w:p>
              </w:tc>
              <w:tc>
                <w:tcPr>
                  <w:tcW w:w="1255" w:type="dxa"/>
                  <w:vMerge w:val="continue"/>
                  <w:noWrap w:val="0"/>
                  <w:vAlign w:val="center"/>
                </w:tcPr>
                <w:p w14:paraId="2DFBFF83">
                  <w:pPr>
                    <w:spacing w:line="320" w:lineRule="exact"/>
                    <w:jc w:val="center"/>
                    <w:rPr>
                      <w:bCs/>
                      <w:szCs w:val="21"/>
                    </w:rPr>
                  </w:pPr>
                </w:p>
              </w:tc>
              <w:tc>
                <w:tcPr>
                  <w:tcW w:w="1176" w:type="dxa"/>
                  <w:vMerge w:val="continue"/>
                  <w:noWrap w:val="0"/>
                  <w:vAlign w:val="center"/>
                </w:tcPr>
                <w:p w14:paraId="57743821">
                  <w:pPr>
                    <w:spacing w:line="320" w:lineRule="exact"/>
                    <w:jc w:val="center"/>
                    <w:rPr>
                      <w:bCs/>
                      <w:szCs w:val="21"/>
                    </w:rPr>
                  </w:pPr>
                </w:p>
              </w:tc>
              <w:tc>
                <w:tcPr>
                  <w:tcW w:w="1056" w:type="dxa"/>
                  <w:noWrap w:val="0"/>
                  <w:vAlign w:val="center"/>
                </w:tcPr>
                <w:p w14:paraId="57CBC38D">
                  <w:pPr>
                    <w:spacing w:line="320" w:lineRule="exact"/>
                    <w:jc w:val="center"/>
                    <w:rPr>
                      <w:rFonts w:hAnsi="Calibri"/>
                      <w:bCs/>
                      <w:szCs w:val="21"/>
                    </w:rPr>
                  </w:pPr>
                  <w:r>
                    <w:rPr>
                      <w:rFonts w:hAnsi="Calibri"/>
                      <w:bCs/>
                      <w:szCs w:val="21"/>
                    </w:rPr>
                    <w:t>经度</w:t>
                  </w:r>
                </w:p>
              </w:tc>
              <w:tc>
                <w:tcPr>
                  <w:tcW w:w="978" w:type="dxa"/>
                  <w:noWrap w:val="0"/>
                  <w:vAlign w:val="center"/>
                </w:tcPr>
                <w:p w14:paraId="0B4347D6">
                  <w:pPr>
                    <w:spacing w:line="320" w:lineRule="exact"/>
                    <w:jc w:val="center"/>
                    <w:rPr>
                      <w:rFonts w:hAnsi="Calibri"/>
                      <w:bCs/>
                      <w:szCs w:val="21"/>
                    </w:rPr>
                  </w:pPr>
                  <w:r>
                    <w:rPr>
                      <w:rFonts w:hAnsi="Calibri"/>
                      <w:bCs/>
                      <w:szCs w:val="21"/>
                    </w:rPr>
                    <w:t>纬度</w:t>
                  </w:r>
                </w:p>
              </w:tc>
              <w:tc>
                <w:tcPr>
                  <w:tcW w:w="852" w:type="dxa"/>
                  <w:noWrap w:val="0"/>
                  <w:vAlign w:val="center"/>
                </w:tcPr>
                <w:p w14:paraId="1A5F8D76">
                  <w:pPr>
                    <w:spacing w:line="320" w:lineRule="exact"/>
                    <w:jc w:val="center"/>
                    <w:rPr>
                      <w:bCs/>
                      <w:szCs w:val="21"/>
                    </w:rPr>
                  </w:pPr>
                  <w:r>
                    <w:rPr>
                      <w:rFonts w:hAnsi="Calibri"/>
                      <w:bCs/>
                      <w:szCs w:val="21"/>
                    </w:rPr>
                    <w:t>高度</w:t>
                  </w:r>
                  <w:r>
                    <w:rPr>
                      <w:bCs/>
                      <w:szCs w:val="21"/>
                    </w:rPr>
                    <w:t>(m)</w:t>
                  </w:r>
                </w:p>
              </w:tc>
              <w:tc>
                <w:tcPr>
                  <w:tcW w:w="792" w:type="dxa"/>
                  <w:noWrap w:val="0"/>
                  <w:vAlign w:val="center"/>
                </w:tcPr>
                <w:p w14:paraId="666EB73B">
                  <w:pPr>
                    <w:spacing w:line="320" w:lineRule="exact"/>
                    <w:jc w:val="center"/>
                    <w:rPr>
                      <w:bCs/>
                      <w:szCs w:val="21"/>
                    </w:rPr>
                  </w:pPr>
                  <w:r>
                    <w:rPr>
                      <w:rFonts w:hAnsi="Calibri"/>
                      <w:bCs/>
                      <w:szCs w:val="21"/>
                    </w:rPr>
                    <w:t>出口</w:t>
                  </w:r>
                </w:p>
                <w:p w14:paraId="19EDD5D3">
                  <w:pPr>
                    <w:spacing w:line="320" w:lineRule="exact"/>
                    <w:jc w:val="center"/>
                    <w:rPr>
                      <w:bCs/>
                      <w:szCs w:val="21"/>
                    </w:rPr>
                  </w:pPr>
                  <w:r>
                    <w:rPr>
                      <w:rFonts w:hAnsi="Calibri"/>
                      <w:bCs/>
                      <w:szCs w:val="21"/>
                    </w:rPr>
                    <w:t>内径</w:t>
                  </w:r>
                  <w:r>
                    <w:rPr>
                      <w:bCs/>
                      <w:szCs w:val="21"/>
                    </w:rPr>
                    <w:t>(m)</w:t>
                  </w:r>
                </w:p>
              </w:tc>
              <w:tc>
                <w:tcPr>
                  <w:tcW w:w="862" w:type="dxa"/>
                  <w:noWrap w:val="0"/>
                  <w:vAlign w:val="center"/>
                </w:tcPr>
                <w:p w14:paraId="3147896F">
                  <w:pPr>
                    <w:spacing w:line="320" w:lineRule="exact"/>
                    <w:jc w:val="center"/>
                    <w:rPr>
                      <w:bCs/>
                      <w:szCs w:val="21"/>
                    </w:rPr>
                  </w:pPr>
                  <w:r>
                    <w:rPr>
                      <w:rFonts w:hAnsi="Calibri"/>
                      <w:bCs/>
                      <w:szCs w:val="21"/>
                    </w:rPr>
                    <w:t>排气</w:t>
                  </w:r>
                </w:p>
                <w:p w14:paraId="6A943871">
                  <w:pPr>
                    <w:spacing w:line="320" w:lineRule="exact"/>
                    <w:jc w:val="center"/>
                    <w:rPr>
                      <w:bCs/>
                      <w:szCs w:val="21"/>
                    </w:rPr>
                  </w:pPr>
                  <w:r>
                    <w:rPr>
                      <w:rFonts w:hAnsi="Calibri"/>
                      <w:bCs/>
                      <w:szCs w:val="21"/>
                    </w:rPr>
                    <w:t>温度</w:t>
                  </w:r>
                  <w:r>
                    <w:rPr>
                      <w:bCs/>
                      <w:szCs w:val="21"/>
                    </w:rPr>
                    <w:t>(℃)</w:t>
                  </w:r>
                </w:p>
              </w:tc>
              <w:tc>
                <w:tcPr>
                  <w:tcW w:w="1089" w:type="dxa"/>
                  <w:noWrap w:val="0"/>
                  <w:vAlign w:val="center"/>
                </w:tcPr>
                <w:p w14:paraId="7652129B">
                  <w:pPr>
                    <w:spacing w:line="320" w:lineRule="exact"/>
                    <w:jc w:val="center"/>
                    <w:rPr>
                      <w:bCs/>
                      <w:szCs w:val="21"/>
                    </w:rPr>
                  </w:pPr>
                  <w:r>
                    <w:rPr>
                      <w:rFonts w:hAnsi="Calibri"/>
                      <w:bCs/>
                      <w:szCs w:val="21"/>
                    </w:rPr>
                    <w:t>排气量</w:t>
                  </w:r>
                </w:p>
                <w:p w14:paraId="088A3D2C">
                  <w:pPr>
                    <w:spacing w:line="320" w:lineRule="exact"/>
                    <w:jc w:val="center"/>
                    <w:rPr>
                      <w:bCs/>
                      <w:szCs w:val="21"/>
                    </w:rPr>
                  </w:pPr>
                  <w:r>
                    <w:rPr>
                      <w:rFonts w:hint="eastAsia"/>
                      <w:bCs/>
                      <w:szCs w:val="21"/>
                    </w:rPr>
                    <w:t>(</w:t>
                  </w:r>
                  <w:r>
                    <w:rPr>
                      <w:bCs/>
                      <w:szCs w:val="21"/>
                    </w:rPr>
                    <w:t>m</w:t>
                  </w:r>
                  <w:r>
                    <w:rPr>
                      <w:bCs/>
                      <w:szCs w:val="21"/>
                      <w:vertAlign w:val="superscript"/>
                    </w:rPr>
                    <w:t>3</w:t>
                  </w:r>
                  <w:r>
                    <w:rPr>
                      <w:bCs/>
                      <w:szCs w:val="21"/>
                    </w:rPr>
                    <w:t>/h</w:t>
                  </w:r>
                  <w:r>
                    <w:rPr>
                      <w:rFonts w:hint="eastAsia"/>
                      <w:bCs/>
                      <w:szCs w:val="21"/>
                    </w:rPr>
                    <w:t>)</w:t>
                  </w:r>
                </w:p>
              </w:tc>
              <w:tc>
                <w:tcPr>
                  <w:tcW w:w="2683" w:type="dxa"/>
                  <w:noWrap w:val="0"/>
                  <w:vAlign w:val="center"/>
                </w:tcPr>
                <w:p w14:paraId="7B7AA547">
                  <w:pPr>
                    <w:spacing w:line="320" w:lineRule="exact"/>
                    <w:jc w:val="center"/>
                    <w:rPr>
                      <w:bCs/>
                      <w:szCs w:val="21"/>
                    </w:rPr>
                  </w:pPr>
                  <w:r>
                    <w:rPr>
                      <w:rFonts w:hAnsi="Calibri"/>
                      <w:bCs/>
                      <w:szCs w:val="21"/>
                    </w:rPr>
                    <w:t>标准名称</w:t>
                  </w:r>
                </w:p>
              </w:tc>
              <w:tc>
                <w:tcPr>
                  <w:tcW w:w="1116" w:type="dxa"/>
                  <w:noWrap w:val="0"/>
                  <w:vAlign w:val="center"/>
                </w:tcPr>
                <w:p w14:paraId="753A8226">
                  <w:pPr>
                    <w:spacing w:line="320" w:lineRule="exact"/>
                    <w:jc w:val="center"/>
                    <w:rPr>
                      <w:bCs/>
                      <w:szCs w:val="21"/>
                    </w:rPr>
                  </w:pPr>
                  <w:r>
                    <w:rPr>
                      <w:rFonts w:hAnsi="Calibri"/>
                      <w:bCs/>
                      <w:szCs w:val="21"/>
                    </w:rPr>
                    <w:t>浓度限值</w:t>
                  </w:r>
                </w:p>
                <w:p w14:paraId="2F5E65D0">
                  <w:pPr>
                    <w:spacing w:line="320" w:lineRule="exact"/>
                    <w:jc w:val="center"/>
                    <w:rPr>
                      <w:bCs/>
                      <w:szCs w:val="21"/>
                    </w:rPr>
                  </w:pPr>
                  <w:r>
                    <w:rPr>
                      <w:rFonts w:hint="eastAsia"/>
                      <w:bCs/>
                      <w:szCs w:val="21"/>
                    </w:rPr>
                    <w:t>(</w:t>
                  </w:r>
                  <w:r>
                    <w:rPr>
                      <w:bCs/>
                      <w:szCs w:val="21"/>
                    </w:rPr>
                    <w:t>mg/Nm</w:t>
                  </w:r>
                  <w:r>
                    <w:rPr>
                      <w:bCs/>
                      <w:szCs w:val="21"/>
                      <w:vertAlign w:val="superscript"/>
                    </w:rPr>
                    <w:t>3</w:t>
                  </w:r>
                  <w:r>
                    <w:rPr>
                      <w:rFonts w:hint="eastAsia"/>
                      <w:bCs/>
                      <w:szCs w:val="21"/>
                      <w:vertAlign w:val="superscript"/>
                    </w:rPr>
                    <w:t>)</w:t>
                  </w:r>
                </w:p>
              </w:tc>
              <w:tc>
                <w:tcPr>
                  <w:tcW w:w="763" w:type="dxa"/>
                  <w:noWrap w:val="0"/>
                  <w:vAlign w:val="center"/>
                </w:tcPr>
                <w:p w14:paraId="752F129F">
                  <w:pPr>
                    <w:spacing w:line="320" w:lineRule="exact"/>
                    <w:jc w:val="center"/>
                    <w:rPr>
                      <w:bCs/>
                      <w:szCs w:val="21"/>
                    </w:rPr>
                  </w:pPr>
                  <w:r>
                    <w:rPr>
                      <w:rFonts w:hAnsi="Calibri"/>
                      <w:bCs/>
                      <w:szCs w:val="21"/>
                    </w:rPr>
                    <w:t>速率限值</w:t>
                  </w:r>
                </w:p>
                <w:p w14:paraId="6A29DAE9">
                  <w:pPr>
                    <w:spacing w:line="320" w:lineRule="exact"/>
                    <w:jc w:val="center"/>
                    <w:rPr>
                      <w:bCs/>
                      <w:szCs w:val="21"/>
                    </w:rPr>
                  </w:pPr>
                  <w:r>
                    <w:rPr>
                      <w:rFonts w:hint="eastAsia"/>
                      <w:bCs/>
                      <w:szCs w:val="21"/>
                    </w:rPr>
                    <w:t>(</w:t>
                  </w:r>
                  <w:r>
                    <w:rPr>
                      <w:bCs/>
                      <w:szCs w:val="21"/>
                    </w:rPr>
                    <w:t>kg/h</w:t>
                  </w:r>
                  <w:r>
                    <w:rPr>
                      <w:rFonts w:hint="eastAsia"/>
                      <w:bCs/>
                      <w:szCs w:val="21"/>
                    </w:rPr>
                    <w:t>)</w:t>
                  </w:r>
                </w:p>
              </w:tc>
            </w:tr>
            <w:tr w14:paraId="05C7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19" w:type="dxa"/>
                  <w:noWrap w:val="0"/>
                  <w:vAlign w:val="center"/>
                </w:tcPr>
                <w:p w14:paraId="311996A0">
                  <w:pPr>
                    <w:spacing w:line="320" w:lineRule="exact"/>
                    <w:jc w:val="center"/>
                    <w:rPr>
                      <w:bCs/>
                      <w:szCs w:val="21"/>
                    </w:rPr>
                  </w:pPr>
                  <w:r>
                    <w:rPr>
                      <w:bCs/>
                      <w:szCs w:val="21"/>
                    </w:rPr>
                    <w:t>1</w:t>
                  </w:r>
                </w:p>
              </w:tc>
              <w:tc>
                <w:tcPr>
                  <w:tcW w:w="695" w:type="dxa"/>
                  <w:noWrap w:val="0"/>
                  <w:vAlign w:val="center"/>
                </w:tcPr>
                <w:p w14:paraId="2F462AD6">
                  <w:pPr>
                    <w:spacing w:line="320" w:lineRule="exact"/>
                    <w:jc w:val="center"/>
                    <w:rPr>
                      <w:bCs/>
                      <w:szCs w:val="21"/>
                    </w:rPr>
                  </w:pPr>
                  <w:r>
                    <w:rPr>
                      <w:bCs/>
                      <w:szCs w:val="21"/>
                    </w:rPr>
                    <w:t>DA001</w:t>
                  </w:r>
                </w:p>
              </w:tc>
              <w:tc>
                <w:tcPr>
                  <w:tcW w:w="1255" w:type="dxa"/>
                  <w:noWrap w:val="0"/>
                  <w:vAlign w:val="center"/>
                </w:tcPr>
                <w:p w14:paraId="02764D04">
                  <w:pPr>
                    <w:spacing w:line="320" w:lineRule="exact"/>
                    <w:jc w:val="center"/>
                    <w:rPr>
                      <w:bCs/>
                      <w:szCs w:val="21"/>
                    </w:rPr>
                  </w:pPr>
                  <w:r>
                    <w:rPr>
                      <w:rFonts w:hint="eastAsia"/>
                      <w:bCs/>
                      <w:szCs w:val="21"/>
                    </w:rPr>
                    <w:t>破碎</w:t>
                  </w:r>
                  <w:r>
                    <w:rPr>
                      <w:bCs/>
                      <w:szCs w:val="21"/>
                    </w:rPr>
                    <w:t>筛分废气排放口</w:t>
                  </w:r>
                </w:p>
              </w:tc>
              <w:tc>
                <w:tcPr>
                  <w:tcW w:w="1176" w:type="dxa"/>
                  <w:noWrap w:val="0"/>
                  <w:vAlign w:val="center"/>
                </w:tcPr>
                <w:p w14:paraId="7EF07B36">
                  <w:pPr>
                    <w:spacing w:line="320" w:lineRule="exact"/>
                    <w:jc w:val="center"/>
                    <w:rPr>
                      <w:bCs/>
                      <w:szCs w:val="21"/>
                    </w:rPr>
                  </w:pPr>
                  <w:r>
                    <w:rPr>
                      <w:bCs/>
                      <w:szCs w:val="21"/>
                    </w:rPr>
                    <w:t>颗粒物</w:t>
                  </w:r>
                </w:p>
              </w:tc>
              <w:tc>
                <w:tcPr>
                  <w:tcW w:w="1056" w:type="dxa"/>
                  <w:noWrap w:val="0"/>
                  <w:vAlign w:val="center"/>
                </w:tcPr>
                <w:p w14:paraId="22147FEF">
                  <w:pPr>
                    <w:spacing w:line="320" w:lineRule="exact"/>
                    <w:jc w:val="center"/>
                    <w:rPr>
                      <w:bCs/>
                      <w:szCs w:val="21"/>
                    </w:rPr>
                  </w:pPr>
                  <w:r>
                    <w:rPr>
                      <w:rFonts w:hint="eastAsia"/>
                      <w:bCs/>
                      <w:szCs w:val="21"/>
                    </w:rPr>
                    <w:t>116.538259452</w:t>
                  </w:r>
                </w:p>
              </w:tc>
              <w:tc>
                <w:tcPr>
                  <w:tcW w:w="978" w:type="dxa"/>
                  <w:noWrap w:val="0"/>
                  <w:vAlign w:val="center"/>
                </w:tcPr>
                <w:p w14:paraId="3C9FF6A7">
                  <w:pPr>
                    <w:spacing w:line="320" w:lineRule="exact"/>
                    <w:jc w:val="center"/>
                    <w:rPr>
                      <w:bCs/>
                      <w:szCs w:val="21"/>
                    </w:rPr>
                  </w:pPr>
                  <w:r>
                    <w:rPr>
                      <w:rFonts w:hint="eastAsia"/>
                      <w:bCs/>
                      <w:szCs w:val="21"/>
                    </w:rPr>
                    <w:t>32.884197650</w:t>
                  </w:r>
                </w:p>
              </w:tc>
              <w:tc>
                <w:tcPr>
                  <w:tcW w:w="852" w:type="dxa"/>
                  <w:noWrap w:val="0"/>
                  <w:vAlign w:val="center"/>
                </w:tcPr>
                <w:p w14:paraId="649A9E53">
                  <w:pPr>
                    <w:wordWrap w:val="0"/>
                    <w:spacing w:line="320" w:lineRule="exact"/>
                    <w:jc w:val="center"/>
                    <w:rPr>
                      <w:bCs/>
                      <w:szCs w:val="21"/>
                    </w:rPr>
                  </w:pPr>
                  <w:r>
                    <w:rPr>
                      <w:rFonts w:hint="eastAsia"/>
                      <w:bCs/>
                      <w:szCs w:val="21"/>
                    </w:rPr>
                    <w:t>15</w:t>
                  </w:r>
                </w:p>
              </w:tc>
              <w:tc>
                <w:tcPr>
                  <w:tcW w:w="792" w:type="dxa"/>
                  <w:noWrap w:val="0"/>
                  <w:vAlign w:val="center"/>
                </w:tcPr>
                <w:p w14:paraId="35331BA2">
                  <w:pPr>
                    <w:wordWrap w:val="0"/>
                    <w:spacing w:line="320" w:lineRule="exact"/>
                    <w:jc w:val="center"/>
                    <w:rPr>
                      <w:rFonts w:hint="default" w:eastAsia="宋体"/>
                      <w:bCs/>
                      <w:szCs w:val="21"/>
                      <w:lang w:val="en-US" w:eastAsia="zh-CN"/>
                    </w:rPr>
                  </w:pPr>
                  <w:r>
                    <w:rPr>
                      <w:rFonts w:hint="eastAsia"/>
                      <w:bCs/>
                      <w:szCs w:val="21"/>
                      <w:lang w:val="en-US" w:eastAsia="zh-CN"/>
                    </w:rPr>
                    <w:t>1</w:t>
                  </w:r>
                </w:p>
              </w:tc>
              <w:tc>
                <w:tcPr>
                  <w:tcW w:w="862" w:type="dxa"/>
                  <w:noWrap w:val="0"/>
                  <w:vAlign w:val="center"/>
                </w:tcPr>
                <w:p w14:paraId="255B003D">
                  <w:pPr>
                    <w:wordWrap w:val="0"/>
                    <w:spacing w:line="320" w:lineRule="exact"/>
                    <w:jc w:val="center"/>
                    <w:rPr>
                      <w:bCs/>
                      <w:szCs w:val="21"/>
                    </w:rPr>
                  </w:pPr>
                  <w:r>
                    <w:rPr>
                      <w:rFonts w:hint="eastAsia"/>
                      <w:bCs/>
                      <w:szCs w:val="21"/>
                    </w:rPr>
                    <w:t>环境温度</w:t>
                  </w:r>
                </w:p>
              </w:tc>
              <w:tc>
                <w:tcPr>
                  <w:tcW w:w="1089" w:type="dxa"/>
                  <w:noWrap w:val="0"/>
                  <w:vAlign w:val="center"/>
                </w:tcPr>
                <w:p w14:paraId="2D836CA1">
                  <w:pPr>
                    <w:spacing w:line="320" w:lineRule="exact"/>
                    <w:jc w:val="center"/>
                    <w:rPr>
                      <w:rFonts w:hint="default" w:eastAsia="宋体"/>
                      <w:bCs/>
                      <w:szCs w:val="21"/>
                      <w:lang w:val="en-US" w:eastAsia="zh-CN"/>
                    </w:rPr>
                  </w:pPr>
                  <w:r>
                    <w:rPr>
                      <w:rFonts w:hint="eastAsia"/>
                      <w:bCs/>
                      <w:szCs w:val="21"/>
                      <w:lang w:val="en-US" w:eastAsia="zh-CN"/>
                    </w:rPr>
                    <w:t>50000</w:t>
                  </w:r>
                </w:p>
              </w:tc>
              <w:tc>
                <w:tcPr>
                  <w:tcW w:w="2683" w:type="dxa"/>
                  <w:noWrap w:val="0"/>
                  <w:vAlign w:val="center"/>
                </w:tcPr>
                <w:p w14:paraId="3FE41E04">
                  <w:pPr>
                    <w:adjustRightInd w:val="0"/>
                    <w:snapToGrid w:val="0"/>
                    <w:spacing w:line="320" w:lineRule="exact"/>
                    <w:jc w:val="center"/>
                    <w:rPr>
                      <w:rFonts w:eastAsia="黑体"/>
                      <w:bCs/>
                      <w:szCs w:val="21"/>
                    </w:rPr>
                  </w:pPr>
                  <w:r>
                    <w:rPr>
                      <w:rFonts w:hint="eastAsia"/>
                      <w:bCs/>
                      <w:szCs w:val="21"/>
                    </w:rPr>
                    <w:t>《砖瓦工业大气污染物排放标准》(DB34/4362-2023)</w:t>
                  </w:r>
                </w:p>
              </w:tc>
              <w:tc>
                <w:tcPr>
                  <w:tcW w:w="1116" w:type="dxa"/>
                  <w:noWrap w:val="0"/>
                  <w:vAlign w:val="center"/>
                </w:tcPr>
                <w:p w14:paraId="6A5A280A">
                  <w:pPr>
                    <w:spacing w:line="320" w:lineRule="exact"/>
                    <w:jc w:val="center"/>
                    <w:rPr>
                      <w:bCs/>
                      <w:szCs w:val="21"/>
                    </w:rPr>
                  </w:pPr>
                  <w:r>
                    <w:rPr>
                      <w:rFonts w:hint="eastAsia"/>
                      <w:bCs/>
                      <w:szCs w:val="21"/>
                    </w:rPr>
                    <w:t>10</w:t>
                  </w:r>
                </w:p>
              </w:tc>
              <w:tc>
                <w:tcPr>
                  <w:tcW w:w="763" w:type="dxa"/>
                  <w:noWrap w:val="0"/>
                  <w:vAlign w:val="center"/>
                </w:tcPr>
                <w:p w14:paraId="713867AF">
                  <w:pPr>
                    <w:spacing w:line="320" w:lineRule="exact"/>
                    <w:jc w:val="center"/>
                    <w:rPr>
                      <w:bCs/>
                      <w:szCs w:val="21"/>
                    </w:rPr>
                  </w:pPr>
                  <w:r>
                    <w:rPr>
                      <w:rFonts w:hint="eastAsia"/>
                      <w:bCs/>
                      <w:szCs w:val="21"/>
                    </w:rPr>
                    <w:t>/</w:t>
                  </w:r>
                </w:p>
              </w:tc>
            </w:tr>
            <w:tr w14:paraId="4F1E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19" w:type="dxa"/>
                  <w:vMerge w:val="restart"/>
                  <w:noWrap w:val="0"/>
                  <w:vAlign w:val="center"/>
                </w:tcPr>
                <w:p w14:paraId="2CC96F04">
                  <w:pPr>
                    <w:spacing w:line="320" w:lineRule="exact"/>
                    <w:jc w:val="center"/>
                    <w:rPr>
                      <w:bCs/>
                      <w:szCs w:val="21"/>
                    </w:rPr>
                  </w:pPr>
                  <w:r>
                    <w:rPr>
                      <w:rFonts w:hint="eastAsia"/>
                      <w:bCs/>
                      <w:szCs w:val="21"/>
                    </w:rPr>
                    <w:t>2</w:t>
                  </w:r>
                </w:p>
              </w:tc>
              <w:tc>
                <w:tcPr>
                  <w:tcW w:w="695" w:type="dxa"/>
                  <w:vMerge w:val="restart"/>
                  <w:noWrap w:val="0"/>
                  <w:vAlign w:val="center"/>
                </w:tcPr>
                <w:p w14:paraId="168F508A">
                  <w:pPr>
                    <w:spacing w:line="320" w:lineRule="exact"/>
                    <w:jc w:val="center"/>
                    <w:rPr>
                      <w:bCs/>
                      <w:szCs w:val="21"/>
                    </w:rPr>
                  </w:pPr>
                  <w:r>
                    <w:rPr>
                      <w:rFonts w:hint="eastAsia"/>
                      <w:bCs/>
                      <w:szCs w:val="21"/>
                    </w:rPr>
                    <w:t>DA002</w:t>
                  </w:r>
                </w:p>
              </w:tc>
              <w:tc>
                <w:tcPr>
                  <w:tcW w:w="1255" w:type="dxa"/>
                  <w:vMerge w:val="restart"/>
                  <w:noWrap w:val="0"/>
                  <w:vAlign w:val="center"/>
                </w:tcPr>
                <w:p w14:paraId="4652C8A4">
                  <w:pPr>
                    <w:spacing w:line="320" w:lineRule="exact"/>
                    <w:jc w:val="center"/>
                    <w:rPr>
                      <w:bCs/>
                      <w:szCs w:val="21"/>
                    </w:rPr>
                  </w:pPr>
                  <w:r>
                    <w:rPr>
                      <w:rFonts w:hint="eastAsia"/>
                      <w:bCs/>
                      <w:szCs w:val="21"/>
                    </w:rPr>
                    <w:t>隧道窑废气</w:t>
                  </w:r>
                  <w:r>
                    <w:rPr>
                      <w:bCs/>
                      <w:szCs w:val="21"/>
                    </w:rPr>
                    <w:t>排放口</w:t>
                  </w:r>
                </w:p>
              </w:tc>
              <w:tc>
                <w:tcPr>
                  <w:tcW w:w="1176" w:type="dxa"/>
                  <w:noWrap w:val="0"/>
                  <w:vAlign w:val="center"/>
                </w:tcPr>
                <w:p w14:paraId="5F399CD9">
                  <w:pPr>
                    <w:spacing w:line="320" w:lineRule="exact"/>
                    <w:jc w:val="center"/>
                    <w:rPr>
                      <w:bCs/>
                      <w:szCs w:val="21"/>
                    </w:rPr>
                  </w:pPr>
                  <w:r>
                    <w:rPr>
                      <w:bCs/>
                      <w:szCs w:val="21"/>
                    </w:rPr>
                    <w:t>颗粒物</w:t>
                  </w:r>
                </w:p>
              </w:tc>
              <w:tc>
                <w:tcPr>
                  <w:tcW w:w="1056" w:type="dxa"/>
                  <w:vMerge w:val="restart"/>
                  <w:noWrap w:val="0"/>
                  <w:vAlign w:val="center"/>
                </w:tcPr>
                <w:p w14:paraId="2F6938F1">
                  <w:pPr>
                    <w:spacing w:line="320" w:lineRule="exact"/>
                    <w:jc w:val="center"/>
                    <w:rPr>
                      <w:bCs/>
                      <w:szCs w:val="21"/>
                    </w:rPr>
                  </w:pPr>
                  <w:r>
                    <w:rPr>
                      <w:rFonts w:hint="eastAsia"/>
                      <w:bCs/>
                      <w:szCs w:val="21"/>
                    </w:rPr>
                    <w:t>116.539077526</w:t>
                  </w:r>
                </w:p>
              </w:tc>
              <w:tc>
                <w:tcPr>
                  <w:tcW w:w="978" w:type="dxa"/>
                  <w:vMerge w:val="restart"/>
                  <w:noWrap w:val="0"/>
                  <w:vAlign w:val="center"/>
                </w:tcPr>
                <w:p w14:paraId="2DC482D1">
                  <w:pPr>
                    <w:spacing w:line="320" w:lineRule="exact"/>
                    <w:jc w:val="center"/>
                    <w:rPr>
                      <w:bCs/>
                      <w:szCs w:val="21"/>
                    </w:rPr>
                  </w:pPr>
                  <w:r>
                    <w:rPr>
                      <w:rFonts w:hint="eastAsia"/>
                      <w:bCs/>
                      <w:szCs w:val="21"/>
                    </w:rPr>
                    <w:t>32.884479281</w:t>
                  </w:r>
                </w:p>
              </w:tc>
              <w:tc>
                <w:tcPr>
                  <w:tcW w:w="852" w:type="dxa"/>
                  <w:vMerge w:val="restart"/>
                  <w:noWrap w:val="0"/>
                  <w:vAlign w:val="center"/>
                </w:tcPr>
                <w:p w14:paraId="2EEDAFB2">
                  <w:pPr>
                    <w:wordWrap w:val="0"/>
                    <w:spacing w:line="320" w:lineRule="exact"/>
                    <w:jc w:val="center"/>
                    <w:rPr>
                      <w:bCs/>
                      <w:szCs w:val="21"/>
                    </w:rPr>
                  </w:pPr>
                  <w:r>
                    <w:rPr>
                      <w:rFonts w:hint="eastAsia"/>
                      <w:bCs/>
                      <w:szCs w:val="21"/>
                    </w:rPr>
                    <w:t>35</w:t>
                  </w:r>
                </w:p>
              </w:tc>
              <w:tc>
                <w:tcPr>
                  <w:tcW w:w="792" w:type="dxa"/>
                  <w:vMerge w:val="restart"/>
                  <w:noWrap w:val="0"/>
                  <w:vAlign w:val="center"/>
                </w:tcPr>
                <w:p w14:paraId="2BCFF30E">
                  <w:pPr>
                    <w:wordWrap w:val="0"/>
                    <w:spacing w:line="320" w:lineRule="exact"/>
                    <w:jc w:val="center"/>
                    <w:rPr>
                      <w:rFonts w:hint="default"/>
                      <w:bCs/>
                      <w:szCs w:val="21"/>
                      <w:lang w:val="en-US"/>
                    </w:rPr>
                  </w:pPr>
                  <w:r>
                    <w:rPr>
                      <w:rFonts w:hint="eastAsia"/>
                      <w:bCs/>
                      <w:szCs w:val="21"/>
                      <w:lang w:val="en-US" w:eastAsia="zh-CN"/>
                    </w:rPr>
                    <w:t>3</w:t>
                  </w:r>
                </w:p>
              </w:tc>
              <w:tc>
                <w:tcPr>
                  <w:tcW w:w="862" w:type="dxa"/>
                  <w:vMerge w:val="restart"/>
                  <w:noWrap w:val="0"/>
                  <w:vAlign w:val="center"/>
                </w:tcPr>
                <w:p w14:paraId="4641F20A">
                  <w:pPr>
                    <w:wordWrap w:val="0"/>
                    <w:spacing w:line="320" w:lineRule="exact"/>
                    <w:jc w:val="center"/>
                    <w:rPr>
                      <w:bCs/>
                      <w:szCs w:val="21"/>
                    </w:rPr>
                  </w:pPr>
                  <w:r>
                    <w:rPr>
                      <w:rFonts w:hint="eastAsia"/>
                      <w:bCs/>
                      <w:szCs w:val="21"/>
                    </w:rPr>
                    <w:t>80</w:t>
                  </w:r>
                </w:p>
              </w:tc>
              <w:tc>
                <w:tcPr>
                  <w:tcW w:w="1089" w:type="dxa"/>
                  <w:vMerge w:val="restart"/>
                  <w:noWrap w:val="0"/>
                  <w:vAlign w:val="center"/>
                </w:tcPr>
                <w:p w14:paraId="1D8F2827">
                  <w:pPr>
                    <w:spacing w:line="320" w:lineRule="exact"/>
                    <w:jc w:val="center"/>
                    <w:textAlignment w:val="center"/>
                    <w:rPr>
                      <w:rFonts w:hint="default" w:eastAsia="宋体"/>
                      <w:bCs/>
                      <w:szCs w:val="21"/>
                      <w:lang w:val="en-US" w:eastAsia="zh-CN"/>
                    </w:rPr>
                  </w:pPr>
                  <w:r>
                    <w:rPr>
                      <w:rFonts w:hint="eastAsia"/>
                      <w:bCs/>
                      <w:szCs w:val="21"/>
                      <w:lang w:val="en-US" w:eastAsia="zh-CN"/>
                    </w:rPr>
                    <w:t>300000</w:t>
                  </w:r>
                </w:p>
              </w:tc>
              <w:tc>
                <w:tcPr>
                  <w:tcW w:w="2683" w:type="dxa"/>
                  <w:vMerge w:val="restart"/>
                  <w:noWrap w:val="0"/>
                  <w:vAlign w:val="center"/>
                </w:tcPr>
                <w:p w14:paraId="3FF25FF0">
                  <w:pPr>
                    <w:spacing w:line="320" w:lineRule="exact"/>
                    <w:jc w:val="center"/>
                    <w:rPr>
                      <w:rFonts w:hAnsi="Calibri"/>
                      <w:bCs/>
                      <w:szCs w:val="21"/>
                    </w:rPr>
                  </w:pPr>
                  <w:r>
                    <w:rPr>
                      <w:rFonts w:hint="eastAsia"/>
                      <w:bCs/>
                      <w:szCs w:val="21"/>
                    </w:rPr>
                    <w:t>《砖瓦工业大气污染物排放标准》(DB34/4362-2023)</w:t>
                  </w:r>
                </w:p>
              </w:tc>
              <w:tc>
                <w:tcPr>
                  <w:tcW w:w="1116" w:type="dxa"/>
                  <w:noWrap w:val="0"/>
                  <w:vAlign w:val="center"/>
                </w:tcPr>
                <w:p w14:paraId="47E09798">
                  <w:pPr>
                    <w:spacing w:line="320" w:lineRule="exact"/>
                    <w:jc w:val="center"/>
                    <w:rPr>
                      <w:bCs/>
                      <w:szCs w:val="21"/>
                    </w:rPr>
                  </w:pPr>
                  <w:r>
                    <w:rPr>
                      <w:rFonts w:hint="eastAsia"/>
                      <w:bCs/>
                      <w:szCs w:val="21"/>
                    </w:rPr>
                    <w:t>10</w:t>
                  </w:r>
                </w:p>
              </w:tc>
              <w:tc>
                <w:tcPr>
                  <w:tcW w:w="763" w:type="dxa"/>
                  <w:noWrap w:val="0"/>
                  <w:vAlign w:val="center"/>
                </w:tcPr>
                <w:p w14:paraId="32A4D8AB">
                  <w:pPr>
                    <w:spacing w:line="320" w:lineRule="exact"/>
                    <w:jc w:val="center"/>
                    <w:rPr>
                      <w:bCs/>
                      <w:szCs w:val="21"/>
                    </w:rPr>
                  </w:pPr>
                  <w:r>
                    <w:rPr>
                      <w:rFonts w:hint="eastAsia"/>
                      <w:bCs/>
                      <w:szCs w:val="21"/>
                    </w:rPr>
                    <w:t>/</w:t>
                  </w:r>
                </w:p>
              </w:tc>
            </w:tr>
            <w:tr w14:paraId="68FC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19" w:type="dxa"/>
                  <w:vMerge w:val="continue"/>
                  <w:noWrap w:val="0"/>
                  <w:vAlign w:val="center"/>
                </w:tcPr>
                <w:p w14:paraId="7F07D5BB">
                  <w:pPr>
                    <w:spacing w:line="320" w:lineRule="exact"/>
                    <w:jc w:val="center"/>
                    <w:rPr>
                      <w:bCs/>
                      <w:szCs w:val="21"/>
                    </w:rPr>
                  </w:pPr>
                </w:p>
              </w:tc>
              <w:tc>
                <w:tcPr>
                  <w:tcW w:w="695" w:type="dxa"/>
                  <w:vMerge w:val="continue"/>
                  <w:noWrap w:val="0"/>
                  <w:vAlign w:val="center"/>
                </w:tcPr>
                <w:p w14:paraId="5639D09B">
                  <w:pPr>
                    <w:spacing w:line="320" w:lineRule="exact"/>
                    <w:jc w:val="center"/>
                    <w:rPr>
                      <w:bCs/>
                      <w:szCs w:val="21"/>
                    </w:rPr>
                  </w:pPr>
                </w:p>
              </w:tc>
              <w:tc>
                <w:tcPr>
                  <w:tcW w:w="1255" w:type="dxa"/>
                  <w:vMerge w:val="continue"/>
                  <w:noWrap w:val="0"/>
                  <w:vAlign w:val="center"/>
                </w:tcPr>
                <w:p w14:paraId="1DFBBD05">
                  <w:pPr>
                    <w:spacing w:line="320" w:lineRule="exact"/>
                    <w:jc w:val="center"/>
                    <w:rPr>
                      <w:bCs/>
                      <w:szCs w:val="21"/>
                    </w:rPr>
                  </w:pPr>
                </w:p>
              </w:tc>
              <w:tc>
                <w:tcPr>
                  <w:tcW w:w="1176" w:type="dxa"/>
                  <w:noWrap w:val="0"/>
                  <w:vAlign w:val="center"/>
                </w:tcPr>
                <w:p w14:paraId="72989008">
                  <w:pPr>
                    <w:spacing w:line="320" w:lineRule="exact"/>
                    <w:jc w:val="center"/>
                    <w:textAlignment w:val="center"/>
                    <w:rPr>
                      <w:bCs/>
                      <w:szCs w:val="21"/>
                    </w:rPr>
                  </w:pPr>
                  <w:r>
                    <w:rPr>
                      <w:rFonts w:hint="eastAsia"/>
                      <w:bCs/>
                      <w:szCs w:val="21"/>
                    </w:rPr>
                    <w:t>SO</w:t>
                  </w:r>
                  <w:r>
                    <w:rPr>
                      <w:rFonts w:hint="eastAsia"/>
                      <w:bCs/>
                      <w:szCs w:val="21"/>
                      <w:vertAlign w:val="subscript"/>
                    </w:rPr>
                    <w:t>2</w:t>
                  </w:r>
                </w:p>
              </w:tc>
              <w:tc>
                <w:tcPr>
                  <w:tcW w:w="1056" w:type="dxa"/>
                  <w:vMerge w:val="continue"/>
                  <w:noWrap w:val="0"/>
                  <w:vAlign w:val="center"/>
                </w:tcPr>
                <w:p w14:paraId="14492837">
                  <w:pPr>
                    <w:spacing w:line="320" w:lineRule="exact"/>
                    <w:jc w:val="center"/>
                    <w:rPr>
                      <w:bCs/>
                      <w:szCs w:val="21"/>
                    </w:rPr>
                  </w:pPr>
                </w:p>
              </w:tc>
              <w:tc>
                <w:tcPr>
                  <w:tcW w:w="978" w:type="dxa"/>
                  <w:vMerge w:val="continue"/>
                  <w:noWrap w:val="0"/>
                  <w:vAlign w:val="center"/>
                </w:tcPr>
                <w:p w14:paraId="6F4413A4">
                  <w:pPr>
                    <w:spacing w:line="320" w:lineRule="exact"/>
                    <w:jc w:val="center"/>
                    <w:rPr>
                      <w:bCs/>
                      <w:szCs w:val="21"/>
                    </w:rPr>
                  </w:pPr>
                </w:p>
              </w:tc>
              <w:tc>
                <w:tcPr>
                  <w:tcW w:w="852" w:type="dxa"/>
                  <w:vMerge w:val="continue"/>
                  <w:noWrap w:val="0"/>
                  <w:vAlign w:val="center"/>
                </w:tcPr>
                <w:p w14:paraId="1B0E9E1F">
                  <w:pPr>
                    <w:wordWrap w:val="0"/>
                    <w:spacing w:line="320" w:lineRule="exact"/>
                    <w:jc w:val="center"/>
                    <w:rPr>
                      <w:bCs/>
                      <w:szCs w:val="21"/>
                    </w:rPr>
                  </w:pPr>
                </w:p>
              </w:tc>
              <w:tc>
                <w:tcPr>
                  <w:tcW w:w="792" w:type="dxa"/>
                  <w:vMerge w:val="continue"/>
                  <w:noWrap w:val="0"/>
                  <w:vAlign w:val="center"/>
                </w:tcPr>
                <w:p w14:paraId="3EE0E3A8">
                  <w:pPr>
                    <w:wordWrap w:val="0"/>
                    <w:spacing w:line="320" w:lineRule="exact"/>
                    <w:jc w:val="center"/>
                    <w:rPr>
                      <w:bCs/>
                      <w:szCs w:val="21"/>
                    </w:rPr>
                  </w:pPr>
                </w:p>
              </w:tc>
              <w:tc>
                <w:tcPr>
                  <w:tcW w:w="862" w:type="dxa"/>
                  <w:vMerge w:val="continue"/>
                  <w:noWrap w:val="0"/>
                  <w:vAlign w:val="center"/>
                </w:tcPr>
                <w:p w14:paraId="4B15A1A8">
                  <w:pPr>
                    <w:wordWrap w:val="0"/>
                    <w:spacing w:line="320" w:lineRule="exact"/>
                    <w:jc w:val="center"/>
                    <w:rPr>
                      <w:bCs/>
                      <w:szCs w:val="21"/>
                    </w:rPr>
                  </w:pPr>
                </w:p>
              </w:tc>
              <w:tc>
                <w:tcPr>
                  <w:tcW w:w="1089" w:type="dxa"/>
                  <w:vMerge w:val="continue"/>
                  <w:noWrap w:val="0"/>
                  <w:vAlign w:val="center"/>
                </w:tcPr>
                <w:p w14:paraId="49D46ADC">
                  <w:pPr>
                    <w:spacing w:line="320" w:lineRule="exact"/>
                    <w:jc w:val="center"/>
                    <w:textAlignment w:val="center"/>
                    <w:rPr>
                      <w:bCs/>
                      <w:szCs w:val="21"/>
                    </w:rPr>
                  </w:pPr>
                </w:p>
              </w:tc>
              <w:tc>
                <w:tcPr>
                  <w:tcW w:w="2683" w:type="dxa"/>
                  <w:vMerge w:val="continue"/>
                  <w:noWrap w:val="0"/>
                  <w:vAlign w:val="center"/>
                </w:tcPr>
                <w:p w14:paraId="53B7AD7E">
                  <w:pPr>
                    <w:spacing w:line="320" w:lineRule="exact"/>
                    <w:jc w:val="center"/>
                    <w:rPr>
                      <w:bCs/>
                      <w:szCs w:val="21"/>
                    </w:rPr>
                  </w:pPr>
                </w:p>
              </w:tc>
              <w:tc>
                <w:tcPr>
                  <w:tcW w:w="1116" w:type="dxa"/>
                  <w:noWrap w:val="0"/>
                  <w:vAlign w:val="center"/>
                </w:tcPr>
                <w:p w14:paraId="0C942523">
                  <w:pPr>
                    <w:spacing w:line="320" w:lineRule="exact"/>
                    <w:jc w:val="center"/>
                    <w:rPr>
                      <w:bCs/>
                      <w:szCs w:val="21"/>
                    </w:rPr>
                  </w:pPr>
                  <w:r>
                    <w:rPr>
                      <w:rFonts w:hint="eastAsia"/>
                      <w:bCs/>
                      <w:szCs w:val="21"/>
                    </w:rPr>
                    <w:t>50</w:t>
                  </w:r>
                </w:p>
              </w:tc>
              <w:tc>
                <w:tcPr>
                  <w:tcW w:w="763" w:type="dxa"/>
                  <w:noWrap w:val="0"/>
                  <w:vAlign w:val="center"/>
                </w:tcPr>
                <w:p w14:paraId="2D1EDA93">
                  <w:pPr>
                    <w:spacing w:line="320" w:lineRule="exact"/>
                    <w:jc w:val="center"/>
                    <w:rPr>
                      <w:bCs/>
                      <w:szCs w:val="21"/>
                    </w:rPr>
                  </w:pPr>
                  <w:r>
                    <w:rPr>
                      <w:rFonts w:hint="eastAsia"/>
                      <w:bCs/>
                      <w:szCs w:val="21"/>
                    </w:rPr>
                    <w:t>/</w:t>
                  </w:r>
                </w:p>
              </w:tc>
            </w:tr>
            <w:tr w14:paraId="3B89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19" w:type="dxa"/>
                  <w:vMerge w:val="continue"/>
                  <w:noWrap w:val="0"/>
                  <w:vAlign w:val="center"/>
                </w:tcPr>
                <w:p w14:paraId="6273822B">
                  <w:pPr>
                    <w:spacing w:line="320" w:lineRule="exact"/>
                    <w:jc w:val="center"/>
                    <w:rPr>
                      <w:bCs/>
                      <w:szCs w:val="21"/>
                    </w:rPr>
                  </w:pPr>
                </w:p>
              </w:tc>
              <w:tc>
                <w:tcPr>
                  <w:tcW w:w="695" w:type="dxa"/>
                  <w:vMerge w:val="continue"/>
                  <w:noWrap w:val="0"/>
                  <w:vAlign w:val="center"/>
                </w:tcPr>
                <w:p w14:paraId="13C11E47">
                  <w:pPr>
                    <w:spacing w:line="320" w:lineRule="exact"/>
                    <w:jc w:val="center"/>
                    <w:rPr>
                      <w:bCs/>
                      <w:szCs w:val="21"/>
                    </w:rPr>
                  </w:pPr>
                </w:p>
              </w:tc>
              <w:tc>
                <w:tcPr>
                  <w:tcW w:w="1255" w:type="dxa"/>
                  <w:vMerge w:val="continue"/>
                  <w:noWrap w:val="0"/>
                  <w:vAlign w:val="center"/>
                </w:tcPr>
                <w:p w14:paraId="5E47ECDC">
                  <w:pPr>
                    <w:spacing w:line="320" w:lineRule="exact"/>
                    <w:jc w:val="center"/>
                    <w:rPr>
                      <w:bCs/>
                      <w:szCs w:val="21"/>
                    </w:rPr>
                  </w:pPr>
                </w:p>
              </w:tc>
              <w:tc>
                <w:tcPr>
                  <w:tcW w:w="1176" w:type="dxa"/>
                  <w:noWrap w:val="0"/>
                  <w:vAlign w:val="center"/>
                </w:tcPr>
                <w:p w14:paraId="3A0ED2FD">
                  <w:pPr>
                    <w:spacing w:line="320" w:lineRule="exact"/>
                    <w:jc w:val="center"/>
                    <w:textAlignment w:val="center"/>
                    <w:rPr>
                      <w:bCs/>
                      <w:szCs w:val="21"/>
                    </w:rPr>
                  </w:pPr>
                  <w:r>
                    <w:rPr>
                      <w:rFonts w:hint="eastAsia"/>
                      <w:bCs/>
                      <w:szCs w:val="21"/>
                    </w:rPr>
                    <w:t>NOx</w:t>
                  </w:r>
                </w:p>
              </w:tc>
              <w:tc>
                <w:tcPr>
                  <w:tcW w:w="1056" w:type="dxa"/>
                  <w:vMerge w:val="continue"/>
                  <w:noWrap w:val="0"/>
                  <w:vAlign w:val="center"/>
                </w:tcPr>
                <w:p w14:paraId="432A9D27">
                  <w:pPr>
                    <w:spacing w:line="320" w:lineRule="exact"/>
                    <w:jc w:val="center"/>
                    <w:rPr>
                      <w:bCs/>
                      <w:szCs w:val="21"/>
                    </w:rPr>
                  </w:pPr>
                </w:p>
              </w:tc>
              <w:tc>
                <w:tcPr>
                  <w:tcW w:w="978" w:type="dxa"/>
                  <w:vMerge w:val="continue"/>
                  <w:noWrap w:val="0"/>
                  <w:vAlign w:val="center"/>
                </w:tcPr>
                <w:p w14:paraId="1B69642F">
                  <w:pPr>
                    <w:spacing w:line="320" w:lineRule="exact"/>
                    <w:jc w:val="center"/>
                    <w:rPr>
                      <w:bCs/>
                      <w:szCs w:val="21"/>
                    </w:rPr>
                  </w:pPr>
                </w:p>
              </w:tc>
              <w:tc>
                <w:tcPr>
                  <w:tcW w:w="852" w:type="dxa"/>
                  <w:vMerge w:val="continue"/>
                  <w:noWrap w:val="0"/>
                  <w:vAlign w:val="center"/>
                </w:tcPr>
                <w:p w14:paraId="2BC5EF08">
                  <w:pPr>
                    <w:wordWrap w:val="0"/>
                    <w:spacing w:line="320" w:lineRule="exact"/>
                    <w:jc w:val="center"/>
                    <w:rPr>
                      <w:bCs/>
                      <w:szCs w:val="21"/>
                    </w:rPr>
                  </w:pPr>
                </w:p>
              </w:tc>
              <w:tc>
                <w:tcPr>
                  <w:tcW w:w="792" w:type="dxa"/>
                  <w:vMerge w:val="continue"/>
                  <w:noWrap w:val="0"/>
                  <w:vAlign w:val="center"/>
                </w:tcPr>
                <w:p w14:paraId="30829B9E">
                  <w:pPr>
                    <w:wordWrap w:val="0"/>
                    <w:spacing w:line="320" w:lineRule="exact"/>
                    <w:jc w:val="center"/>
                    <w:rPr>
                      <w:bCs/>
                      <w:szCs w:val="21"/>
                    </w:rPr>
                  </w:pPr>
                </w:p>
              </w:tc>
              <w:tc>
                <w:tcPr>
                  <w:tcW w:w="862" w:type="dxa"/>
                  <w:vMerge w:val="continue"/>
                  <w:noWrap w:val="0"/>
                  <w:vAlign w:val="center"/>
                </w:tcPr>
                <w:p w14:paraId="4BE33ACB">
                  <w:pPr>
                    <w:wordWrap w:val="0"/>
                    <w:spacing w:line="320" w:lineRule="exact"/>
                    <w:jc w:val="center"/>
                    <w:rPr>
                      <w:bCs/>
                      <w:szCs w:val="21"/>
                    </w:rPr>
                  </w:pPr>
                </w:p>
              </w:tc>
              <w:tc>
                <w:tcPr>
                  <w:tcW w:w="1089" w:type="dxa"/>
                  <w:vMerge w:val="continue"/>
                  <w:noWrap w:val="0"/>
                  <w:vAlign w:val="center"/>
                </w:tcPr>
                <w:p w14:paraId="4211BE4E">
                  <w:pPr>
                    <w:spacing w:line="320" w:lineRule="exact"/>
                    <w:jc w:val="center"/>
                    <w:textAlignment w:val="center"/>
                    <w:rPr>
                      <w:bCs/>
                      <w:szCs w:val="21"/>
                    </w:rPr>
                  </w:pPr>
                </w:p>
              </w:tc>
              <w:tc>
                <w:tcPr>
                  <w:tcW w:w="2683" w:type="dxa"/>
                  <w:vMerge w:val="continue"/>
                  <w:noWrap w:val="0"/>
                  <w:vAlign w:val="center"/>
                </w:tcPr>
                <w:p w14:paraId="1D19EB41">
                  <w:pPr>
                    <w:spacing w:line="320" w:lineRule="exact"/>
                    <w:jc w:val="center"/>
                    <w:rPr>
                      <w:bCs/>
                      <w:szCs w:val="21"/>
                    </w:rPr>
                  </w:pPr>
                </w:p>
              </w:tc>
              <w:tc>
                <w:tcPr>
                  <w:tcW w:w="1116" w:type="dxa"/>
                  <w:noWrap w:val="0"/>
                  <w:vAlign w:val="center"/>
                </w:tcPr>
                <w:p w14:paraId="1A61B425">
                  <w:pPr>
                    <w:spacing w:line="320" w:lineRule="exact"/>
                    <w:jc w:val="center"/>
                    <w:rPr>
                      <w:bCs/>
                      <w:szCs w:val="21"/>
                    </w:rPr>
                  </w:pPr>
                  <w:r>
                    <w:rPr>
                      <w:rFonts w:hint="eastAsia"/>
                      <w:bCs/>
                      <w:szCs w:val="21"/>
                    </w:rPr>
                    <w:t>100</w:t>
                  </w:r>
                </w:p>
              </w:tc>
              <w:tc>
                <w:tcPr>
                  <w:tcW w:w="763" w:type="dxa"/>
                  <w:noWrap w:val="0"/>
                  <w:vAlign w:val="center"/>
                </w:tcPr>
                <w:p w14:paraId="304A25E3">
                  <w:pPr>
                    <w:spacing w:line="320" w:lineRule="exact"/>
                    <w:jc w:val="center"/>
                    <w:rPr>
                      <w:bCs/>
                      <w:szCs w:val="21"/>
                    </w:rPr>
                  </w:pPr>
                  <w:r>
                    <w:rPr>
                      <w:rFonts w:hint="eastAsia"/>
                      <w:bCs/>
                      <w:szCs w:val="21"/>
                    </w:rPr>
                    <w:t>/</w:t>
                  </w:r>
                </w:p>
              </w:tc>
            </w:tr>
            <w:tr w14:paraId="1A0B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19" w:type="dxa"/>
                  <w:vMerge w:val="continue"/>
                  <w:noWrap w:val="0"/>
                  <w:vAlign w:val="center"/>
                </w:tcPr>
                <w:p w14:paraId="5807289C">
                  <w:pPr>
                    <w:spacing w:line="320" w:lineRule="exact"/>
                    <w:jc w:val="center"/>
                    <w:rPr>
                      <w:bCs/>
                      <w:szCs w:val="21"/>
                    </w:rPr>
                  </w:pPr>
                </w:p>
              </w:tc>
              <w:tc>
                <w:tcPr>
                  <w:tcW w:w="695" w:type="dxa"/>
                  <w:vMerge w:val="continue"/>
                  <w:noWrap w:val="0"/>
                  <w:vAlign w:val="center"/>
                </w:tcPr>
                <w:p w14:paraId="166AF92B">
                  <w:pPr>
                    <w:spacing w:line="320" w:lineRule="exact"/>
                    <w:jc w:val="center"/>
                    <w:rPr>
                      <w:bCs/>
                      <w:szCs w:val="21"/>
                    </w:rPr>
                  </w:pPr>
                </w:p>
              </w:tc>
              <w:tc>
                <w:tcPr>
                  <w:tcW w:w="1255" w:type="dxa"/>
                  <w:vMerge w:val="continue"/>
                  <w:noWrap w:val="0"/>
                  <w:vAlign w:val="center"/>
                </w:tcPr>
                <w:p w14:paraId="553018CA">
                  <w:pPr>
                    <w:spacing w:line="320" w:lineRule="exact"/>
                    <w:jc w:val="center"/>
                    <w:rPr>
                      <w:bCs/>
                      <w:szCs w:val="21"/>
                    </w:rPr>
                  </w:pPr>
                </w:p>
              </w:tc>
              <w:tc>
                <w:tcPr>
                  <w:tcW w:w="1176" w:type="dxa"/>
                  <w:noWrap w:val="0"/>
                  <w:vAlign w:val="center"/>
                </w:tcPr>
                <w:p w14:paraId="3B011067">
                  <w:pPr>
                    <w:spacing w:line="320" w:lineRule="exact"/>
                    <w:jc w:val="center"/>
                    <w:textAlignment w:val="center"/>
                    <w:rPr>
                      <w:bCs/>
                      <w:szCs w:val="21"/>
                    </w:rPr>
                  </w:pPr>
                  <w:r>
                    <w:rPr>
                      <w:bCs/>
                      <w:szCs w:val="21"/>
                    </w:rPr>
                    <w:t>氟化物</w:t>
                  </w:r>
                </w:p>
              </w:tc>
              <w:tc>
                <w:tcPr>
                  <w:tcW w:w="1056" w:type="dxa"/>
                  <w:vMerge w:val="continue"/>
                  <w:noWrap w:val="0"/>
                  <w:vAlign w:val="center"/>
                </w:tcPr>
                <w:p w14:paraId="65A7920B">
                  <w:pPr>
                    <w:spacing w:line="320" w:lineRule="exact"/>
                    <w:jc w:val="center"/>
                    <w:rPr>
                      <w:bCs/>
                      <w:szCs w:val="21"/>
                    </w:rPr>
                  </w:pPr>
                </w:p>
              </w:tc>
              <w:tc>
                <w:tcPr>
                  <w:tcW w:w="978" w:type="dxa"/>
                  <w:vMerge w:val="continue"/>
                  <w:noWrap w:val="0"/>
                  <w:vAlign w:val="center"/>
                </w:tcPr>
                <w:p w14:paraId="3EDA38D1">
                  <w:pPr>
                    <w:spacing w:line="320" w:lineRule="exact"/>
                    <w:jc w:val="center"/>
                    <w:rPr>
                      <w:bCs/>
                      <w:szCs w:val="21"/>
                    </w:rPr>
                  </w:pPr>
                </w:p>
              </w:tc>
              <w:tc>
                <w:tcPr>
                  <w:tcW w:w="852" w:type="dxa"/>
                  <w:vMerge w:val="continue"/>
                  <w:noWrap w:val="0"/>
                  <w:vAlign w:val="center"/>
                </w:tcPr>
                <w:p w14:paraId="09915E8E">
                  <w:pPr>
                    <w:wordWrap w:val="0"/>
                    <w:spacing w:line="320" w:lineRule="exact"/>
                    <w:jc w:val="center"/>
                    <w:rPr>
                      <w:bCs/>
                      <w:szCs w:val="21"/>
                    </w:rPr>
                  </w:pPr>
                </w:p>
              </w:tc>
              <w:tc>
                <w:tcPr>
                  <w:tcW w:w="792" w:type="dxa"/>
                  <w:vMerge w:val="continue"/>
                  <w:noWrap w:val="0"/>
                  <w:vAlign w:val="center"/>
                </w:tcPr>
                <w:p w14:paraId="6803AA78">
                  <w:pPr>
                    <w:wordWrap w:val="0"/>
                    <w:spacing w:line="320" w:lineRule="exact"/>
                    <w:jc w:val="center"/>
                    <w:rPr>
                      <w:bCs/>
                      <w:szCs w:val="21"/>
                    </w:rPr>
                  </w:pPr>
                </w:p>
              </w:tc>
              <w:tc>
                <w:tcPr>
                  <w:tcW w:w="862" w:type="dxa"/>
                  <w:vMerge w:val="continue"/>
                  <w:noWrap w:val="0"/>
                  <w:vAlign w:val="center"/>
                </w:tcPr>
                <w:p w14:paraId="23474151">
                  <w:pPr>
                    <w:wordWrap w:val="0"/>
                    <w:spacing w:line="320" w:lineRule="exact"/>
                    <w:jc w:val="center"/>
                    <w:rPr>
                      <w:bCs/>
                      <w:szCs w:val="21"/>
                    </w:rPr>
                  </w:pPr>
                </w:p>
              </w:tc>
              <w:tc>
                <w:tcPr>
                  <w:tcW w:w="1089" w:type="dxa"/>
                  <w:vMerge w:val="continue"/>
                  <w:noWrap w:val="0"/>
                  <w:vAlign w:val="center"/>
                </w:tcPr>
                <w:p w14:paraId="37F5D01D">
                  <w:pPr>
                    <w:spacing w:line="320" w:lineRule="exact"/>
                    <w:jc w:val="center"/>
                    <w:textAlignment w:val="center"/>
                    <w:rPr>
                      <w:bCs/>
                      <w:szCs w:val="21"/>
                    </w:rPr>
                  </w:pPr>
                </w:p>
              </w:tc>
              <w:tc>
                <w:tcPr>
                  <w:tcW w:w="2683" w:type="dxa"/>
                  <w:vMerge w:val="continue"/>
                  <w:noWrap w:val="0"/>
                  <w:vAlign w:val="center"/>
                </w:tcPr>
                <w:p w14:paraId="7C1EB80C">
                  <w:pPr>
                    <w:spacing w:line="320" w:lineRule="exact"/>
                    <w:jc w:val="center"/>
                    <w:rPr>
                      <w:bCs/>
                      <w:szCs w:val="21"/>
                    </w:rPr>
                  </w:pPr>
                </w:p>
              </w:tc>
              <w:tc>
                <w:tcPr>
                  <w:tcW w:w="1116" w:type="dxa"/>
                  <w:noWrap w:val="0"/>
                  <w:vAlign w:val="center"/>
                </w:tcPr>
                <w:p w14:paraId="003E7318">
                  <w:pPr>
                    <w:spacing w:line="320" w:lineRule="exact"/>
                    <w:jc w:val="center"/>
                    <w:rPr>
                      <w:bCs/>
                      <w:szCs w:val="21"/>
                    </w:rPr>
                  </w:pPr>
                  <w:r>
                    <w:rPr>
                      <w:rFonts w:hint="eastAsia"/>
                      <w:bCs/>
                      <w:szCs w:val="21"/>
                    </w:rPr>
                    <w:t>3</w:t>
                  </w:r>
                </w:p>
              </w:tc>
              <w:tc>
                <w:tcPr>
                  <w:tcW w:w="763" w:type="dxa"/>
                  <w:noWrap w:val="0"/>
                  <w:vAlign w:val="center"/>
                </w:tcPr>
                <w:p w14:paraId="2B4D5E58">
                  <w:pPr>
                    <w:spacing w:line="320" w:lineRule="exact"/>
                    <w:jc w:val="center"/>
                    <w:rPr>
                      <w:bCs/>
                      <w:szCs w:val="21"/>
                    </w:rPr>
                  </w:pPr>
                  <w:r>
                    <w:rPr>
                      <w:rFonts w:hint="eastAsia"/>
                      <w:bCs/>
                      <w:szCs w:val="21"/>
                    </w:rPr>
                    <w:t>/</w:t>
                  </w:r>
                </w:p>
              </w:tc>
            </w:tr>
          </w:tbl>
          <w:p w14:paraId="2366F4B5">
            <w:pPr>
              <w:adjustRightInd w:val="0"/>
              <w:snapToGrid w:val="0"/>
              <w:spacing w:line="440" w:lineRule="exact"/>
              <w:jc w:val="center"/>
              <w:rPr>
                <w:rFonts w:hint="eastAsia"/>
                <w:b/>
                <w:bCs/>
                <w:szCs w:val="21"/>
              </w:rPr>
            </w:pPr>
          </w:p>
          <w:p w14:paraId="32A1E9F3">
            <w:pPr>
              <w:rPr>
                <w:rFonts w:hint="eastAsia"/>
                <w:spacing w:val="10"/>
                <w:sz w:val="24"/>
              </w:rPr>
            </w:pPr>
          </w:p>
        </w:tc>
      </w:tr>
    </w:tbl>
    <w:p w14:paraId="39495BFD">
      <w:pPr>
        <w:pStyle w:val="34"/>
        <w:spacing w:before="120" w:beforeLines="50" w:beforeAutospacing="0" w:after="0" w:afterAutospacing="0" w:line="360" w:lineRule="auto"/>
        <w:jc w:val="center"/>
        <w:rPr>
          <w:rFonts w:hint="eastAsia" w:ascii="Times New Roman" w:hAnsi="Times New Roman" w:eastAsia="黑体"/>
          <w:snapToGrid w:val="0"/>
          <w:sz w:val="28"/>
          <w:szCs w:val="28"/>
        </w:rPr>
      </w:pPr>
    </w:p>
    <w:p w14:paraId="1AE380F1">
      <w:pPr>
        <w:pStyle w:val="34"/>
        <w:adjustRightInd w:val="0"/>
        <w:snapToGrid w:val="0"/>
        <w:spacing w:before="0" w:beforeAutospacing="0" w:after="0" w:afterAutospacing="0" w:line="440" w:lineRule="exact"/>
        <w:jc w:val="both"/>
        <w:rPr>
          <w:rFonts w:ascii="Times New Roman" w:hAnsi="Times New Roman"/>
          <w:kern w:val="2"/>
          <w:szCs w:val="24"/>
        </w:rPr>
        <w:sectPr>
          <w:pgSz w:w="16838" w:h="11906" w:orient="landscape"/>
          <w:pgMar w:top="1247" w:right="1440" w:bottom="1247" w:left="1440" w:header="851" w:footer="851" w:gutter="0"/>
          <w:pgNumType w:fmt="numberInDash"/>
          <w:cols w:space="720" w:num="1"/>
          <w:docGrid w:linePitch="312" w:charSpace="0"/>
        </w:sectPr>
      </w:pPr>
    </w:p>
    <w:tbl>
      <w:tblPr>
        <w:tblStyle w:val="38"/>
        <w:tblW w:w="93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8769"/>
      </w:tblGrid>
      <w:tr w14:paraId="0F035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37" w:hRule="atLeast"/>
          <w:jc w:val="center"/>
        </w:trPr>
        <w:tc>
          <w:tcPr>
            <w:tcW w:w="532" w:type="dxa"/>
            <w:noWrap w:val="0"/>
            <w:tcMar>
              <w:left w:w="28" w:type="dxa"/>
              <w:right w:w="28" w:type="dxa"/>
            </w:tcMar>
            <w:vAlign w:val="center"/>
          </w:tcPr>
          <w:p w14:paraId="618E74FE">
            <w:pPr>
              <w:adjustRightInd w:val="0"/>
              <w:snapToGrid w:val="0"/>
              <w:spacing w:line="440" w:lineRule="exact"/>
              <w:jc w:val="center"/>
            </w:pPr>
            <w:r>
              <w:rPr>
                <w:bCs/>
                <w:sz w:val="24"/>
              </w:rPr>
              <w:t>运营期环境影响和保护措施</w:t>
            </w:r>
          </w:p>
        </w:tc>
        <w:tc>
          <w:tcPr>
            <w:tcW w:w="8769" w:type="dxa"/>
            <w:noWrap w:val="0"/>
            <w:vAlign w:val="top"/>
          </w:tcPr>
          <w:p w14:paraId="3E495931">
            <w:pPr>
              <w:autoSpaceDE w:val="0"/>
              <w:autoSpaceDN w:val="0"/>
              <w:adjustRightInd w:val="0"/>
              <w:snapToGrid w:val="0"/>
              <w:spacing w:line="480" w:lineRule="exact"/>
              <w:ind w:firstLine="480" w:firstLineChars="200"/>
              <w:jc w:val="left"/>
              <w:rPr>
                <w:rFonts w:hint="eastAsia" w:ascii="黑体" w:hAnsi="黑体" w:eastAsia="黑体" w:cs="黑体"/>
                <w:b w:val="0"/>
                <w:bCs w:val="0"/>
                <w:sz w:val="24"/>
              </w:rPr>
            </w:pPr>
            <w:r>
              <w:rPr>
                <w:rFonts w:hint="eastAsia" w:ascii="黑体" w:hAnsi="黑体" w:eastAsia="黑体" w:cs="黑体"/>
                <w:b w:val="0"/>
                <w:bCs w:val="0"/>
                <w:sz w:val="24"/>
              </w:rPr>
              <w:t>(2)废气污染源强分析</w:t>
            </w:r>
          </w:p>
          <w:p w14:paraId="17E04A8E">
            <w:pPr>
              <w:spacing w:line="480" w:lineRule="exact"/>
              <w:ind w:firstLine="480" w:firstLineChars="200"/>
              <w:rPr>
                <w:bCs/>
                <w:sz w:val="24"/>
                <w:szCs w:val="32"/>
              </w:rPr>
            </w:pPr>
            <w:r>
              <w:rPr>
                <w:rFonts w:hint="eastAsia"/>
                <w:bCs/>
                <w:sz w:val="24"/>
                <w:szCs w:val="32"/>
              </w:rPr>
              <w:t>(1)</w:t>
            </w:r>
            <w:r>
              <w:rPr>
                <w:bCs/>
                <w:sz w:val="24"/>
                <w:szCs w:val="32"/>
              </w:rPr>
              <w:t>DA001排气筒废气</w:t>
            </w:r>
          </w:p>
          <w:p w14:paraId="424FB743">
            <w:pPr>
              <w:spacing w:line="480" w:lineRule="exact"/>
              <w:ind w:firstLine="480" w:firstLineChars="200"/>
              <w:rPr>
                <w:sz w:val="24"/>
                <w:szCs w:val="32"/>
              </w:rPr>
            </w:pPr>
            <w:r>
              <w:rPr>
                <w:rFonts w:hint="eastAsia"/>
                <w:sz w:val="24"/>
                <w:szCs w:val="32"/>
              </w:rPr>
              <w:t>本项目扩建完成后，生产产能扩大，设备运行时长发生变化，使用的原辅材料用量增多，破碎筛分粉尘和隧道窑废气污染物产排放情况也将发生变化。本次评价按照</w:t>
            </w:r>
            <w:r>
              <w:rPr>
                <w:rFonts w:hint="eastAsia"/>
                <w:sz w:val="24"/>
                <w:szCs w:val="32"/>
                <w:lang w:val="en-US" w:eastAsia="zh-CN"/>
              </w:rPr>
              <w:t>现有项目</w:t>
            </w:r>
            <w:r>
              <w:rPr>
                <w:rFonts w:hint="eastAsia"/>
                <w:sz w:val="24"/>
                <w:szCs w:val="32"/>
              </w:rPr>
              <w:t>《凤台县粹彬墙体材料有限公司排污许可2025年年度执行报告》中数据中的相应系数对改扩建项目建成后全厂废气污染物产排放情况进行统一核算。</w:t>
            </w:r>
          </w:p>
          <w:p w14:paraId="59A5E4A8">
            <w:pPr>
              <w:spacing w:line="480" w:lineRule="exact"/>
              <w:ind w:firstLine="480" w:firstLineChars="200"/>
              <w:rPr>
                <w:sz w:val="24"/>
                <w:szCs w:val="32"/>
              </w:rPr>
            </w:pPr>
            <w:r>
              <w:rPr>
                <w:rFonts w:hint="eastAsia"/>
                <w:sz w:val="24"/>
                <w:szCs w:val="32"/>
              </w:rPr>
              <w:t>1)破碎筛分</w:t>
            </w:r>
            <w:r>
              <w:rPr>
                <w:sz w:val="24"/>
                <w:szCs w:val="32"/>
              </w:rPr>
              <w:t>粉尘</w:t>
            </w:r>
          </w:p>
          <w:p w14:paraId="39E4879C">
            <w:pPr>
              <w:spacing w:line="480" w:lineRule="exact"/>
              <w:ind w:firstLine="480" w:firstLineChars="200"/>
              <w:rPr>
                <w:rFonts w:hint="default" w:eastAsia="宋体"/>
                <w:sz w:val="24"/>
                <w:szCs w:val="32"/>
                <w:lang w:val="en-US" w:eastAsia="zh-CN"/>
              </w:rPr>
            </w:pPr>
            <w:bookmarkStart w:id="16" w:name="OLE_LINK30"/>
            <w:r>
              <w:rPr>
                <w:sz w:val="24"/>
                <w:szCs w:val="32"/>
              </w:rPr>
              <w:t>根据</w:t>
            </w:r>
            <w:r>
              <w:rPr>
                <w:rFonts w:hint="eastAsia"/>
                <w:sz w:val="24"/>
                <w:szCs w:val="32"/>
                <w:lang w:val="en-US" w:eastAsia="zh-CN"/>
              </w:rPr>
              <w:t>现有项目</w:t>
            </w:r>
            <w:r>
              <w:rPr>
                <w:rFonts w:hint="eastAsia"/>
                <w:sz w:val="24"/>
                <w:szCs w:val="32"/>
              </w:rPr>
              <w:t>《凤台县粹彬墙体材料有限公司排污许可2025年年度执行报告》</w:t>
            </w:r>
            <w:r>
              <w:rPr>
                <w:rFonts w:hint="eastAsia"/>
                <w:sz w:val="24"/>
                <w:szCs w:val="32"/>
                <w:lang w:eastAsia="zh-CN"/>
              </w:rPr>
              <w:t>，</w:t>
            </w:r>
            <w:r>
              <w:rPr>
                <w:rFonts w:hint="eastAsia"/>
                <w:sz w:val="24"/>
                <w:szCs w:val="32"/>
                <w:lang w:val="en-US" w:eastAsia="zh-CN"/>
              </w:rPr>
              <w:t>破碎筛分废气颗粒物最大排放浓度为4.2</w:t>
            </w:r>
            <w:r>
              <w:rPr>
                <w:rFonts w:hint="eastAsia"/>
                <w:sz w:val="24"/>
                <w:szCs w:val="32"/>
              </w:rPr>
              <w:t>mg/m</w:t>
            </w:r>
            <w:r>
              <w:rPr>
                <w:rFonts w:hint="eastAsia"/>
                <w:sz w:val="24"/>
                <w:szCs w:val="32"/>
                <w:vertAlign w:val="superscript"/>
              </w:rPr>
              <w:t>3</w:t>
            </w:r>
            <w:r>
              <w:rPr>
                <w:rFonts w:hint="eastAsia"/>
                <w:sz w:val="24"/>
                <w:szCs w:val="32"/>
                <w:lang w:eastAsia="zh-CN"/>
              </w:rPr>
              <w:t>，</w:t>
            </w:r>
            <w:r>
              <w:rPr>
                <w:rFonts w:hint="eastAsia"/>
                <w:sz w:val="24"/>
                <w:szCs w:val="32"/>
                <w:lang w:val="en-US" w:eastAsia="zh-CN"/>
              </w:rPr>
              <w:t>现有风机风量为30000</w:t>
            </w:r>
            <w:r>
              <w:rPr>
                <w:rFonts w:hint="eastAsia"/>
                <w:sz w:val="24"/>
                <w:szCs w:val="32"/>
              </w:rPr>
              <w:t>m</w:t>
            </w:r>
            <w:r>
              <w:rPr>
                <w:rFonts w:hint="eastAsia"/>
                <w:sz w:val="24"/>
                <w:szCs w:val="32"/>
                <w:vertAlign w:val="superscript"/>
              </w:rPr>
              <w:t>3</w:t>
            </w:r>
            <w:r>
              <w:rPr>
                <w:rFonts w:hint="eastAsia"/>
                <w:sz w:val="24"/>
                <w:szCs w:val="32"/>
              </w:rPr>
              <w:t>/h，</w:t>
            </w:r>
            <w:r>
              <w:rPr>
                <w:rFonts w:hint="eastAsia"/>
                <w:sz w:val="24"/>
                <w:szCs w:val="32"/>
                <w:lang w:val="en-US" w:eastAsia="zh-CN"/>
              </w:rPr>
              <w:t>则破碎筛分工序排放速率为0.126kg/h，2025年全厂烧结砖产能约为7000万/年，本项目建成后产能达到12000万/年，年工作时间2400h，根据产能进行折算，本项目建成后破碎筛分粉尘排放0.216kg/h。</w:t>
            </w:r>
          </w:p>
          <w:p w14:paraId="4A3E7747">
            <w:pPr>
              <w:spacing w:line="480" w:lineRule="exact"/>
              <w:ind w:firstLine="480" w:firstLineChars="200"/>
              <w:rPr>
                <w:rFonts w:hint="default" w:eastAsia="宋体"/>
                <w:sz w:val="24"/>
                <w:szCs w:val="32"/>
                <w:lang w:val="en-US" w:eastAsia="zh-CN"/>
              </w:rPr>
            </w:pPr>
            <w:r>
              <w:rPr>
                <w:rFonts w:hint="eastAsia"/>
                <w:sz w:val="24"/>
                <w:szCs w:val="32"/>
              </w:rPr>
              <w:t>破碎</w:t>
            </w:r>
            <w:r>
              <w:rPr>
                <w:rFonts w:hint="eastAsia"/>
                <w:sz w:val="24"/>
                <w:szCs w:val="32"/>
                <w:lang w:val="en-US" w:eastAsia="zh-CN"/>
              </w:rPr>
              <w:t>筛分</w:t>
            </w:r>
            <w:r>
              <w:rPr>
                <w:rFonts w:hint="eastAsia"/>
                <w:sz w:val="24"/>
                <w:szCs w:val="32"/>
              </w:rPr>
              <w:t>粉尘经集气罩(收集效率90%)后进入脉冲式布袋除尘器(处理效率99%)处理</w:t>
            </w:r>
            <w:r>
              <w:rPr>
                <w:rFonts w:hint="eastAsia"/>
                <w:sz w:val="24"/>
                <w:szCs w:val="32"/>
                <w:lang w:eastAsia="zh-CN"/>
              </w:rPr>
              <w:t>，</w:t>
            </w:r>
            <w:r>
              <w:rPr>
                <w:rFonts w:hint="eastAsia"/>
                <w:sz w:val="24"/>
                <w:szCs w:val="32"/>
                <w:lang w:val="en-US" w:eastAsia="zh-CN"/>
              </w:rPr>
              <w:t>则项目产生速率为24kg/h。</w:t>
            </w:r>
          </w:p>
          <w:bookmarkEnd w:id="16"/>
          <w:p w14:paraId="24D1890A">
            <w:pPr>
              <w:spacing w:line="480" w:lineRule="exact"/>
              <w:ind w:firstLine="472" w:firstLineChars="200"/>
              <w:rPr>
                <w:sz w:val="24"/>
                <w:szCs w:val="32"/>
              </w:rPr>
            </w:pPr>
            <w:r>
              <w:rPr>
                <w:rFonts w:hint="eastAsia"/>
                <w:spacing w:val="-2"/>
                <w:sz w:val="24"/>
                <w:szCs w:val="32"/>
                <w:lang w:val="en-US" w:eastAsia="zh-CN"/>
              </w:rPr>
              <w:t>2</w:t>
            </w:r>
            <w:r>
              <w:rPr>
                <w:rFonts w:hint="eastAsia"/>
                <w:spacing w:val="-2"/>
                <w:sz w:val="24"/>
                <w:szCs w:val="32"/>
              </w:rPr>
              <w:t>)</w:t>
            </w:r>
            <w:r>
              <w:rPr>
                <w:sz w:val="24"/>
                <w:szCs w:val="32"/>
              </w:rPr>
              <w:t>原料</w:t>
            </w:r>
            <w:r>
              <w:rPr>
                <w:rFonts w:hint="eastAsia"/>
                <w:sz w:val="24"/>
                <w:szCs w:val="32"/>
                <w:lang w:val="en-US" w:eastAsia="zh-CN"/>
              </w:rPr>
              <w:t>上料</w:t>
            </w:r>
            <w:r>
              <w:rPr>
                <w:sz w:val="24"/>
                <w:szCs w:val="32"/>
              </w:rPr>
              <w:t>粉尘</w:t>
            </w:r>
          </w:p>
          <w:p w14:paraId="6AC5C780">
            <w:pPr>
              <w:pStyle w:val="212"/>
              <w:adjustRightInd/>
              <w:spacing w:line="480" w:lineRule="exact"/>
              <w:ind w:left="0" w:right="0"/>
              <w:rPr>
                <w:rFonts w:hint="eastAsia" w:ascii="宋体" w:hAnsi="宋体" w:cs="宋体"/>
                <w:sz w:val="24"/>
                <w:szCs w:val="32"/>
              </w:rPr>
            </w:pPr>
            <w:r>
              <w:rPr>
                <w:rFonts w:hint="eastAsia" w:ascii="宋体" w:hAnsi="宋体" w:cs="宋体"/>
                <w:sz w:val="24"/>
                <w:szCs w:val="32"/>
                <w:lang w:val="en-US" w:eastAsia="zh-CN"/>
              </w:rPr>
              <w:t>本次评价新增原料上料粉尘。</w:t>
            </w:r>
            <w:r>
              <w:rPr>
                <w:rFonts w:hint="eastAsia" w:ascii="宋体" w:hAnsi="宋体" w:cs="宋体"/>
                <w:sz w:val="24"/>
                <w:szCs w:val="32"/>
              </w:rPr>
              <w:t>由装载机将厂区原料</w:t>
            </w:r>
            <w:r>
              <w:rPr>
                <w:rFonts w:hint="eastAsia" w:ascii="宋体" w:hAnsi="宋体" w:cs="宋体"/>
                <w:sz w:val="24"/>
                <w:szCs w:val="32"/>
                <w:lang w:val="en-US" w:eastAsia="zh-CN"/>
              </w:rPr>
              <w:t>库内</w:t>
            </w:r>
            <w:r>
              <w:rPr>
                <w:rFonts w:hint="eastAsia" w:ascii="宋体" w:hAnsi="宋体" w:cs="宋体"/>
                <w:sz w:val="24"/>
                <w:szCs w:val="32"/>
              </w:rPr>
              <w:t>煤矸石及建筑渣土送至给料机</w:t>
            </w:r>
            <w:r>
              <w:rPr>
                <w:rFonts w:hint="eastAsia" w:ascii="宋体" w:hAnsi="宋体" w:cs="宋体"/>
                <w:sz w:val="24"/>
                <w:szCs w:val="32"/>
                <w:lang w:eastAsia="zh-CN"/>
              </w:rPr>
              <w:t>，</w:t>
            </w:r>
            <w:r>
              <w:rPr>
                <w:rFonts w:hint="eastAsia" w:ascii="宋体" w:hAnsi="宋体" w:cs="宋体"/>
                <w:sz w:val="24"/>
                <w:szCs w:val="32"/>
                <w:lang w:val="en-US" w:eastAsia="zh-CN"/>
              </w:rPr>
              <w:t>原料上料</w:t>
            </w:r>
            <w:r>
              <w:rPr>
                <w:rFonts w:hint="eastAsia" w:ascii="宋体" w:hAnsi="宋体" w:cs="宋体"/>
                <w:sz w:val="24"/>
                <w:szCs w:val="32"/>
              </w:rPr>
              <w:t>过程产生的扬尘，其排放属间歇性无组织排放。项目粉尘产生量根据《逸散性工业粉尘控制技术》一般逸散尘排放源章节中关于物料装卸的产尘系数计算，产尘率在</w:t>
            </w:r>
            <w:r>
              <w:rPr>
                <w:rFonts w:hint="eastAsia" w:ascii="Times New Roman" w:hAnsi="Times New Roman" w:cs="宋体"/>
                <w:sz w:val="24"/>
                <w:szCs w:val="32"/>
              </w:rPr>
              <w:t>0.02kg/t~0.48kg/t</w:t>
            </w:r>
            <w:r>
              <w:rPr>
                <w:rFonts w:hint="eastAsia" w:ascii="宋体" w:hAnsi="宋体" w:cs="宋体"/>
                <w:sz w:val="24"/>
                <w:szCs w:val="32"/>
              </w:rPr>
              <w:t>之间，本项目产尘率取</w:t>
            </w:r>
            <w:r>
              <w:rPr>
                <w:rFonts w:hint="eastAsia" w:ascii="Times New Roman" w:hAnsi="Times New Roman" w:cs="宋体"/>
                <w:sz w:val="24"/>
                <w:szCs w:val="32"/>
              </w:rPr>
              <w:t>0.02kg/t</w:t>
            </w:r>
            <w:r>
              <w:rPr>
                <w:rFonts w:hint="eastAsia" w:ascii="宋体" w:hAnsi="宋体" w:cs="宋体"/>
                <w:sz w:val="24"/>
                <w:szCs w:val="32"/>
              </w:rPr>
              <w:t>，煤矸石使用量为</w:t>
            </w:r>
            <w:r>
              <w:rPr>
                <w:rFonts w:hint="eastAsia" w:ascii="Times New Roman" w:hAnsi="Times New Roman" w:cs="宋体"/>
                <w:sz w:val="24"/>
                <w:szCs w:val="32"/>
                <w:lang w:val="en-US" w:eastAsia="zh-CN"/>
              </w:rPr>
              <w:t>19.2</w:t>
            </w:r>
            <w:r>
              <w:rPr>
                <w:rFonts w:hint="eastAsia" w:ascii="宋体" w:hAnsi="宋体" w:cs="宋体"/>
                <w:sz w:val="24"/>
                <w:szCs w:val="32"/>
              </w:rPr>
              <w:t>万</w:t>
            </w:r>
            <w:r>
              <w:rPr>
                <w:rFonts w:hint="eastAsia" w:ascii="Times New Roman" w:hAnsi="Times New Roman" w:cs="宋体"/>
                <w:sz w:val="24"/>
                <w:szCs w:val="32"/>
              </w:rPr>
              <w:t>t/a</w:t>
            </w:r>
            <w:r>
              <w:rPr>
                <w:rFonts w:hint="eastAsia" w:ascii="宋体" w:hAnsi="宋体" w:cs="宋体"/>
                <w:sz w:val="24"/>
                <w:szCs w:val="32"/>
              </w:rPr>
              <w:t>，建筑渣土使用量为</w:t>
            </w:r>
            <w:r>
              <w:rPr>
                <w:rFonts w:hint="eastAsia" w:ascii="Times New Roman" w:hAnsi="Times New Roman" w:cs="宋体"/>
                <w:sz w:val="24"/>
                <w:szCs w:val="32"/>
                <w:lang w:val="en-US" w:eastAsia="zh-CN"/>
              </w:rPr>
              <w:t>9.6</w:t>
            </w:r>
            <w:r>
              <w:rPr>
                <w:rFonts w:hint="eastAsia" w:ascii="宋体" w:hAnsi="宋体" w:cs="宋体"/>
                <w:sz w:val="24"/>
                <w:szCs w:val="32"/>
              </w:rPr>
              <w:t>万</w:t>
            </w:r>
            <w:r>
              <w:rPr>
                <w:rFonts w:hint="eastAsia" w:ascii="Times New Roman" w:hAnsi="Times New Roman" w:cs="宋体"/>
                <w:sz w:val="24"/>
                <w:szCs w:val="32"/>
              </w:rPr>
              <w:t>t/a</w:t>
            </w:r>
            <w:r>
              <w:rPr>
                <w:rFonts w:hint="eastAsia" w:ascii="宋体" w:hAnsi="宋体" w:cs="宋体"/>
                <w:sz w:val="24"/>
                <w:szCs w:val="32"/>
              </w:rPr>
              <w:t>，粘土使用量为</w:t>
            </w:r>
            <w:r>
              <w:rPr>
                <w:rFonts w:hint="eastAsia" w:ascii="Times New Roman" w:hAnsi="Times New Roman" w:cs="宋体"/>
                <w:sz w:val="24"/>
                <w:szCs w:val="32"/>
                <w:lang w:val="en-US" w:eastAsia="zh-CN"/>
              </w:rPr>
              <w:t>3.2</w:t>
            </w:r>
            <w:r>
              <w:rPr>
                <w:rFonts w:hint="eastAsia" w:ascii="宋体" w:hAnsi="宋体" w:cs="宋体"/>
                <w:sz w:val="24"/>
                <w:szCs w:val="32"/>
              </w:rPr>
              <w:t>万</w:t>
            </w:r>
            <w:r>
              <w:rPr>
                <w:rFonts w:hint="eastAsia" w:ascii="Times New Roman" w:hAnsi="Times New Roman" w:cs="宋体"/>
                <w:sz w:val="24"/>
                <w:szCs w:val="32"/>
              </w:rPr>
              <w:t>t/a</w:t>
            </w:r>
            <w:r>
              <w:rPr>
                <w:rFonts w:hint="eastAsia" w:ascii="宋体" w:hAnsi="宋体" w:cs="宋体"/>
                <w:sz w:val="24"/>
                <w:szCs w:val="32"/>
              </w:rPr>
              <w:t>，则项目</w:t>
            </w:r>
            <w:r>
              <w:rPr>
                <w:rFonts w:hint="eastAsia" w:ascii="宋体" w:hAnsi="宋体" w:cs="宋体"/>
                <w:sz w:val="24"/>
                <w:szCs w:val="32"/>
                <w:lang w:val="en-US" w:eastAsia="zh-CN"/>
              </w:rPr>
              <w:t>上料</w:t>
            </w:r>
            <w:r>
              <w:rPr>
                <w:rFonts w:hint="eastAsia" w:ascii="宋体" w:hAnsi="宋体" w:cs="宋体"/>
                <w:sz w:val="24"/>
                <w:szCs w:val="32"/>
              </w:rPr>
              <w:t>过程产生的粉尘量为</w:t>
            </w:r>
            <w:r>
              <w:rPr>
                <w:rFonts w:hint="eastAsia" w:ascii="Times New Roman" w:hAnsi="Times New Roman" w:cs="宋体"/>
                <w:sz w:val="24"/>
                <w:szCs w:val="32"/>
              </w:rPr>
              <w:t>6.</w:t>
            </w:r>
            <w:r>
              <w:rPr>
                <w:rFonts w:hint="eastAsia" w:ascii="Times New Roman" w:hAnsi="Times New Roman" w:cs="宋体"/>
                <w:sz w:val="24"/>
                <w:szCs w:val="32"/>
                <w:lang w:val="en-US" w:eastAsia="zh-CN"/>
              </w:rPr>
              <w:t>4</w:t>
            </w:r>
            <w:r>
              <w:rPr>
                <w:rFonts w:hint="eastAsia" w:ascii="Times New Roman" w:hAnsi="Times New Roman" w:cs="宋体"/>
                <w:sz w:val="24"/>
                <w:szCs w:val="32"/>
              </w:rPr>
              <w:t>t/a</w:t>
            </w:r>
            <w:r>
              <w:rPr>
                <w:rFonts w:hint="eastAsia" w:ascii="宋体" w:hAnsi="宋体" w:cs="宋体"/>
                <w:sz w:val="24"/>
                <w:szCs w:val="32"/>
              </w:rPr>
              <w:t>，</w:t>
            </w:r>
          </w:p>
          <w:p w14:paraId="0075BD4A">
            <w:pPr>
              <w:spacing w:line="470" w:lineRule="exact"/>
              <w:ind w:firstLine="480" w:firstLineChars="200"/>
              <w:rPr>
                <w:sz w:val="24"/>
                <w:szCs w:val="28"/>
              </w:rPr>
            </w:pPr>
            <w:r>
              <w:rPr>
                <w:rFonts w:hint="eastAsia" w:hAnsi="宋体"/>
                <w:sz w:val="24"/>
                <w:szCs w:val="28"/>
                <w:lang w:val="en-US" w:eastAsia="zh-CN"/>
              </w:rPr>
              <w:t>风量计算：</w:t>
            </w:r>
            <w:r>
              <w:rPr>
                <w:rFonts w:hAnsi="宋体"/>
                <w:sz w:val="24"/>
                <w:szCs w:val="28"/>
              </w:rPr>
              <w:t>单个集气罩集气风量计算公式：</w:t>
            </w:r>
            <w:r>
              <w:rPr>
                <w:sz w:val="24"/>
                <w:szCs w:val="28"/>
              </w:rPr>
              <w:t>Q=K</w:t>
            </w:r>
            <w:r>
              <w:rPr>
                <w:rFonts w:hAnsi="宋体"/>
                <w:sz w:val="24"/>
                <w:szCs w:val="28"/>
              </w:rPr>
              <w:t>（</w:t>
            </w:r>
            <w:r>
              <w:rPr>
                <w:sz w:val="24"/>
                <w:szCs w:val="28"/>
              </w:rPr>
              <w:t>a</w:t>
            </w:r>
            <w:r>
              <w:rPr>
                <w:rFonts w:hAnsi="宋体"/>
                <w:sz w:val="24"/>
                <w:szCs w:val="28"/>
              </w:rPr>
              <w:t>＋</w:t>
            </w:r>
            <w:r>
              <w:rPr>
                <w:sz w:val="24"/>
                <w:szCs w:val="28"/>
              </w:rPr>
              <w:t>b</w:t>
            </w:r>
            <w:r>
              <w:rPr>
                <w:rFonts w:hAnsi="宋体"/>
                <w:sz w:val="24"/>
                <w:szCs w:val="28"/>
              </w:rPr>
              <w:t>）</w:t>
            </w:r>
            <w:r>
              <w:rPr>
                <w:sz w:val="24"/>
                <w:szCs w:val="28"/>
              </w:rPr>
              <w:t>×h×V</w:t>
            </w:r>
            <w:r>
              <w:rPr>
                <w:sz w:val="24"/>
                <w:szCs w:val="28"/>
                <w:vertAlign w:val="subscript"/>
              </w:rPr>
              <w:t>0</w:t>
            </w:r>
            <w:r>
              <w:rPr>
                <w:sz w:val="24"/>
                <w:szCs w:val="28"/>
              </w:rPr>
              <w:t>×3600</w:t>
            </w:r>
          </w:p>
          <w:p w14:paraId="313D0B37">
            <w:pPr>
              <w:spacing w:line="470" w:lineRule="exact"/>
              <w:ind w:firstLine="480" w:firstLineChars="200"/>
              <w:rPr>
                <w:rFonts w:hAnsi="宋体"/>
                <w:sz w:val="24"/>
                <w:szCs w:val="28"/>
              </w:rPr>
            </w:pPr>
            <w:r>
              <w:rPr>
                <w:rFonts w:hAnsi="宋体"/>
                <w:sz w:val="24"/>
                <w:szCs w:val="28"/>
              </w:rPr>
              <w:t>式中：</w:t>
            </w:r>
            <w:r>
              <w:rPr>
                <w:sz w:val="24"/>
                <w:szCs w:val="28"/>
              </w:rPr>
              <w:t>Q</w:t>
            </w:r>
            <w:r>
              <w:rPr>
                <w:rFonts w:hAnsi="宋体"/>
                <w:sz w:val="24"/>
                <w:szCs w:val="28"/>
              </w:rPr>
              <w:t>：为集气罩集气风量，单位为</w:t>
            </w:r>
            <w:r>
              <w:rPr>
                <w:sz w:val="24"/>
                <w:szCs w:val="28"/>
              </w:rPr>
              <w:t>m</w:t>
            </w:r>
            <w:r>
              <w:rPr>
                <w:sz w:val="24"/>
                <w:szCs w:val="28"/>
                <w:vertAlign w:val="superscript"/>
              </w:rPr>
              <w:t>3</w:t>
            </w:r>
            <w:r>
              <w:rPr>
                <w:sz w:val="24"/>
                <w:szCs w:val="28"/>
              </w:rPr>
              <w:t>/h</w:t>
            </w:r>
            <w:r>
              <w:rPr>
                <w:rFonts w:hAnsi="宋体"/>
                <w:sz w:val="24"/>
                <w:szCs w:val="28"/>
              </w:rPr>
              <w:t>；</w:t>
            </w:r>
          </w:p>
          <w:p w14:paraId="1B9E6BBB">
            <w:pPr>
              <w:spacing w:line="470" w:lineRule="exact"/>
              <w:ind w:firstLine="480" w:firstLineChars="200"/>
              <w:rPr>
                <w:rFonts w:hAnsi="宋体"/>
                <w:sz w:val="24"/>
                <w:szCs w:val="28"/>
              </w:rPr>
            </w:pPr>
            <w:r>
              <w:rPr>
                <w:sz w:val="24"/>
                <w:szCs w:val="28"/>
              </w:rPr>
              <w:t>K</w:t>
            </w:r>
            <w:r>
              <w:rPr>
                <w:rFonts w:hAnsi="宋体"/>
                <w:sz w:val="24"/>
                <w:szCs w:val="28"/>
              </w:rPr>
              <w:t>为安全系数</w:t>
            </w:r>
            <w:r>
              <w:rPr>
                <w:sz w:val="24"/>
                <w:szCs w:val="28"/>
              </w:rPr>
              <w:t>1.4</w:t>
            </w:r>
            <w:r>
              <w:rPr>
                <w:rFonts w:hAnsi="宋体"/>
                <w:sz w:val="24"/>
                <w:szCs w:val="28"/>
              </w:rPr>
              <w:t>；</w:t>
            </w:r>
          </w:p>
          <w:p w14:paraId="17A2525F">
            <w:pPr>
              <w:spacing w:line="470" w:lineRule="exact"/>
              <w:ind w:firstLine="480" w:firstLineChars="200"/>
              <w:rPr>
                <w:rFonts w:hAnsi="宋体"/>
                <w:sz w:val="24"/>
                <w:szCs w:val="28"/>
              </w:rPr>
            </w:pPr>
            <w:r>
              <w:rPr>
                <w:rFonts w:hAnsi="宋体"/>
                <w:sz w:val="24"/>
                <w:szCs w:val="28"/>
              </w:rPr>
              <w:t>（</w:t>
            </w:r>
            <w:r>
              <w:rPr>
                <w:sz w:val="24"/>
                <w:szCs w:val="28"/>
              </w:rPr>
              <w:t>a+b</w:t>
            </w:r>
            <w:r>
              <w:rPr>
                <w:rFonts w:hAnsi="宋体"/>
                <w:sz w:val="24"/>
                <w:szCs w:val="28"/>
              </w:rPr>
              <w:t>）为集气罩周长，单位为</w:t>
            </w:r>
            <w:r>
              <w:rPr>
                <w:sz w:val="24"/>
                <w:szCs w:val="28"/>
              </w:rPr>
              <w:t>m</w:t>
            </w:r>
            <w:r>
              <w:rPr>
                <w:rFonts w:hint="eastAsia"/>
                <w:sz w:val="24"/>
                <w:szCs w:val="28"/>
                <w:lang w:eastAsia="zh-CN"/>
              </w:rPr>
              <w:t>，</w:t>
            </w:r>
            <w:r>
              <w:rPr>
                <w:rFonts w:hint="eastAsia"/>
                <w:sz w:val="24"/>
                <w:szCs w:val="28"/>
                <w:lang w:val="en-US" w:eastAsia="zh-CN"/>
              </w:rPr>
              <w:t>本项目集气罩按2×1m计</w:t>
            </w:r>
            <w:r>
              <w:rPr>
                <w:rFonts w:hAnsi="宋体"/>
                <w:sz w:val="24"/>
                <w:szCs w:val="28"/>
              </w:rPr>
              <w:t>；</w:t>
            </w:r>
          </w:p>
          <w:p w14:paraId="1CDFA0F3">
            <w:pPr>
              <w:spacing w:line="470" w:lineRule="exact"/>
              <w:ind w:firstLine="480" w:firstLineChars="200"/>
              <w:rPr>
                <w:rFonts w:hAnsi="宋体"/>
                <w:sz w:val="24"/>
                <w:szCs w:val="28"/>
              </w:rPr>
            </w:pPr>
            <w:r>
              <w:rPr>
                <w:sz w:val="24"/>
                <w:szCs w:val="28"/>
              </w:rPr>
              <w:t>h</w:t>
            </w:r>
            <w:r>
              <w:rPr>
                <w:rFonts w:hAnsi="宋体"/>
                <w:sz w:val="24"/>
                <w:szCs w:val="28"/>
              </w:rPr>
              <w:t>为罩口至污染源的距离，单位为</w:t>
            </w:r>
            <w:r>
              <w:rPr>
                <w:sz w:val="24"/>
                <w:szCs w:val="28"/>
              </w:rPr>
              <w:t>m</w:t>
            </w:r>
            <w:r>
              <w:rPr>
                <w:rFonts w:hAnsi="宋体"/>
                <w:sz w:val="24"/>
                <w:szCs w:val="28"/>
              </w:rPr>
              <w:t>，本项目取</w:t>
            </w:r>
            <w:r>
              <w:rPr>
                <w:sz w:val="24"/>
                <w:szCs w:val="28"/>
              </w:rPr>
              <w:t>0.2m</w:t>
            </w:r>
            <w:r>
              <w:rPr>
                <w:rFonts w:hAnsi="宋体"/>
                <w:sz w:val="24"/>
                <w:szCs w:val="28"/>
              </w:rPr>
              <w:t>；</w:t>
            </w:r>
          </w:p>
          <w:p w14:paraId="76E3B29E">
            <w:pPr>
              <w:spacing w:line="470" w:lineRule="exact"/>
              <w:ind w:firstLine="480" w:firstLineChars="200"/>
              <w:rPr>
                <w:sz w:val="24"/>
                <w:szCs w:val="28"/>
              </w:rPr>
            </w:pPr>
            <w:r>
              <w:rPr>
                <w:sz w:val="24"/>
                <w:szCs w:val="28"/>
              </w:rPr>
              <w:t>V</w:t>
            </w:r>
            <w:r>
              <w:rPr>
                <w:sz w:val="24"/>
                <w:szCs w:val="28"/>
                <w:vertAlign w:val="subscript"/>
              </w:rPr>
              <w:t>0</w:t>
            </w:r>
            <w:r>
              <w:rPr>
                <w:rFonts w:hAnsi="宋体"/>
                <w:sz w:val="24"/>
                <w:szCs w:val="28"/>
              </w:rPr>
              <w:t>污染源气体流速，一般在</w:t>
            </w:r>
            <w:r>
              <w:rPr>
                <w:sz w:val="24"/>
                <w:szCs w:val="28"/>
              </w:rPr>
              <w:t>0.5m/s~1.5m/s</w:t>
            </w:r>
            <w:r>
              <w:rPr>
                <w:rFonts w:hAnsi="宋体"/>
                <w:sz w:val="24"/>
                <w:szCs w:val="28"/>
              </w:rPr>
              <w:t>，本次评价取均值</w:t>
            </w:r>
            <w:r>
              <w:rPr>
                <w:sz w:val="24"/>
                <w:szCs w:val="28"/>
              </w:rPr>
              <w:t>1.0m/s</w:t>
            </w:r>
            <w:r>
              <w:rPr>
                <w:rFonts w:hAnsi="宋体"/>
                <w:sz w:val="24"/>
                <w:szCs w:val="28"/>
              </w:rPr>
              <w:t>。</w:t>
            </w:r>
          </w:p>
          <w:p w14:paraId="4F060038">
            <w:pPr>
              <w:pStyle w:val="212"/>
              <w:adjustRightInd/>
              <w:spacing w:line="480" w:lineRule="exact"/>
              <w:ind w:left="0" w:right="0"/>
              <w:rPr>
                <w:rFonts w:hint="default" w:ascii="Times New Roman" w:hAnsi="Times New Roman" w:eastAsia="宋体" w:cs="Times New Roman"/>
                <w:sz w:val="24"/>
                <w:szCs w:val="32"/>
                <w:lang w:val="en-US" w:eastAsia="zh-CN"/>
              </w:rPr>
            </w:pPr>
            <w:r>
              <w:rPr>
                <w:rFonts w:hint="default" w:ascii="Times New Roman" w:hAnsi="Times New Roman" w:cs="Times New Roman"/>
                <w:sz w:val="24"/>
                <w:szCs w:val="32"/>
                <w:lang w:val="en-US" w:eastAsia="zh-CN"/>
              </w:rPr>
              <w:t>则单个集气罩风量为6048</w:t>
            </w:r>
            <w:r>
              <w:rPr>
                <w:rFonts w:hint="default" w:ascii="Times New Roman" w:hAnsi="Times New Roman" w:cs="Times New Roman"/>
                <w:sz w:val="24"/>
                <w:szCs w:val="28"/>
              </w:rPr>
              <w:t>m</w:t>
            </w:r>
            <w:r>
              <w:rPr>
                <w:rFonts w:hint="default" w:ascii="Times New Roman" w:hAnsi="Times New Roman" w:cs="Times New Roman"/>
                <w:sz w:val="24"/>
                <w:szCs w:val="28"/>
                <w:vertAlign w:val="superscript"/>
              </w:rPr>
              <w:t>3</w:t>
            </w:r>
            <w:r>
              <w:rPr>
                <w:rFonts w:hint="default" w:ascii="Times New Roman" w:hAnsi="Times New Roman" w:cs="Times New Roman"/>
                <w:sz w:val="24"/>
                <w:szCs w:val="28"/>
              </w:rPr>
              <w:t>/h；</w:t>
            </w:r>
            <w:r>
              <w:rPr>
                <w:rFonts w:hint="default" w:ascii="Times New Roman" w:hAnsi="Times New Roman" w:cs="Times New Roman"/>
                <w:sz w:val="24"/>
                <w:szCs w:val="28"/>
                <w:lang w:val="en-US" w:eastAsia="zh-CN"/>
              </w:rPr>
              <w:t>本项目共设3个加料机，则上料粉尘收集风量至少为18144</w:t>
            </w:r>
            <w:r>
              <w:rPr>
                <w:rFonts w:hint="default" w:ascii="Times New Roman" w:hAnsi="Times New Roman" w:cs="Times New Roman"/>
                <w:sz w:val="24"/>
                <w:szCs w:val="28"/>
              </w:rPr>
              <w:t>m</w:t>
            </w:r>
            <w:r>
              <w:rPr>
                <w:rFonts w:hint="default" w:ascii="Times New Roman" w:hAnsi="Times New Roman" w:cs="Times New Roman"/>
                <w:sz w:val="24"/>
                <w:szCs w:val="28"/>
                <w:vertAlign w:val="superscript"/>
              </w:rPr>
              <w:t>3</w:t>
            </w:r>
            <w:r>
              <w:rPr>
                <w:rFonts w:hint="default" w:ascii="Times New Roman" w:hAnsi="Times New Roman" w:cs="Times New Roman"/>
                <w:sz w:val="24"/>
                <w:szCs w:val="28"/>
              </w:rPr>
              <w:t>/h</w:t>
            </w:r>
            <w:r>
              <w:rPr>
                <w:rFonts w:hint="default" w:ascii="Times New Roman" w:hAnsi="Times New Roman" w:cs="Times New Roman"/>
                <w:sz w:val="24"/>
                <w:szCs w:val="28"/>
                <w:lang w:eastAsia="zh-CN"/>
              </w:rPr>
              <w:t>，</w:t>
            </w:r>
            <w:r>
              <w:rPr>
                <w:rFonts w:hint="default" w:ascii="Times New Roman" w:hAnsi="Times New Roman" w:cs="Times New Roman"/>
                <w:sz w:val="24"/>
                <w:szCs w:val="28"/>
                <w:lang w:val="en-US" w:eastAsia="zh-CN"/>
              </w:rPr>
              <w:t>本次环评按20000</w:t>
            </w:r>
            <w:r>
              <w:rPr>
                <w:rFonts w:hint="default" w:ascii="Times New Roman" w:hAnsi="Times New Roman" w:cs="Times New Roman"/>
                <w:sz w:val="24"/>
                <w:szCs w:val="28"/>
              </w:rPr>
              <w:t>m</w:t>
            </w:r>
            <w:r>
              <w:rPr>
                <w:rFonts w:hint="default" w:ascii="Times New Roman" w:hAnsi="Times New Roman" w:cs="Times New Roman"/>
                <w:sz w:val="24"/>
                <w:szCs w:val="28"/>
                <w:vertAlign w:val="superscript"/>
              </w:rPr>
              <w:t>3</w:t>
            </w:r>
            <w:r>
              <w:rPr>
                <w:rFonts w:hint="default" w:ascii="Times New Roman" w:hAnsi="Times New Roman" w:cs="Times New Roman"/>
                <w:sz w:val="24"/>
                <w:szCs w:val="28"/>
              </w:rPr>
              <w:t>/h</w:t>
            </w:r>
            <w:r>
              <w:rPr>
                <w:rFonts w:hint="default" w:ascii="Times New Roman" w:hAnsi="Times New Roman" w:cs="Times New Roman"/>
                <w:sz w:val="24"/>
                <w:szCs w:val="28"/>
                <w:lang w:val="en-US" w:eastAsia="zh-CN"/>
              </w:rPr>
              <w:t>计。</w:t>
            </w:r>
          </w:p>
          <w:p w14:paraId="172A6771">
            <w:pPr>
              <w:spacing w:line="480" w:lineRule="exact"/>
              <w:ind w:firstLine="480" w:firstLineChars="200"/>
              <w:rPr>
                <w:rFonts w:hint="eastAsia" w:eastAsia="宋体"/>
                <w:sz w:val="24"/>
                <w:szCs w:val="32"/>
                <w:lang w:val="en-US" w:eastAsia="zh-CN"/>
              </w:rPr>
            </w:pPr>
            <w:r>
              <w:rPr>
                <w:rFonts w:hint="eastAsia"/>
                <w:sz w:val="24"/>
                <w:szCs w:val="32"/>
                <w:lang w:val="en-US" w:eastAsia="zh-CN"/>
              </w:rPr>
              <w:t>上料</w:t>
            </w:r>
            <w:r>
              <w:rPr>
                <w:rFonts w:hint="eastAsia"/>
                <w:sz w:val="24"/>
                <w:szCs w:val="32"/>
              </w:rPr>
              <w:t>工序</w:t>
            </w:r>
            <w:r>
              <w:rPr>
                <w:rFonts w:hint="eastAsia"/>
                <w:sz w:val="24"/>
                <w:szCs w:val="32"/>
                <w:lang w:val="en-US" w:eastAsia="zh-CN"/>
              </w:rPr>
              <w:t>按</w:t>
            </w:r>
            <w:r>
              <w:rPr>
                <w:rFonts w:hint="eastAsia"/>
                <w:sz w:val="24"/>
                <w:szCs w:val="32"/>
              </w:rPr>
              <w:t>年工作</w:t>
            </w:r>
            <w:r>
              <w:rPr>
                <w:rFonts w:hint="eastAsia"/>
                <w:sz w:val="24"/>
                <w:szCs w:val="32"/>
                <w:lang w:val="en-US" w:eastAsia="zh-CN"/>
              </w:rPr>
              <w:t>3</w:t>
            </w:r>
            <w:r>
              <w:rPr>
                <w:rFonts w:hint="eastAsia"/>
                <w:sz w:val="24"/>
                <w:szCs w:val="32"/>
              </w:rPr>
              <w:t>00小时</w:t>
            </w:r>
            <w:r>
              <w:rPr>
                <w:rFonts w:hint="eastAsia"/>
                <w:sz w:val="24"/>
                <w:szCs w:val="32"/>
                <w:lang w:val="en-US" w:eastAsia="zh-CN"/>
              </w:rPr>
              <w:t>计</w:t>
            </w:r>
            <w:r>
              <w:rPr>
                <w:rFonts w:hint="eastAsia"/>
                <w:sz w:val="24"/>
                <w:szCs w:val="32"/>
              </w:rPr>
              <w:t>，经集气罩(收集效率90%)后</w:t>
            </w:r>
            <w:r>
              <w:rPr>
                <w:rFonts w:hint="eastAsia"/>
                <w:sz w:val="24"/>
                <w:szCs w:val="32"/>
                <w:lang w:val="en-US" w:eastAsia="zh-CN"/>
              </w:rPr>
              <w:t>汇同破碎筛分粉尘</w:t>
            </w:r>
            <w:r>
              <w:rPr>
                <w:rFonts w:hint="eastAsia"/>
                <w:sz w:val="24"/>
                <w:szCs w:val="32"/>
              </w:rPr>
              <w:t>进入脉冲式布袋除尘器(处理效率99%)处理</w:t>
            </w:r>
            <w:r>
              <w:rPr>
                <w:rFonts w:hint="eastAsia"/>
                <w:sz w:val="24"/>
                <w:szCs w:val="32"/>
                <w:lang w:val="en-US" w:eastAsia="zh-CN"/>
              </w:rPr>
              <w:t>最终通过</w:t>
            </w:r>
            <w:r>
              <w:rPr>
                <w:bCs/>
                <w:sz w:val="24"/>
                <w:szCs w:val="32"/>
              </w:rPr>
              <w:t>DA001排气筒</w:t>
            </w:r>
            <w:r>
              <w:rPr>
                <w:rFonts w:hint="eastAsia"/>
                <w:bCs/>
                <w:sz w:val="24"/>
                <w:szCs w:val="32"/>
                <w:lang w:val="en-US" w:eastAsia="zh-CN"/>
              </w:rPr>
              <w:t>排放。</w:t>
            </w:r>
          </w:p>
          <w:p w14:paraId="0F36E0A8">
            <w:pPr>
              <w:spacing w:line="480" w:lineRule="exact"/>
              <w:ind w:firstLine="480" w:firstLineChars="200"/>
              <w:rPr>
                <w:rFonts w:hint="eastAsia" w:eastAsia="宋体"/>
                <w:sz w:val="24"/>
                <w:szCs w:val="32"/>
                <w:lang w:val="en-US" w:eastAsia="zh-CN"/>
              </w:rPr>
            </w:pPr>
            <w:r>
              <w:rPr>
                <w:rFonts w:hint="eastAsia"/>
                <w:sz w:val="24"/>
                <w:szCs w:val="32"/>
                <w:lang w:val="en-US" w:eastAsia="zh-CN"/>
              </w:rPr>
              <w:t>则项目上料、破碎筛分粉尘产生量为64t/a，产生速率为45.3kg/h，产生浓度为906</w:t>
            </w:r>
            <w:r>
              <w:rPr>
                <w:rFonts w:hint="eastAsia"/>
                <w:sz w:val="24"/>
                <w:szCs w:val="32"/>
              </w:rPr>
              <w:t>mg/m</w:t>
            </w:r>
            <w:r>
              <w:rPr>
                <w:rFonts w:hint="eastAsia"/>
                <w:sz w:val="24"/>
                <w:szCs w:val="32"/>
                <w:vertAlign w:val="superscript"/>
              </w:rPr>
              <w:t>3</w:t>
            </w:r>
            <w:r>
              <w:rPr>
                <w:rFonts w:hint="eastAsia"/>
                <w:sz w:val="24"/>
                <w:szCs w:val="32"/>
                <w:lang w:eastAsia="zh-CN"/>
              </w:rPr>
              <w:t>；</w:t>
            </w:r>
            <w:r>
              <w:rPr>
                <w:bCs/>
                <w:sz w:val="24"/>
                <w:szCs w:val="32"/>
              </w:rPr>
              <w:t>DA001排气筒</w:t>
            </w:r>
            <w:r>
              <w:rPr>
                <w:rFonts w:hint="eastAsia"/>
                <w:bCs/>
                <w:sz w:val="24"/>
                <w:szCs w:val="32"/>
                <w:lang w:val="en-US" w:eastAsia="zh-CN"/>
              </w:rPr>
              <w:t>排放量为0.57</w:t>
            </w:r>
            <w:r>
              <w:rPr>
                <w:rFonts w:hint="eastAsia"/>
                <w:sz w:val="24"/>
                <w:szCs w:val="32"/>
                <w:lang w:val="en-US" w:eastAsia="zh-CN"/>
              </w:rPr>
              <w:t>t/a，排放速率为0.45kg/h，排放浓度为9</w:t>
            </w:r>
            <w:r>
              <w:rPr>
                <w:rFonts w:hint="eastAsia"/>
                <w:sz w:val="24"/>
                <w:szCs w:val="32"/>
              </w:rPr>
              <w:t>mg/m</w:t>
            </w:r>
            <w:r>
              <w:rPr>
                <w:rFonts w:hint="eastAsia"/>
                <w:sz w:val="24"/>
                <w:szCs w:val="32"/>
                <w:vertAlign w:val="superscript"/>
              </w:rPr>
              <w:t>3</w:t>
            </w:r>
            <w:r>
              <w:rPr>
                <w:rFonts w:hint="eastAsia"/>
                <w:bCs/>
                <w:sz w:val="24"/>
                <w:szCs w:val="32"/>
                <w:lang w:val="en-US" w:eastAsia="zh-CN"/>
              </w:rPr>
              <w:t>。</w:t>
            </w:r>
          </w:p>
          <w:p w14:paraId="1DD6EBD9">
            <w:pPr>
              <w:spacing w:line="480" w:lineRule="exact"/>
              <w:ind w:firstLine="480" w:firstLineChars="200"/>
              <w:rPr>
                <w:bCs/>
                <w:sz w:val="24"/>
                <w:szCs w:val="32"/>
              </w:rPr>
            </w:pPr>
            <w:r>
              <w:rPr>
                <w:rFonts w:hint="eastAsia"/>
                <w:bCs/>
                <w:sz w:val="24"/>
                <w:szCs w:val="32"/>
              </w:rPr>
              <w:t>(2)</w:t>
            </w:r>
            <w:r>
              <w:rPr>
                <w:bCs/>
                <w:sz w:val="24"/>
                <w:szCs w:val="32"/>
              </w:rPr>
              <w:t>DA00</w:t>
            </w:r>
            <w:r>
              <w:rPr>
                <w:rFonts w:hint="eastAsia"/>
                <w:bCs/>
                <w:sz w:val="24"/>
                <w:szCs w:val="32"/>
              </w:rPr>
              <w:t>2</w:t>
            </w:r>
            <w:r>
              <w:rPr>
                <w:bCs/>
                <w:sz w:val="24"/>
                <w:szCs w:val="32"/>
              </w:rPr>
              <w:t>排气筒废气</w:t>
            </w:r>
          </w:p>
          <w:p w14:paraId="64CD6277">
            <w:pPr>
              <w:spacing w:line="480" w:lineRule="exact"/>
              <w:ind w:firstLine="480" w:firstLineChars="200"/>
              <w:rPr>
                <w:bCs/>
                <w:sz w:val="24"/>
                <w:szCs w:val="32"/>
              </w:rPr>
            </w:pPr>
            <w:r>
              <w:rPr>
                <w:rFonts w:hint="eastAsia"/>
                <w:bCs/>
                <w:sz w:val="24"/>
                <w:szCs w:val="32"/>
              </w:rPr>
              <w:t>项目采用内燃法生产工艺，需要用生物质颗粒进行点火，主要靠煤矸石原料自身燃烧产生的热量进行焙烧。本次隧道窑燃烧过程产生的烟气包括生物质燃烧产生的烟气和煤矸石燃烧产生的烟气。主要污染物为颗粒物、氮氧化物和二氧化硫，燃烧产生的热烟气在窑内循环，产生的二氧化硫和颗粒物在窑内循环。</w:t>
            </w:r>
            <w:r>
              <w:rPr>
                <w:rFonts w:hint="eastAsia"/>
                <w:bCs/>
                <w:sz w:val="24"/>
                <w:szCs w:val="32"/>
                <w:lang w:val="en-US" w:eastAsia="zh-CN"/>
              </w:rPr>
              <w:t>旋转</w:t>
            </w:r>
            <w:r>
              <w:rPr>
                <w:rFonts w:hint="eastAsia"/>
                <w:bCs/>
                <w:sz w:val="24"/>
                <w:szCs w:val="32"/>
              </w:rPr>
              <w:t>窑烟气经管道收集后，经引风机引至一套</w:t>
            </w:r>
            <w:bookmarkStart w:id="17" w:name="OLE_LINK23"/>
            <w:r>
              <w:rPr>
                <w:rFonts w:hint="eastAsia"/>
                <w:bCs/>
                <w:sz w:val="24"/>
                <w:szCs w:val="32"/>
              </w:rPr>
              <w:t>1套</w:t>
            </w:r>
            <w:bookmarkStart w:id="18" w:name="OLE_LINK58"/>
            <w:r>
              <w:rPr>
                <w:rFonts w:hint="eastAsia"/>
                <w:bCs/>
                <w:sz w:val="24"/>
                <w:szCs w:val="32"/>
                <w:lang w:eastAsia="zh-CN"/>
              </w:rPr>
              <w:t>“</w:t>
            </w:r>
            <w:r>
              <w:rPr>
                <w:rFonts w:hint="eastAsia"/>
                <w:bCs/>
                <w:sz w:val="24"/>
                <w:szCs w:val="32"/>
                <w:lang w:val="en-US" w:eastAsia="zh-CN"/>
              </w:rPr>
              <w:t>SNCR+</w:t>
            </w:r>
            <w:r>
              <w:rPr>
                <w:rFonts w:hint="eastAsia"/>
                <w:bCs/>
                <w:sz w:val="24"/>
                <w:szCs w:val="32"/>
              </w:rPr>
              <w:t>石灰石—石膏法+湿电除尘</w:t>
            </w:r>
            <w:r>
              <w:rPr>
                <w:rFonts w:hint="eastAsia"/>
                <w:bCs/>
                <w:sz w:val="24"/>
                <w:szCs w:val="32"/>
                <w:lang w:eastAsia="zh-CN"/>
              </w:rPr>
              <w:t>”</w:t>
            </w:r>
            <w:bookmarkEnd w:id="18"/>
            <w:r>
              <w:rPr>
                <w:bCs/>
                <w:sz w:val="24"/>
                <w:szCs w:val="32"/>
              </w:rPr>
              <w:t>，烟气经处理后，由1根</w:t>
            </w:r>
            <w:r>
              <w:rPr>
                <w:rFonts w:hint="eastAsia"/>
                <w:bCs/>
                <w:sz w:val="24"/>
                <w:szCs w:val="32"/>
              </w:rPr>
              <w:t>3</w:t>
            </w:r>
            <w:r>
              <w:rPr>
                <w:bCs/>
                <w:sz w:val="24"/>
                <w:szCs w:val="32"/>
              </w:rPr>
              <w:t>5m高排气筒(DA00</w:t>
            </w:r>
            <w:r>
              <w:rPr>
                <w:rFonts w:hint="eastAsia"/>
                <w:bCs/>
                <w:sz w:val="24"/>
                <w:szCs w:val="32"/>
              </w:rPr>
              <w:t>2</w:t>
            </w:r>
            <w:r>
              <w:rPr>
                <w:bCs/>
                <w:sz w:val="24"/>
                <w:szCs w:val="32"/>
              </w:rPr>
              <w:t>)排放。</w:t>
            </w:r>
          </w:p>
          <w:bookmarkEnd w:id="17"/>
          <w:p w14:paraId="00A44953">
            <w:pPr>
              <w:spacing w:line="480" w:lineRule="exact"/>
              <w:ind w:firstLine="480" w:firstLineChars="200"/>
              <w:rPr>
                <w:rFonts w:hint="eastAsia"/>
                <w:sz w:val="24"/>
                <w:szCs w:val="32"/>
                <w:lang w:val="en-US" w:eastAsia="zh-CN"/>
              </w:rPr>
            </w:pPr>
            <w:r>
              <w:rPr>
                <w:sz w:val="24"/>
                <w:szCs w:val="32"/>
              </w:rPr>
              <w:t>根据</w:t>
            </w:r>
            <w:r>
              <w:rPr>
                <w:rFonts w:hint="eastAsia"/>
                <w:sz w:val="24"/>
                <w:szCs w:val="32"/>
                <w:lang w:val="en-US" w:eastAsia="zh-CN"/>
              </w:rPr>
              <w:t>现有项目</w:t>
            </w:r>
            <w:r>
              <w:rPr>
                <w:rFonts w:hint="eastAsia"/>
                <w:sz w:val="24"/>
                <w:szCs w:val="32"/>
              </w:rPr>
              <w:t>《凤台县粹彬墙体材料有限公司排污许可2025年年度执行报告》</w:t>
            </w:r>
            <w:r>
              <w:rPr>
                <w:rFonts w:hint="eastAsia"/>
                <w:sz w:val="24"/>
                <w:szCs w:val="32"/>
                <w:lang w:eastAsia="zh-CN"/>
              </w:rPr>
              <w:t>，</w:t>
            </w:r>
            <w:r>
              <w:rPr>
                <w:rFonts w:hint="eastAsia"/>
                <w:sz w:val="24"/>
                <w:szCs w:val="32"/>
                <w:lang w:val="en-US" w:eastAsia="zh-CN"/>
              </w:rPr>
              <w:t>干燥焙烧废气颗粒物最大排放浓度为3.52</w:t>
            </w:r>
            <w:r>
              <w:rPr>
                <w:rFonts w:hint="eastAsia"/>
                <w:sz w:val="24"/>
                <w:szCs w:val="32"/>
              </w:rPr>
              <w:t>mg/m</w:t>
            </w:r>
            <w:r>
              <w:rPr>
                <w:rFonts w:hint="eastAsia"/>
                <w:sz w:val="24"/>
                <w:szCs w:val="32"/>
                <w:vertAlign w:val="superscript"/>
              </w:rPr>
              <w:t>3</w:t>
            </w:r>
            <w:r>
              <w:rPr>
                <w:rFonts w:hint="eastAsia"/>
                <w:sz w:val="24"/>
                <w:szCs w:val="32"/>
                <w:lang w:eastAsia="zh-CN"/>
              </w:rPr>
              <w:t>，</w:t>
            </w:r>
            <w:r>
              <w:rPr>
                <w:rFonts w:hint="eastAsia"/>
                <w:sz w:val="24"/>
                <w:szCs w:val="32"/>
                <w:lang w:val="en-US" w:eastAsia="zh-CN"/>
              </w:rPr>
              <w:t>二氧化硫最大排放浓度为25.58</w:t>
            </w:r>
            <w:r>
              <w:rPr>
                <w:rFonts w:hint="eastAsia"/>
                <w:sz w:val="24"/>
                <w:szCs w:val="32"/>
              </w:rPr>
              <w:t>mg/m</w:t>
            </w:r>
            <w:r>
              <w:rPr>
                <w:rFonts w:hint="eastAsia"/>
                <w:sz w:val="24"/>
                <w:szCs w:val="32"/>
                <w:vertAlign w:val="superscript"/>
              </w:rPr>
              <w:t>3</w:t>
            </w:r>
            <w:r>
              <w:rPr>
                <w:rFonts w:hint="eastAsia"/>
                <w:sz w:val="24"/>
                <w:szCs w:val="32"/>
                <w:lang w:eastAsia="zh-CN"/>
              </w:rPr>
              <w:t>，</w:t>
            </w:r>
            <w:r>
              <w:rPr>
                <w:rFonts w:hint="eastAsia"/>
                <w:sz w:val="24"/>
                <w:szCs w:val="32"/>
                <w:lang w:val="en-US" w:eastAsia="zh-CN"/>
              </w:rPr>
              <w:t>氮氧化物最大排放浓度为30.47</w:t>
            </w:r>
            <w:r>
              <w:rPr>
                <w:rFonts w:hint="eastAsia"/>
                <w:sz w:val="24"/>
                <w:szCs w:val="32"/>
              </w:rPr>
              <w:t>mg/m</w:t>
            </w:r>
            <w:r>
              <w:rPr>
                <w:rFonts w:hint="eastAsia"/>
                <w:sz w:val="24"/>
                <w:szCs w:val="32"/>
                <w:vertAlign w:val="superscript"/>
              </w:rPr>
              <w:t>3</w:t>
            </w:r>
            <w:r>
              <w:rPr>
                <w:rFonts w:hint="eastAsia"/>
                <w:sz w:val="24"/>
                <w:szCs w:val="32"/>
                <w:lang w:eastAsia="zh-CN"/>
              </w:rPr>
              <w:t>，</w:t>
            </w:r>
            <w:r>
              <w:rPr>
                <w:rFonts w:hint="eastAsia"/>
                <w:sz w:val="24"/>
                <w:szCs w:val="32"/>
                <w:lang w:val="en-US" w:eastAsia="zh-CN"/>
              </w:rPr>
              <w:t>氟化物最大排放浓度为0.88</w:t>
            </w:r>
            <w:r>
              <w:rPr>
                <w:rFonts w:hint="eastAsia"/>
                <w:sz w:val="24"/>
                <w:szCs w:val="32"/>
              </w:rPr>
              <w:t>mg/m</w:t>
            </w:r>
            <w:r>
              <w:rPr>
                <w:rFonts w:hint="eastAsia"/>
                <w:sz w:val="24"/>
                <w:szCs w:val="32"/>
                <w:vertAlign w:val="superscript"/>
              </w:rPr>
              <w:t>3</w:t>
            </w:r>
            <w:r>
              <w:rPr>
                <w:rFonts w:hint="eastAsia"/>
                <w:sz w:val="24"/>
                <w:szCs w:val="32"/>
                <w:lang w:eastAsia="zh-CN"/>
              </w:rPr>
              <w:t>；</w:t>
            </w:r>
            <w:r>
              <w:rPr>
                <w:rFonts w:hint="eastAsia"/>
                <w:sz w:val="24"/>
                <w:szCs w:val="32"/>
                <w:lang w:val="en-US" w:eastAsia="zh-CN"/>
              </w:rPr>
              <w:t>现有风机风量为200000</w:t>
            </w:r>
            <w:r>
              <w:rPr>
                <w:rFonts w:hint="eastAsia"/>
                <w:sz w:val="24"/>
                <w:szCs w:val="32"/>
              </w:rPr>
              <w:t>m</w:t>
            </w:r>
            <w:r>
              <w:rPr>
                <w:rFonts w:hint="eastAsia"/>
                <w:sz w:val="24"/>
                <w:szCs w:val="32"/>
                <w:vertAlign w:val="superscript"/>
              </w:rPr>
              <w:t>3</w:t>
            </w:r>
            <w:r>
              <w:rPr>
                <w:rFonts w:hint="eastAsia"/>
                <w:sz w:val="24"/>
                <w:szCs w:val="32"/>
              </w:rPr>
              <w:t>/h，</w:t>
            </w:r>
            <w:r>
              <w:rPr>
                <w:rFonts w:hint="eastAsia"/>
                <w:sz w:val="24"/>
                <w:szCs w:val="32"/>
                <w:lang w:val="en-US" w:eastAsia="zh-CN"/>
              </w:rPr>
              <w:t>则干燥焙烧废气颗粒物排放速率为0.7kg/h，干燥焙烧废气二氧化硫排放速率为5.12kg/h，干燥焙烧废气氮氧化物排放速率为6.09kg/h，干燥焙烧废气氟化物排放速率为0.18kg/h。</w:t>
            </w:r>
          </w:p>
          <w:p w14:paraId="171C79D2">
            <w:pPr>
              <w:spacing w:line="480" w:lineRule="exact"/>
              <w:ind w:firstLine="480" w:firstLineChars="200"/>
              <w:rPr>
                <w:rFonts w:hint="default" w:eastAsia="宋体"/>
                <w:sz w:val="24"/>
                <w:szCs w:val="32"/>
                <w:lang w:val="en-US" w:eastAsia="zh-CN"/>
              </w:rPr>
            </w:pPr>
            <w:r>
              <w:rPr>
                <w:rFonts w:hint="eastAsia"/>
                <w:sz w:val="24"/>
                <w:szCs w:val="32"/>
                <w:lang w:val="en-US" w:eastAsia="zh-CN"/>
              </w:rPr>
              <w:t>2025年全厂烧结砖产能约为7000万/年，本项目建成后产能达到12000万/年，年工作时间7200h，根据产能进行折算，本项目建成后干燥焙烧废气颗粒物排放速率为1.2kg/h，干燥焙烧废气二氧化硫排放速率为8.77kg/h，干燥焙烧废气氮氧化物排放速率为10.44kg/h，干燥焙烧废气氟化物排放速率为0.31kg/h。</w:t>
            </w:r>
          </w:p>
          <w:p w14:paraId="785FF702">
            <w:pPr>
              <w:spacing w:line="480" w:lineRule="exact"/>
              <w:ind w:firstLine="480" w:firstLineChars="200"/>
              <w:rPr>
                <w:sz w:val="24"/>
                <w:szCs w:val="32"/>
              </w:rPr>
            </w:pPr>
            <w:r>
              <w:rPr>
                <w:rFonts w:hint="eastAsia" w:ascii="Times New Roman" w:hAnsi="Times New Roman" w:cs="Times New Roman"/>
                <w:sz w:val="24"/>
                <w:szCs w:val="32"/>
              </w:rPr>
              <w:t>参照</w:t>
            </w:r>
            <w:r>
              <w:rPr>
                <w:rFonts w:ascii="Times New Roman" w:hAnsi="Times New Roman" w:cs="Times New Roman"/>
                <w:bCs/>
                <w:sz w:val="24"/>
                <w:szCs w:val="32"/>
              </w:rPr>
              <w:t>《排放源统计调查产排污核算方法和系数手册》中</w:t>
            </w:r>
            <w:r>
              <w:rPr>
                <w:rFonts w:hint="eastAsia" w:ascii="Times New Roman" w:hAnsi="Times New Roman" w:cs="Times New Roman"/>
                <w:bCs/>
                <w:sz w:val="24"/>
                <w:szCs w:val="32"/>
              </w:rPr>
              <w:t>“</w:t>
            </w:r>
            <w:r>
              <w:rPr>
                <w:rFonts w:ascii="Times New Roman" w:hAnsi="Times New Roman" w:cs="Times New Roman"/>
                <w:bCs/>
                <w:sz w:val="24"/>
                <w:szCs w:val="32"/>
              </w:rPr>
              <w:t>3</w:t>
            </w:r>
            <w:r>
              <w:rPr>
                <w:rFonts w:hint="eastAsia" w:ascii="Times New Roman" w:hAnsi="Times New Roman" w:cs="Times New Roman"/>
                <w:bCs/>
                <w:sz w:val="24"/>
                <w:szCs w:val="32"/>
              </w:rPr>
              <w:t>03</w:t>
            </w:r>
            <w:r>
              <w:rPr>
                <w:rFonts w:ascii="Times New Roman" w:hAnsi="Times New Roman" w:cs="Times New Roman"/>
                <w:bCs/>
                <w:sz w:val="24"/>
                <w:szCs w:val="32"/>
              </w:rPr>
              <w:t xml:space="preserve"> </w:t>
            </w:r>
            <w:r>
              <w:rPr>
                <w:rFonts w:hint="eastAsia" w:ascii="Times New Roman" w:hAnsi="Times New Roman" w:cs="Times New Roman"/>
                <w:bCs/>
                <w:sz w:val="24"/>
                <w:szCs w:val="32"/>
              </w:rPr>
              <w:t>砖瓦、石材等建筑材料制造</w:t>
            </w:r>
            <w:r>
              <w:rPr>
                <w:rFonts w:ascii="Times New Roman" w:hAnsi="Times New Roman" w:cs="Times New Roman"/>
                <w:bCs/>
                <w:sz w:val="24"/>
                <w:szCs w:val="32"/>
              </w:rPr>
              <w:t>行业系数手册</w:t>
            </w:r>
            <w:r>
              <w:rPr>
                <w:rFonts w:hint="eastAsia" w:ascii="Times New Roman" w:hAnsi="Times New Roman" w:cs="Times New Roman"/>
                <w:bCs/>
                <w:sz w:val="24"/>
                <w:szCs w:val="32"/>
              </w:rPr>
              <w:t>”中工艺“砖瓦工业焙烧窑炉（硬塑成型等）”，湿式电除尘处理效率为92%，石灰石—石膏法脱硫处理效率为95%，</w:t>
            </w:r>
            <w:r>
              <w:rPr>
                <w:rFonts w:hint="eastAsia" w:cs="Times New Roman"/>
                <w:bCs/>
                <w:sz w:val="24"/>
                <w:szCs w:val="32"/>
                <w:lang w:val="en-US" w:eastAsia="zh-CN"/>
              </w:rPr>
              <w:t>SNCR脱销处理效率为50%，</w:t>
            </w:r>
            <w:r>
              <w:rPr>
                <w:rFonts w:hint="eastAsia" w:ascii="Times New Roman" w:hAnsi="Times New Roman" w:cs="Times New Roman"/>
                <w:bCs/>
                <w:sz w:val="24"/>
                <w:szCs w:val="32"/>
                <w:lang w:val="en-US" w:eastAsia="zh-CN"/>
              </w:rPr>
              <w:t>氟化物处理效率为40%，</w:t>
            </w:r>
            <w:r>
              <w:rPr>
                <w:rFonts w:hint="eastAsia"/>
                <w:sz w:val="24"/>
                <w:szCs w:val="32"/>
                <w:lang w:val="en-US" w:eastAsia="zh-CN"/>
              </w:rPr>
              <w:t>升级改造后风机风量为300000</w:t>
            </w:r>
            <w:r>
              <w:rPr>
                <w:rFonts w:hint="eastAsia"/>
                <w:sz w:val="24"/>
                <w:szCs w:val="32"/>
              </w:rPr>
              <w:t>m</w:t>
            </w:r>
            <w:r>
              <w:rPr>
                <w:rFonts w:hint="eastAsia"/>
                <w:sz w:val="24"/>
                <w:szCs w:val="32"/>
                <w:vertAlign w:val="superscript"/>
              </w:rPr>
              <w:t>3</w:t>
            </w:r>
            <w:r>
              <w:rPr>
                <w:rFonts w:hint="eastAsia"/>
                <w:sz w:val="24"/>
                <w:szCs w:val="32"/>
              </w:rPr>
              <w:t>/h，</w:t>
            </w:r>
            <w:r>
              <w:rPr>
                <w:rFonts w:hint="eastAsia" w:ascii="Times New Roman" w:hAnsi="Times New Roman" w:cs="Times New Roman"/>
                <w:bCs/>
                <w:sz w:val="24"/>
                <w:szCs w:val="32"/>
                <w:lang w:val="en-US" w:eastAsia="zh-CN"/>
              </w:rPr>
              <w:t>则：</w:t>
            </w:r>
          </w:p>
          <w:p w14:paraId="74C5FE3E">
            <w:pPr>
              <w:spacing w:line="480" w:lineRule="exact"/>
              <w:ind w:firstLine="480" w:firstLineChars="200"/>
              <w:rPr>
                <w:rFonts w:hint="eastAsia" w:eastAsia="宋体"/>
                <w:sz w:val="24"/>
                <w:szCs w:val="32"/>
                <w:lang w:val="en-US" w:eastAsia="zh-CN"/>
              </w:rPr>
            </w:pPr>
            <w:r>
              <w:rPr>
                <w:rFonts w:hint="eastAsia"/>
                <w:sz w:val="24"/>
                <w:szCs w:val="32"/>
                <w:lang w:val="en-US" w:eastAsia="zh-CN"/>
              </w:rPr>
              <w:t>干燥焙烧废气颗粒物产生量为108t/a，产生速率为15kg/h，产生浓度为50</w:t>
            </w:r>
            <w:r>
              <w:rPr>
                <w:rFonts w:hint="eastAsia"/>
                <w:sz w:val="24"/>
                <w:szCs w:val="32"/>
              </w:rPr>
              <w:t>mg/m</w:t>
            </w:r>
            <w:r>
              <w:rPr>
                <w:rFonts w:hint="eastAsia"/>
                <w:sz w:val="24"/>
                <w:szCs w:val="32"/>
                <w:vertAlign w:val="superscript"/>
              </w:rPr>
              <w:t>3</w:t>
            </w:r>
            <w:r>
              <w:rPr>
                <w:rFonts w:hint="eastAsia"/>
                <w:sz w:val="24"/>
                <w:szCs w:val="32"/>
                <w:lang w:eastAsia="zh-CN"/>
              </w:rPr>
              <w:t>；</w:t>
            </w:r>
            <w:r>
              <w:rPr>
                <w:bCs/>
                <w:sz w:val="24"/>
                <w:szCs w:val="32"/>
              </w:rPr>
              <w:t>DA00</w:t>
            </w:r>
            <w:r>
              <w:rPr>
                <w:rFonts w:hint="eastAsia"/>
                <w:bCs/>
                <w:sz w:val="24"/>
                <w:szCs w:val="32"/>
                <w:lang w:val="en-US" w:eastAsia="zh-CN"/>
              </w:rPr>
              <w:t>2</w:t>
            </w:r>
            <w:r>
              <w:rPr>
                <w:bCs/>
                <w:sz w:val="24"/>
                <w:szCs w:val="32"/>
              </w:rPr>
              <w:t>排气筒</w:t>
            </w:r>
            <w:r>
              <w:rPr>
                <w:rFonts w:hint="eastAsia"/>
                <w:bCs/>
                <w:sz w:val="24"/>
                <w:szCs w:val="32"/>
                <w:lang w:val="en-US" w:eastAsia="zh-CN"/>
              </w:rPr>
              <w:t>排放量为8.64</w:t>
            </w:r>
            <w:r>
              <w:rPr>
                <w:rFonts w:hint="eastAsia"/>
                <w:sz w:val="24"/>
                <w:szCs w:val="32"/>
                <w:lang w:val="en-US" w:eastAsia="zh-CN"/>
              </w:rPr>
              <w:t>t/a，排放速率为1.2kg/h，排放浓度为4</w:t>
            </w:r>
            <w:r>
              <w:rPr>
                <w:rFonts w:hint="eastAsia"/>
                <w:sz w:val="24"/>
                <w:szCs w:val="32"/>
              </w:rPr>
              <w:t>mg/m</w:t>
            </w:r>
            <w:r>
              <w:rPr>
                <w:rFonts w:hint="eastAsia"/>
                <w:sz w:val="24"/>
                <w:szCs w:val="32"/>
                <w:vertAlign w:val="superscript"/>
              </w:rPr>
              <w:t>3</w:t>
            </w:r>
            <w:r>
              <w:rPr>
                <w:rFonts w:hint="eastAsia"/>
                <w:bCs/>
                <w:sz w:val="24"/>
                <w:szCs w:val="32"/>
                <w:lang w:val="en-US" w:eastAsia="zh-CN"/>
              </w:rPr>
              <w:t>。</w:t>
            </w:r>
          </w:p>
          <w:p w14:paraId="0725A5E1">
            <w:pPr>
              <w:spacing w:line="480" w:lineRule="exact"/>
              <w:ind w:firstLine="480" w:firstLineChars="200"/>
              <w:rPr>
                <w:rFonts w:hint="eastAsia" w:eastAsia="宋体"/>
                <w:sz w:val="24"/>
                <w:szCs w:val="32"/>
                <w:lang w:val="en-US" w:eastAsia="zh-CN"/>
              </w:rPr>
            </w:pPr>
            <w:r>
              <w:rPr>
                <w:rFonts w:hint="eastAsia"/>
                <w:sz w:val="24"/>
                <w:szCs w:val="32"/>
                <w:lang w:val="en-US" w:eastAsia="zh-CN"/>
              </w:rPr>
              <w:t>二氧化硫产生量为1262.9t/a，产生速率为175.4kg/h，产生浓度为584.7</w:t>
            </w:r>
            <w:r>
              <w:rPr>
                <w:rFonts w:hint="eastAsia"/>
                <w:sz w:val="24"/>
                <w:szCs w:val="32"/>
              </w:rPr>
              <w:t>mg/m</w:t>
            </w:r>
            <w:r>
              <w:rPr>
                <w:rFonts w:hint="eastAsia"/>
                <w:sz w:val="24"/>
                <w:szCs w:val="32"/>
                <w:vertAlign w:val="superscript"/>
              </w:rPr>
              <w:t>3</w:t>
            </w:r>
            <w:r>
              <w:rPr>
                <w:rFonts w:hint="eastAsia"/>
                <w:sz w:val="24"/>
                <w:szCs w:val="32"/>
                <w:lang w:eastAsia="zh-CN"/>
              </w:rPr>
              <w:t>；</w:t>
            </w:r>
            <w:r>
              <w:rPr>
                <w:bCs/>
                <w:sz w:val="24"/>
                <w:szCs w:val="32"/>
              </w:rPr>
              <w:t>DA00</w:t>
            </w:r>
            <w:r>
              <w:rPr>
                <w:rFonts w:hint="eastAsia"/>
                <w:bCs/>
                <w:sz w:val="24"/>
                <w:szCs w:val="32"/>
                <w:lang w:val="en-US" w:eastAsia="zh-CN"/>
              </w:rPr>
              <w:t>2</w:t>
            </w:r>
            <w:r>
              <w:rPr>
                <w:bCs/>
                <w:sz w:val="24"/>
                <w:szCs w:val="32"/>
              </w:rPr>
              <w:t>排气筒</w:t>
            </w:r>
            <w:r>
              <w:rPr>
                <w:rFonts w:hint="eastAsia"/>
                <w:bCs/>
                <w:sz w:val="24"/>
                <w:szCs w:val="32"/>
                <w:lang w:val="en-US" w:eastAsia="zh-CN"/>
              </w:rPr>
              <w:t>排放量为63.1</w:t>
            </w:r>
            <w:r>
              <w:rPr>
                <w:rFonts w:hint="eastAsia"/>
                <w:sz w:val="24"/>
                <w:szCs w:val="32"/>
                <w:lang w:val="en-US" w:eastAsia="zh-CN"/>
              </w:rPr>
              <w:t>t/a，排放速率为8.77kg/h，排放浓度为29.2</w:t>
            </w:r>
            <w:r>
              <w:rPr>
                <w:rFonts w:hint="eastAsia"/>
                <w:sz w:val="24"/>
                <w:szCs w:val="32"/>
              </w:rPr>
              <w:t>mg/m</w:t>
            </w:r>
            <w:r>
              <w:rPr>
                <w:rFonts w:hint="eastAsia"/>
                <w:sz w:val="24"/>
                <w:szCs w:val="32"/>
                <w:vertAlign w:val="superscript"/>
              </w:rPr>
              <w:t>3</w:t>
            </w:r>
            <w:r>
              <w:rPr>
                <w:rFonts w:hint="eastAsia"/>
                <w:bCs/>
                <w:sz w:val="24"/>
                <w:szCs w:val="32"/>
                <w:lang w:val="en-US" w:eastAsia="zh-CN"/>
              </w:rPr>
              <w:t>。</w:t>
            </w:r>
          </w:p>
          <w:p w14:paraId="7250E1F9">
            <w:pPr>
              <w:spacing w:line="480" w:lineRule="exact"/>
              <w:ind w:firstLine="480" w:firstLineChars="200"/>
              <w:rPr>
                <w:rFonts w:hint="eastAsia" w:eastAsia="宋体"/>
                <w:sz w:val="24"/>
                <w:szCs w:val="32"/>
                <w:lang w:val="en-US" w:eastAsia="zh-CN"/>
              </w:rPr>
            </w:pPr>
            <w:r>
              <w:rPr>
                <w:rFonts w:hint="eastAsia"/>
                <w:sz w:val="24"/>
                <w:szCs w:val="32"/>
                <w:lang w:val="en-US" w:eastAsia="zh-CN"/>
              </w:rPr>
              <w:t>氮氧化物产生量为75.2t/a，产生速率为10.44kg/h，产生浓度为34.8</w:t>
            </w:r>
            <w:r>
              <w:rPr>
                <w:rFonts w:hint="eastAsia"/>
                <w:sz w:val="24"/>
                <w:szCs w:val="32"/>
              </w:rPr>
              <w:t>mg/m</w:t>
            </w:r>
            <w:r>
              <w:rPr>
                <w:rFonts w:hint="eastAsia"/>
                <w:sz w:val="24"/>
                <w:szCs w:val="32"/>
                <w:vertAlign w:val="superscript"/>
              </w:rPr>
              <w:t>3</w:t>
            </w:r>
            <w:r>
              <w:rPr>
                <w:rFonts w:hint="eastAsia"/>
                <w:sz w:val="24"/>
                <w:szCs w:val="32"/>
                <w:lang w:eastAsia="zh-CN"/>
              </w:rPr>
              <w:t>；</w:t>
            </w:r>
            <w:r>
              <w:rPr>
                <w:bCs/>
                <w:sz w:val="24"/>
                <w:szCs w:val="32"/>
              </w:rPr>
              <w:t>DA00</w:t>
            </w:r>
            <w:r>
              <w:rPr>
                <w:rFonts w:hint="eastAsia"/>
                <w:bCs/>
                <w:sz w:val="24"/>
                <w:szCs w:val="32"/>
                <w:lang w:val="en-US" w:eastAsia="zh-CN"/>
              </w:rPr>
              <w:t>2</w:t>
            </w:r>
            <w:r>
              <w:rPr>
                <w:bCs/>
                <w:sz w:val="24"/>
                <w:szCs w:val="32"/>
              </w:rPr>
              <w:t>排气筒</w:t>
            </w:r>
            <w:r>
              <w:rPr>
                <w:rFonts w:hint="eastAsia"/>
                <w:bCs/>
                <w:sz w:val="24"/>
                <w:szCs w:val="32"/>
                <w:lang w:val="en-US" w:eastAsia="zh-CN"/>
              </w:rPr>
              <w:t>排放量为</w:t>
            </w:r>
            <w:r>
              <w:rPr>
                <w:rFonts w:hint="eastAsia"/>
                <w:sz w:val="24"/>
                <w:szCs w:val="32"/>
                <w:lang w:val="en-US" w:eastAsia="zh-CN"/>
              </w:rPr>
              <w:t>37.6t/a，排放速率为5.22kg/h，排放浓度为17.4</w:t>
            </w:r>
            <w:r>
              <w:rPr>
                <w:rFonts w:hint="eastAsia"/>
                <w:sz w:val="24"/>
                <w:szCs w:val="32"/>
              </w:rPr>
              <w:t>mg/m</w:t>
            </w:r>
            <w:r>
              <w:rPr>
                <w:rFonts w:hint="eastAsia"/>
                <w:sz w:val="24"/>
                <w:szCs w:val="32"/>
                <w:vertAlign w:val="superscript"/>
              </w:rPr>
              <w:t>3</w:t>
            </w:r>
            <w:r>
              <w:rPr>
                <w:rFonts w:hint="eastAsia"/>
                <w:bCs/>
                <w:sz w:val="24"/>
                <w:szCs w:val="32"/>
                <w:lang w:val="en-US" w:eastAsia="zh-CN"/>
              </w:rPr>
              <w:t>。</w:t>
            </w:r>
          </w:p>
          <w:p w14:paraId="515FF087">
            <w:pPr>
              <w:pStyle w:val="23"/>
              <w:keepNext w:val="0"/>
              <w:keepLines w:val="0"/>
              <w:pageBreakBefore w:val="0"/>
              <w:widowControl w:val="0"/>
              <w:kinsoku/>
              <w:wordWrap/>
              <w:overflowPunct/>
              <w:topLinePunct w:val="0"/>
              <w:autoSpaceDE/>
              <w:autoSpaceDN/>
              <w:bidi w:val="0"/>
              <w:adjustRightInd/>
              <w:snapToGrid/>
              <w:spacing w:after="0" w:line="480" w:lineRule="exact"/>
              <w:ind w:left="0" w:leftChars="0" w:firstLine="482"/>
              <w:rPr>
                <w:rFonts w:hint="eastAsia"/>
                <w:bCs/>
                <w:sz w:val="24"/>
                <w:szCs w:val="32"/>
                <w:lang w:val="en-US" w:eastAsia="zh-CN"/>
              </w:rPr>
            </w:pPr>
            <w:r>
              <w:rPr>
                <w:rFonts w:hint="eastAsia"/>
                <w:sz w:val="24"/>
                <w:szCs w:val="32"/>
                <w:lang w:val="en-US" w:eastAsia="zh-CN"/>
              </w:rPr>
              <w:t>氟化物产生量为3.7t/a，产生速率为0.52kg/h，产生浓度为1.7</w:t>
            </w:r>
            <w:r>
              <w:rPr>
                <w:rFonts w:hint="eastAsia"/>
                <w:sz w:val="24"/>
                <w:szCs w:val="32"/>
              </w:rPr>
              <w:t>mg/m</w:t>
            </w:r>
            <w:r>
              <w:rPr>
                <w:rFonts w:hint="eastAsia"/>
                <w:sz w:val="24"/>
                <w:szCs w:val="32"/>
                <w:vertAlign w:val="superscript"/>
              </w:rPr>
              <w:t>3</w:t>
            </w:r>
            <w:r>
              <w:rPr>
                <w:rFonts w:hint="eastAsia"/>
                <w:sz w:val="24"/>
                <w:szCs w:val="32"/>
                <w:lang w:eastAsia="zh-CN"/>
              </w:rPr>
              <w:t>；</w:t>
            </w:r>
            <w:r>
              <w:rPr>
                <w:bCs/>
                <w:sz w:val="24"/>
                <w:szCs w:val="32"/>
              </w:rPr>
              <w:t>DA00</w:t>
            </w:r>
            <w:r>
              <w:rPr>
                <w:rFonts w:hint="eastAsia"/>
                <w:bCs/>
                <w:sz w:val="24"/>
                <w:szCs w:val="32"/>
                <w:lang w:val="en-US" w:eastAsia="zh-CN"/>
              </w:rPr>
              <w:t>2</w:t>
            </w:r>
            <w:r>
              <w:rPr>
                <w:bCs/>
                <w:sz w:val="24"/>
                <w:szCs w:val="32"/>
              </w:rPr>
              <w:t>排气筒</w:t>
            </w:r>
            <w:r>
              <w:rPr>
                <w:rFonts w:hint="eastAsia"/>
                <w:bCs/>
                <w:sz w:val="24"/>
                <w:szCs w:val="32"/>
                <w:lang w:val="en-US" w:eastAsia="zh-CN"/>
              </w:rPr>
              <w:t>排放量为</w:t>
            </w:r>
            <w:r>
              <w:rPr>
                <w:rFonts w:hint="eastAsia"/>
                <w:sz w:val="24"/>
                <w:szCs w:val="32"/>
                <w:lang w:val="en-US" w:eastAsia="zh-CN"/>
              </w:rPr>
              <w:t>2.2t/a，排放速率为0.31kg/h，排放浓度为1.1</w:t>
            </w:r>
            <w:r>
              <w:rPr>
                <w:rFonts w:hint="eastAsia"/>
                <w:sz w:val="24"/>
                <w:szCs w:val="32"/>
              </w:rPr>
              <w:t>mg/m</w:t>
            </w:r>
            <w:r>
              <w:rPr>
                <w:rFonts w:hint="eastAsia"/>
                <w:sz w:val="24"/>
                <w:szCs w:val="32"/>
                <w:vertAlign w:val="superscript"/>
              </w:rPr>
              <w:t>3</w:t>
            </w:r>
            <w:r>
              <w:rPr>
                <w:rFonts w:hint="eastAsia"/>
                <w:bCs/>
                <w:sz w:val="24"/>
                <w:szCs w:val="32"/>
                <w:lang w:val="en-US" w:eastAsia="zh-CN"/>
              </w:rPr>
              <w:t>。</w:t>
            </w:r>
          </w:p>
          <w:p w14:paraId="2FC207A4">
            <w:pPr>
              <w:pStyle w:val="23"/>
              <w:keepNext w:val="0"/>
              <w:keepLines w:val="0"/>
              <w:pageBreakBefore w:val="0"/>
              <w:widowControl w:val="0"/>
              <w:kinsoku/>
              <w:wordWrap/>
              <w:overflowPunct/>
              <w:topLinePunct w:val="0"/>
              <w:autoSpaceDE/>
              <w:autoSpaceDN/>
              <w:bidi w:val="0"/>
              <w:adjustRightInd/>
              <w:snapToGrid/>
              <w:spacing w:after="0" w:line="480" w:lineRule="exact"/>
              <w:ind w:left="0" w:leftChars="0" w:firstLine="482"/>
              <w:rPr>
                <w:rFonts w:ascii="Times New Roman" w:hAnsi="Times New Roman" w:cs="Times New Roman"/>
                <w:bCs/>
                <w:sz w:val="24"/>
                <w:szCs w:val="32"/>
              </w:rPr>
            </w:pPr>
            <w:r>
              <w:rPr>
                <w:rFonts w:hint="eastAsia" w:ascii="Times New Roman" w:hAnsi="Times New Roman" w:cs="Times New Roman"/>
                <w:b w:val="0"/>
                <w:bCs w:val="0"/>
                <w:sz w:val="24"/>
                <w:szCs w:val="32"/>
              </w:rPr>
              <w:t>氨逃逸：</w:t>
            </w:r>
            <w:r>
              <w:rPr>
                <w:rFonts w:ascii="Times New Roman" w:hAnsi="Times New Roman" w:cs="Times New Roman"/>
                <w:bCs/>
                <w:sz w:val="24"/>
                <w:szCs w:val="32"/>
              </w:rPr>
              <w:t>项目采取选择性非催化还原法（SNCR）处理工艺，采用的还原剂为</w:t>
            </w:r>
            <w:r>
              <w:rPr>
                <w:rFonts w:hint="eastAsia" w:ascii="Times New Roman" w:hAnsi="Times New Roman" w:cs="Times New Roman"/>
                <w:bCs/>
                <w:sz w:val="24"/>
                <w:szCs w:val="32"/>
              </w:rPr>
              <w:t>尿素</w:t>
            </w:r>
            <w:r>
              <w:rPr>
                <w:rFonts w:ascii="Times New Roman" w:hAnsi="Times New Roman" w:cs="Times New Roman"/>
                <w:bCs/>
                <w:sz w:val="24"/>
                <w:szCs w:val="32"/>
              </w:rPr>
              <w:t>。</w:t>
            </w:r>
            <w:r>
              <w:rPr>
                <w:rFonts w:hint="eastAsia" w:ascii="Times New Roman" w:hAnsi="Times New Roman" w:cs="Times New Roman"/>
                <w:bCs/>
                <w:sz w:val="24"/>
                <w:szCs w:val="32"/>
              </w:rPr>
              <w:t>根据</w:t>
            </w:r>
            <w:r>
              <w:rPr>
                <w:rFonts w:ascii="Times New Roman" w:hAnsi="Times New Roman" w:cs="Times New Roman"/>
                <w:bCs/>
                <w:sz w:val="24"/>
                <w:szCs w:val="32"/>
              </w:rPr>
              <w:t>《烧结砖瓦工业大气污染物治理设施技术要求》（</w:t>
            </w:r>
            <w:r>
              <w:rPr>
                <w:rFonts w:hint="eastAsia" w:ascii="Times New Roman" w:hAnsi="Times New Roman" w:cs="Times New Roman"/>
                <w:bCs/>
                <w:sz w:val="24"/>
                <w:szCs w:val="32"/>
              </w:rPr>
              <w:t>GB/T 42264-2022</w:t>
            </w:r>
            <w:r>
              <w:rPr>
                <w:rFonts w:ascii="Times New Roman" w:hAnsi="Times New Roman" w:cs="Times New Roman"/>
                <w:bCs/>
                <w:sz w:val="24"/>
                <w:szCs w:val="32"/>
              </w:rPr>
              <w:t>）要求：</w:t>
            </w:r>
            <w:r>
              <w:rPr>
                <w:rFonts w:hint="eastAsia" w:ascii="Times New Roman" w:hAnsi="Times New Roman" w:cs="Times New Roman"/>
                <w:bCs/>
                <w:sz w:val="24"/>
                <w:szCs w:val="32"/>
              </w:rPr>
              <w:t>SNCR脱硝</w:t>
            </w:r>
            <w:r>
              <w:rPr>
                <w:rFonts w:ascii="Times New Roman" w:hAnsi="Times New Roman" w:cs="Times New Roman"/>
                <w:bCs/>
                <w:sz w:val="24"/>
                <w:szCs w:val="32"/>
              </w:rPr>
              <w:t>氨逃逸浓度应控制在</w:t>
            </w:r>
            <w:r>
              <w:rPr>
                <w:rFonts w:hint="eastAsia" w:ascii="Times New Roman" w:hAnsi="Times New Roman" w:cs="Times New Roman"/>
                <w:bCs/>
                <w:sz w:val="24"/>
                <w:szCs w:val="32"/>
              </w:rPr>
              <w:t>3</w:t>
            </w:r>
            <w:r>
              <w:rPr>
                <w:rFonts w:ascii="Times New Roman" w:hAnsi="Times New Roman" w:cs="Times New Roman"/>
                <w:bCs/>
                <w:sz w:val="24"/>
                <w:szCs w:val="32"/>
              </w:rPr>
              <w:t>mg/m</w:t>
            </w:r>
            <w:r>
              <w:rPr>
                <w:rFonts w:ascii="Times New Roman" w:hAnsi="Times New Roman" w:cs="Times New Roman"/>
                <w:bCs/>
                <w:sz w:val="24"/>
                <w:szCs w:val="32"/>
                <w:vertAlign w:val="superscript"/>
              </w:rPr>
              <w:t>3</w:t>
            </w:r>
            <w:r>
              <w:rPr>
                <w:rFonts w:ascii="Times New Roman" w:hAnsi="Times New Roman" w:cs="Times New Roman"/>
                <w:bCs/>
                <w:sz w:val="24"/>
                <w:szCs w:val="32"/>
              </w:rPr>
              <w:t>以下。本次取</w:t>
            </w:r>
            <w:r>
              <w:rPr>
                <w:rFonts w:hint="eastAsia" w:ascii="Times New Roman" w:hAnsi="Times New Roman" w:cs="Times New Roman"/>
                <w:bCs/>
                <w:sz w:val="24"/>
                <w:szCs w:val="32"/>
              </w:rPr>
              <w:t>3</w:t>
            </w:r>
            <w:r>
              <w:rPr>
                <w:rFonts w:ascii="Times New Roman" w:hAnsi="Times New Roman" w:cs="Times New Roman"/>
                <w:bCs/>
                <w:sz w:val="24"/>
                <w:szCs w:val="32"/>
              </w:rPr>
              <w:t>mg/m</w:t>
            </w:r>
            <w:r>
              <w:rPr>
                <w:rFonts w:ascii="Times New Roman" w:hAnsi="Times New Roman" w:cs="Times New Roman"/>
                <w:bCs/>
                <w:sz w:val="24"/>
                <w:szCs w:val="32"/>
                <w:vertAlign w:val="superscript"/>
              </w:rPr>
              <w:t>3</w:t>
            </w:r>
            <w:r>
              <w:rPr>
                <w:rFonts w:ascii="Times New Roman" w:hAnsi="Times New Roman" w:cs="Times New Roman"/>
                <w:bCs/>
                <w:sz w:val="24"/>
                <w:szCs w:val="32"/>
              </w:rPr>
              <w:t>进行核算</w:t>
            </w:r>
            <w:r>
              <w:rPr>
                <w:rFonts w:hint="eastAsia" w:ascii="Times New Roman" w:hAnsi="Times New Roman" w:cs="Times New Roman"/>
                <w:bCs/>
                <w:sz w:val="24"/>
                <w:szCs w:val="32"/>
              </w:rPr>
              <w:t>，则氨排放速率为0.</w:t>
            </w:r>
            <w:r>
              <w:rPr>
                <w:rFonts w:hint="eastAsia" w:cs="Times New Roman"/>
                <w:bCs/>
                <w:sz w:val="24"/>
                <w:szCs w:val="32"/>
                <w:lang w:val="en-US" w:eastAsia="zh-CN"/>
              </w:rPr>
              <w:t>9</w:t>
            </w:r>
            <w:r>
              <w:rPr>
                <w:rFonts w:hint="eastAsia" w:ascii="Times New Roman" w:hAnsi="Times New Roman" w:cs="Times New Roman"/>
                <w:bCs/>
                <w:sz w:val="24"/>
                <w:szCs w:val="32"/>
              </w:rPr>
              <w:t>kg/h，排放量为</w:t>
            </w:r>
            <w:r>
              <w:rPr>
                <w:rFonts w:hint="eastAsia" w:cs="Times New Roman"/>
                <w:bCs/>
                <w:sz w:val="24"/>
                <w:szCs w:val="32"/>
                <w:lang w:val="en-US" w:eastAsia="zh-CN"/>
              </w:rPr>
              <w:t>6</w:t>
            </w:r>
            <w:r>
              <w:rPr>
                <w:rFonts w:hint="eastAsia" w:ascii="Times New Roman" w:hAnsi="Times New Roman" w:cs="Times New Roman"/>
                <w:bCs/>
                <w:sz w:val="24"/>
                <w:szCs w:val="32"/>
                <w:lang w:val="en-US" w:eastAsia="zh-CN"/>
              </w:rPr>
              <w:t>.5</w:t>
            </w:r>
            <w:r>
              <w:rPr>
                <w:rFonts w:hint="eastAsia" w:ascii="Times New Roman" w:hAnsi="Times New Roman" w:cs="Times New Roman"/>
                <w:bCs/>
                <w:sz w:val="24"/>
                <w:szCs w:val="32"/>
              </w:rPr>
              <w:t>t/a。</w:t>
            </w:r>
          </w:p>
          <w:p w14:paraId="786131E0">
            <w:pPr>
              <w:spacing w:line="480" w:lineRule="exact"/>
              <w:ind w:firstLine="480" w:firstLineChars="200"/>
              <w:rPr>
                <w:sz w:val="24"/>
                <w:szCs w:val="32"/>
              </w:rPr>
            </w:pPr>
            <w:r>
              <w:rPr>
                <w:sz w:val="24"/>
                <w:szCs w:val="32"/>
              </w:rPr>
              <w:t>(</w:t>
            </w:r>
            <w:r>
              <w:rPr>
                <w:rFonts w:hint="eastAsia"/>
                <w:sz w:val="24"/>
                <w:szCs w:val="32"/>
              </w:rPr>
              <w:t>3</w:t>
            </w:r>
            <w:r>
              <w:rPr>
                <w:sz w:val="24"/>
                <w:szCs w:val="32"/>
              </w:rPr>
              <w:t>)无组织废气</w:t>
            </w:r>
          </w:p>
          <w:p w14:paraId="33DDAC66">
            <w:pPr>
              <w:spacing w:line="480" w:lineRule="exact"/>
              <w:ind w:firstLine="480" w:firstLineChars="200"/>
              <w:rPr>
                <w:sz w:val="24"/>
                <w:szCs w:val="32"/>
              </w:rPr>
            </w:pPr>
            <w:r>
              <w:rPr>
                <w:rFonts w:hint="eastAsia"/>
                <w:sz w:val="24"/>
                <w:szCs w:val="32"/>
              </w:rPr>
              <w:t>1)</w:t>
            </w:r>
            <w:r>
              <w:rPr>
                <w:sz w:val="24"/>
                <w:szCs w:val="32"/>
              </w:rPr>
              <w:t>原料及产品运输道路扬尘</w:t>
            </w:r>
          </w:p>
          <w:p w14:paraId="5AE175AD">
            <w:pPr>
              <w:spacing w:line="480" w:lineRule="exact"/>
              <w:ind w:firstLine="480" w:firstLineChars="200"/>
              <w:rPr>
                <w:sz w:val="24"/>
                <w:szCs w:val="32"/>
              </w:rPr>
            </w:pPr>
            <w:r>
              <w:rPr>
                <w:rFonts w:hint="eastAsia"/>
                <w:sz w:val="24"/>
                <w:szCs w:val="32"/>
              </w:rPr>
              <w:t>原料和产品通过汽车运输，运输过程中会产生一定的扬尘，运输车辆扬尘难以收集处理，评价要求项目单位在运输车辆运输过程中加盖篷布，同时对地面进行定期洒水抑尘。</w:t>
            </w:r>
          </w:p>
          <w:p w14:paraId="35055295">
            <w:pPr>
              <w:spacing w:line="480" w:lineRule="exact"/>
              <w:ind w:firstLine="472" w:firstLineChars="200"/>
              <w:rPr>
                <w:sz w:val="24"/>
                <w:szCs w:val="32"/>
              </w:rPr>
            </w:pPr>
            <w:r>
              <w:rPr>
                <w:rFonts w:hint="eastAsia"/>
                <w:spacing w:val="-2"/>
                <w:sz w:val="24"/>
                <w:szCs w:val="32"/>
              </w:rPr>
              <w:t>2)</w:t>
            </w:r>
            <w:r>
              <w:rPr>
                <w:sz w:val="24"/>
                <w:szCs w:val="32"/>
              </w:rPr>
              <w:t>原料</w:t>
            </w:r>
            <w:r>
              <w:rPr>
                <w:rFonts w:hint="eastAsia"/>
                <w:sz w:val="24"/>
                <w:szCs w:val="32"/>
                <w:lang w:val="en-US" w:eastAsia="zh-CN"/>
              </w:rPr>
              <w:t>卸料</w:t>
            </w:r>
            <w:r>
              <w:rPr>
                <w:sz w:val="24"/>
                <w:szCs w:val="32"/>
              </w:rPr>
              <w:t>粉尘</w:t>
            </w:r>
          </w:p>
          <w:p w14:paraId="112F51FE">
            <w:pPr>
              <w:pStyle w:val="212"/>
              <w:adjustRightInd/>
              <w:spacing w:line="480" w:lineRule="exact"/>
              <w:ind w:left="0" w:right="0"/>
              <w:rPr>
                <w:rFonts w:ascii="Times New Roman" w:hAnsi="Times New Roman"/>
                <w:sz w:val="24"/>
                <w:szCs w:val="24"/>
              </w:rPr>
            </w:pPr>
            <w:r>
              <w:rPr>
                <w:rFonts w:hint="eastAsia" w:ascii="宋体" w:hAnsi="宋体" w:cs="宋体"/>
                <w:sz w:val="24"/>
                <w:szCs w:val="32"/>
              </w:rPr>
              <w:t>外购的煤矸石和建筑渣土经自卸车运送至厂区</w:t>
            </w:r>
            <w:r>
              <w:rPr>
                <w:rFonts w:hint="eastAsia" w:ascii="宋体" w:hAnsi="宋体" w:cs="宋体"/>
                <w:sz w:val="24"/>
                <w:szCs w:val="32"/>
                <w:lang w:val="en-US" w:eastAsia="zh-CN"/>
              </w:rPr>
              <w:t>原料库内</w:t>
            </w:r>
            <w:r>
              <w:rPr>
                <w:rFonts w:hint="eastAsia" w:ascii="宋体" w:hAnsi="宋体" w:cs="宋体"/>
                <w:sz w:val="24"/>
                <w:szCs w:val="32"/>
                <w:lang w:eastAsia="zh-CN"/>
              </w:rPr>
              <w:t>，</w:t>
            </w:r>
            <w:r>
              <w:rPr>
                <w:rFonts w:hint="eastAsia" w:ascii="宋体" w:hAnsi="宋体" w:cs="宋体"/>
                <w:sz w:val="24"/>
                <w:szCs w:val="32"/>
                <w:lang w:val="en-US" w:eastAsia="zh-CN"/>
              </w:rPr>
              <w:t>原料卸料</w:t>
            </w:r>
            <w:r>
              <w:rPr>
                <w:rFonts w:hint="eastAsia" w:ascii="宋体" w:hAnsi="宋体" w:cs="宋体"/>
                <w:sz w:val="24"/>
                <w:szCs w:val="32"/>
              </w:rPr>
              <w:t>过程产生的扬尘，其排放属间歇性无组织排放。项目粉尘产生量根据《逸散性工业粉尘控制技术》一般逸散尘排放源章节中关于物料装卸的产尘系数计算，产尘率在</w:t>
            </w:r>
            <w:r>
              <w:rPr>
                <w:rFonts w:hint="eastAsia" w:ascii="Times New Roman" w:hAnsi="Times New Roman" w:cs="宋体"/>
                <w:sz w:val="24"/>
                <w:szCs w:val="32"/>
              </w:rPr>
              <w:t>0.02kg/t~0.48kg/t</w:t>
            </w:r>
            <w:r>
              <w:rPr>
                <w:rFonts w:hint="eastAsia" w:ascii="宋体" w:hAnsi="宋体" w:cs="宋体"/>
                <w:sz w:val="24"/>
                <w:szCs w:val="32"/>
              </w:rPr>
              <w:t>之间，本项目产尘率取</w:t>
            </w:r>
            <w:r>
              <w:rPr>
                <w:rFonts w:hint="eastAsia" w:ascii="Times New Roman" w:hAnsi="Times New Roman" w:cs="宋体"/>
                <w:sz w:val="24"/>
                <w:szCs w:val="32"/>
              </w:rPr>
              <w:t>0.02kg/t</w:t>
            </w:r>
            <w:r>
              <w:rPr>
                <w:rFonts w:hint="eastAsia" w:ascii="宋体" w:hAnsi="宋体" w:cs="宋体"/>
                <w:sz w:val="24"/>
                <w:szCs w:val="32"/>
              </w:rPr>
              <w:t>，煤矸石使用量为</w:t>
            </w:r>
            <w:r>
              <w:rPr>
                <w:rFonts w:hint="eastAsia" w:ascii="Times New Roman" w:hAnsi="Times New Roman" w:cs="宋体"/>
                <w:sz w:val="24"/>
                <w:szCs w:val="32"/>
                <w:lang w:val="en-US" w:eastAsia="zh-CN"/>
              </w:rPr>
              <w:t>19.2</w:t>
            </w:r>
            <w:r>
              <w:rPr>
                <w:rFonts w:hint="eastAsia" w:ascii="宋体" w:hAnsi="宋体" w:cs="宋体"/>
                <w:sz w:val="24"/>
                <w:szCs w:val="32"/>
              </w:rPr>
              <w:t>万</w:t>
            </w:r>
            <w:r>
              <w:rPr>
                <w:rFonts w:hint="eastAsia" w:ascii="Times New Roman" w:hAnsi="Times New Roman" w:cs="宋体"/>
                <w:sz w:val="24"/>
                <w:szCs w:val="32"/>
              </w:rPr>
              <w:t>t/a</w:t>
            </w:r>
            <w:r>
              <w:rPr>
                <w:rFonts w:hint="eastAsia" w:ascii="宋体" w:hAnsi="宋体" w:cs="宋体"/>
                <w:sz w:val="24"/>
                <w:szCs w:val="32"/>
              </w:rPr>
              <w:t>，建筑渣土使用量为</w:t>
            </w:r>
            <w:r>
              <w:rPr>
                <w:rFonts w:hint="eastAsia" w:ascii="Times New Roman" w:hAnsi="Times New Roman" w:cs="宋体"/>
                <w:sz w:val="24"/>
                <w:szCs w:val="32"/>
                <w:lang w:val="en-US" w:eastAsia="zh-CN"/>
              </w:rPr>
              <w:t>9.6</w:t>
            </w:r>
            <w:r>
              <w:rPr>
                <w:rFonts w:hint="eastAsia" w:ascii="宋体" w:hAnsi="宋体" w:cs="宋体"/>
                <w:sz w:val="24"/>
                <w:szCs w:val="32"/>
              </w:rPr>
              <w:t>万</w:t>
            </w:r>
            <w:r>
              <w:rPr>
                <w:rFonts w:hint="eastAsia" w:ascii="Times New Roman" w:hAnsi="Times New Roman" w:cs="宋体"/>
                <w:sz w:val="24"/>
                <w:szCs w:val="32"/>
              </w:rPr>
              <w:t>t/a</w:t>
            </w:r>
            <w:r>
              <w:rPr>
                <w:rFonts w:hint="eastAsia" w:ascii="宋体" w:hAnsi="宋体" w:cs="宋体"/>
                <w:sz w:val="24"/>
                <w:szCs w:val="32"/>
              </w:rPr>
              <w:t>，粘土使用量为</w:t>
            </w:r>
            <w:r>
              <w:rPr>
                <w:rFonts w:hint="eastAsia" w:ascii="Times New Roman" w:hAnsi="Times New Roman" w:cs="宋体"/>
                <w:sz w:val="24"/>
                <w:szCs w:val="32"/>
                <w:lang w:val="en-US" w:eastAsia="zh-CN"/>
              </w:rPr>
              <w:t>3.2</w:t>
            </w:r>
            <w:r>
              <w:rPr>
                <w:rFonts w:hint="eastAsia" w:ascii="宋体" w:hAnsi="宋体" w:cs="宋体"/>
                <w:sz w:val="24"/>
                <w:szCs w:val="32"/>
              </w:rPr>
              <w:t>万</w:t>
            </w:r>
            <w:r>
              <w:rPr>
                <w:rFonts w:hint="eastAsia" w:ascii="Times New Roman" w:hAnsi="Times New Roman" w:cs="宋体"/>
                <w:sz w:val="24"/>
                <w:szCs w:val="32"/>
              </w:rPr>
              <w:t>t/a</w:t>
            </w:r>
            <w:r>
              <w:rPr>
                <w:rFonts w:hint="eastAsia" w:ascii="宋体" w:hAnsi="宋体" w:cs="宋体"/>
                <w:sz w:val="24"/>
                <w:szCs w:val="32"/>
              </w:rPr>
              <w:t>，则项目原料堆放、装卸过程产生的粉尘量为</w:t>
            </w:r>
            <w:r>
              <w:rPr>
                <w:rFonts w:hint="eastAsia" w:ascii="Times New Roman" w:hAnsi="Times New Roman" w:cs="宋体"/>
                <w:sz w:val="24"/>
                <w:szCs w:val="32"/>
              </w:rPr>
              <w:t>6.</w:t>
            </w:r>
            <w:r>
              <w:rPr>
                <w:rFonts w:hint="eastAsia" w:ascii="Times New Roman" w:hAnsi="Times New Roman" w:cs="宋体"/>
                <w:sz w:val="24"/>
                <w:szCs w:val="32"/>
                <w:lang w:val="en-US" w:eastAsia="zh-CN"/>
              </w:rPr>
              <w:t>4</w:t>
            </w:r>
            <w:r>
              <w:rPr>
                <w:rFonts w:hint="eastAsia" w:ascii="Times New Roman" w:hAnsi="Times New Roman" w:cs="宋体"/>
                <w:sz w:val="24"/>
                <w:szCs w:val="32"/>
              </w:rPr>
              <w:t>t/a</w:t>
            </w:r>
            <w:r>
              <w:rPr>
                <w:rFonts w:hint="eastAsia" w:ascii="宋体" w:hAnsi="宋体" w:cs="宋体"/>
                <w:sz w:val="24"/>
                <w:szCs w:val="32"/>
              </w:rPr>
              <w:t>，</w:t>
            </w:r>
            <w:r>
              <w:rPr>
                <w:rFonts w:hint="eastAsia" w:ascii="Times New Roman" w:hAnsi="Times New Roman"/>
                <w:sz w:val="24"/>
                <w:szCs w:val="24"/>
              </w:rPr>
              <w:t>通过采取洒水降尘等措施，可降低70%的粉尘量，原料装卸粉尘产生量为1.</w:t>
            </w:r>
            <w:r>
              <w:rPr>
                <w:rFonts w:hint="eastAsia" w:ascii="Times New Roman" w:hAnsi="Times New Roman"/>
                <w:sz w:val="24"/>
                <w:szCs w:val="24"/>
                <w:lang w:val="en-US" w:eastAsia="zh-CN"/>
              </w:rPr>
              <w:t>92</w:t>
            </w:r>
            <w:r>
              <w:rPr>
                <w:rFonts w:hint="eastAsia" w:ascii="Times New Roman" w:hAnsi="Times New Roman"/>
                <w:sz w:val="24"/>
                <w:szCs w:val="24"/>
              </w:rPr>
              <w:t>t/a。</w:t>
            </w:r>
          </w:p>
          <w:p w14:paraId="7A09AE35">
            <w:pPr>
              <w:spacing w:line="480" w:lineRule="exact"/>
              <w:ind w:firstLine="480" w:firstLineChars="200"/>
              <w:rPr>
                <w:sz w:val="24"/>
                <w:szCs w:val="32"/>
              </w:rPr>
            </w:pPr>
            <w:r>
              <w:rPr>
                <w:rFonts w:hint="eastAsia"/>
                <w:sz w:val="24"/>
                <w:szCs w:val="32"/>
              </w:rPr>
              <w:t>3)</w:t>
            </w:r>
            <w:r>
              <w:rPr>
                <w:rFonts w:hint="eastAsia"/>
                <w:sz w:val="24"/>
                <w:szCs w:val="32"/>
                <w:lang w:val="en-US" w:eastAsia="zh-CN"/>
              </w:rPr>
              <w:t>上料、</w:t>
            </w:r>
            <w:r>
              <w:rPr>
                <w:rFonts w:hint="eastAsia"/>
                <w:sz w:val="24"/>
                <w:szCs w:val="32"/>
              </w:rPr>
              <w:t>破碎、筛分未收集粉尘</w:t>
            </w:r>
          </w:p>
          <w:p w14:paraId="74F7F969">
            <w:pPr>
              <w:spacing w:line="480" w:lineRule="exact"/>
              <w:ind w:firstLine="480" w:firstLineChars="200"/>
              <w:rPr>
                <w:sz w:val="24"/>
                <w:szCs w:val="32"/>
              </w:rPr>
            </w:pPr>
            <w:r>
              <w:rPr>
                <w:rFonts w:hint="eastAsia"/>
                <w:sz w:val="24"/>
                <w:szCs w:val="32"/>
              </w:rPr>
              <w:t>根据前文，项目破碎、筛分采用集气罩未收集粉尘产生量为</w:t>
            </w:r>
            <w:r>
              <w:rPr>
                <w:rFonts w:hint="eastAsia"/>
                <w:sz w:val="24"/>
                <w:szCs w:val="32"/>
                <w:lang w:val="en-US" w:eastAsia="zh-CN"/>
              </w:rPr>
              <w:t>5.13</w:t>
            </w:r>
            <w:r>
              <w:rPr>
                <w:rFonts w:hint="eastAsia"/>
                <w:sz w:val="24"/>
                <w:szCs w:val="32"/>
              </w:rPr>
              <w:t>t/a(</w:t>
            </w:r>
            <w:r>
              <w:rPr>
                <w:rFonts w:hint="eastAsia"/>
                <w:sz w:val="24"/>
                <w:szCs w:val="32"/>
                <w:lang w:val="en-US" w:eastAsia="zh-CN"/>
              </w:rPr>
              <w:t>4</w:t>
            </w:r>
            <w:r>
              <w:rPr>
                <w:rFonts w:hint="eastAsia"/>
                <w:sz w:val="24"/>
                <w:szCs w:val="32"/>
              </w:rPr>
              <w:t>kg/h)，生产车间密闭，采取洒水降尘等措施，可降低70%，则无组织排放量为</w:t>
            </w:r>
            <w:r>
              <w:rPr>
                <w:rFonts w:hint="eastAsia"/>
                <w:sz w:val="24"/>
                <w:szCs w:val="32"/>
                <w:lang w:val="en-US" w:eastAsia="zh-CN"/>
              </w:rPr>
              <w:t>1.54</w:t>
            </w:r>
            <w:r>
              <w:rPr>
                <w:rFonts w:hint="eastAsia"/>
                <w:sz w:val="24"/>
                <w:szCs w:val="32"/>
              </w:rPr>
              <w:t>t/a(</w:t>
            </w:r>
            <w:r>
              <w:rPr>
                <w:rFonts w:hint="eastAsia"/>
                <w:sz w:val="24"/>
                <w:szCs w:val="32"/>
                <w:lang w:val="en-US" w:eastAsia="zh-CN"/>
              </w:rPr>
              <w:t>1.2</w:t>
            </w:r>
            <w:r>
              <w:rPr>
                <w:rFonts w:hint="eastAsia"/>
                <w:sz w:val="24"/>
                <w:szCs w:val="32"/>
              </w:rPr>
              <w:t>kg/h)。</w:t>
            </w:r>
          </w:p>
          <w:p w14:paraId="4CDAD704">
            <w:pPr>
              <w:spacing w:line="480" w:lineRule="exact"/>
              <w:ind w:firstLine="480" w:firstLineChars="200"/>
              <w:rPr>
                <w:sz w:val="24"/>
              </w:rPr>
            </w:pPr>
            <w:r>
              <w:rPr>
                <w:sz w:val="24"/>
              </w:rPr>
              <w:t>(</w:t>
            </w:r>
            <w:r>
              <w:rPr>
                <w:rFonts w:hint="eastAsia"/>
                <w:sz w:val="24"/>
              </w:rPr>
              <w:t>4</w:t>
            </w:r>
            <w:r>
              <w:rPr>
                <w:sz w:val="24"/>
              </w:rPr>
              <w:t>)监测要求</w:t>
            </w:r>
          </w:p>
          <w:p w14:paraId="118696AB">
            <w:pPr>
              <w:autoSpaceDE w:val="0"/>
              <w:autoSpaceDN w:val="0"/>
              <w:spacing w:line="480" w:lineRule="exact"/>
              <w:ind w:firstLine="480" w:firstLineChars="200"/>
              <w:rPr>
                <w:sz w:val="24"/>
              </w:rPr>
            </w:pPr>
            <w:r>
              <w:rPr>
                <w:sz w:val="24"/>
              </w:rPr>
              <w:t>根据《排污单位自行监测技术指南</w:t>
            </w:r>
            <w:r>
              <w:rPr>
                <w:rFonts w:hint="eastAsia"/>
                <w:sz w:val="24"/>
              </w:rPr>
              <w:t>总则</w:t>
            </w:r>
            <w:r>
              <w:rPr>
                <w:sz w:val="24"/>
              </w:rPr>
              <w:t>》(</w:t>
            </w:r>
            <w:r>
              <w:rPr>
                <w:rFonts w:hint="eastAsia"/>
                <w:sz w:val="24"/>
              </w:rPr>
              <w:t>HJ819-2017</w:t>
            </w:r>
            <w:r>
              <w:rPr>
                <w:sz w:val="24"/>
              </w:rPr>
              <w:t>)、《排污单位自行监测技术指南</w:t>
            </w:r>
            <w:r>
              <w:rPr>
                <w:rFonts w:hint="eastAsia"/>
                <w:sz w:val="24"/>
              </w:rPr>
              <w:t xml:space="preserve"> </w:t>
            </w:r>
            <w:r>
              <w:rPr>
                <w:sz w:val="24"/>
              </w:rPr>
              <w:t>砖瓦工业》(HJ1254-2022)规范要求，提出废气污染源监测计划如下：</w:t>
            </w:r>
          </w:p>
          <w:p w14:paraId="1975D298">
            <w:pPr>
              <w:spacing w:line="480" w:lineRule="exact"/>
              <w:jc w:val="center"/>
              <w:rPr>
                <w:rFonts w:hint="eastAsia" w:ascii="黑体" w:hAnsi="黑体" w:eastAsia="黑体" w:cs="黑体"/>
                <w:sz w:val="24"/>
              </w:rPr>
            </w:pPr>
            <w:r>
              <w:rPr>
                <w:rFonts w:hint="eastAsia" w:ascii="黑体" w:hAnsi="黑体" w:eastAsia="黑体" w:cs="黑体"/>
                <w:sz w:val="24"/>
              </w:rPr>
              <w:t>表4-6  大气污染物自行监测计划一览表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1509"/>
              <w:gridCol w:w="2326"/>
              <w:gridCol w:w="1275"/>
              <w:gridCol w:w="2522"/>
            </w:tblGrid>
            <w:tr w14:paraId="76BA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noWrap w:val="0"/>
                  <w:vAlign w:val="center"/>
                </w:tcPr>
                <w:p w14:paraId="57ACEC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类别</w:t>
                  </w:r>
                </w:p>
              </w:tc>
              <w:tc>
                <w:tcPr>
                  <w:tcW w:w="883" w:type="pct"/>
                  <w:noWrap w:val="0"/>
                  <w:vAlign w:val="center"/>
                </w:tcPr>
                <w:p w14:paraId="535118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监测点位</w:t>
                  </w:r>
                </w:p>
              </w:tc>
              <w:tc>
                <w:tcPr>
                  <w:tcW w:w="1361" w:type="pct"/>
                  <w:noWrap w:val="0"/>
                  <w:vAlign w:val="center"/>
                </w:tcPr>
                <w:p w14:paraId="340588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监测指标</w:t>
                  </w:r>
                </w:p>
              </w:tc>
              <w:tc>
                <w:tcPr>
                  <w:tcW w:w="746" w:type="pct"/>
                  <w:noWrap w:val="0"/>
                  <w:vAlign w:val="center"/>
                </w:tcPr>
                <w:p w14:paraId="15E09D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监测频次</w:t>
                  </w:r>
                </w:p>
              </w:tc>
              <w:tc>
                <w:tcPr>
                  <w:tcW w:w="1476" w:type="pct"/>
                  <w:noWrap w:val="0"/>
                  <w:vAlign w:val="center"/>
                </w:tcPr>
                <w:p w14:paraId="090A9B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执行标准</w:t>
                  </w:r>
                </w:p>
              </w:tc>
            </w:tr>
            <w:tr w14:paraId="6DAA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Merge w:val="restart"/>
                  <w:noWrap w:val="0"/>
                  <w:vAlign w:val="center"/>
                </w:tcPr>
                <w:p w14:paraId="1F9A97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废气</w:t>
                  </w:r>
                </w:p>
              </w:tc>
              <w:tc>
                <w:tcPr>
                  <w:tcW w:w="883" w:type="pct"/>
                  <w:noWrap w:val="0"/>
                  <w:vAlign w:val="center"/>
                </w:tcPr>
                <w:p w14:paraId="05463D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DA00</w:t>
                  </w:r>
                  <w:r>
                    <w:rPr>
                      <w:rFonts w:hint="eastAsia"/>
                      <w:szCs w:val="21"/>
                    </w:rPr>
                    <w:t>1</w:t>
                  </w:r>
                </w:p>
              </w:tc>
              <w:tc>
                <w:tcPr>
                  <w:tcW w:w="1361" w:type="pct"/>
                  <w:noWrap w:val="0"/>
                  <w:vAlign w:val="center"/>
                </w:tcPr>
                <w:p w14:paraId="6828D6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bCs/>
                      <w:spacing w:val="8"/>
                      <w:szCs w:val="21"/>
                    </w:rPr>
                    <w:t>颗粒物</w:t>
                  </w:r>
                </w:p>
              </w:tc>
              <w:tc>
                <w:tcPr>
                  <w:tcW w:w="746" w:type="pct"/>
                  <w:noWrap w:val="0"/>
                  <w:vAlign w:val="center"/>
                </w:tcPr>
                <w:p w14:paraId="769C2A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1次/年</w:t>
                  </w:r>
                </w:p>
              </w:tc>
              <w:tc>
                <w:tcPr>
                  <w:tcW w:w="1476" w:type="pct"/>
                  <w:vMerge w:val="restart"/>
                  <w:noWrap w:val="0"/>
                  <w:vAlign w:val="center"/>
                </w:tcPr>
                <w:p w14:paraId="1B0BE3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《砖瓦工业大气污染物排放标准》(DB34/4362-2023)</w:t>
                  </w:r>
                </w:p>
              </w:tc>
            </w:tr>
            <w:tr w14:paraId="6442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Merge w:val="continue"/>
                  <w:noWrap w:val="0"/>
                  <w:vAlign w:val="center"/>
                </w:tcPr>
                <w:p w14:paraId="6D4CA8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p>
              </w:tc>
              <w:tc>
                <w:tcPr>
                  <w:tcW w:w="883" w:type="pct"/>
                  <w:vMerge w:val="restart"/>
                  <w:noWrap w:val="0"/>
                  <w:vAlign w:val="center"/>
                </w:tcPr>
                <w:p w14:paraId="170595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DA00</w:t>
                  </w:r>
                  <w:r>
                    <w:rPr>
                      <w:rFonts w:hint="eastAsia"/>
                      <w:szCs w:val="21"/>
                    </w:rPr>
                    <w:t>2</w:t>
                  </w:r>
                </w:p>
              </w:tc>
              <w:tc>
                <w:tcPr>
                  <w:tcW w:w="1361" w:type="pct"/>
                  <w:noWrap w:val="0"/>
                  <w:vAlign w:val="center"/>
                </w:tcPr>
                <w:p w14:paraId="4FCA56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pacing w:val="8"/>
                      <w:szCs w:val="21"/>
                    </w:rPr>
                  </w:pPr>
                  <w:r>
                    <w:rPr>
                      <w:bCs/>
                      <w:spacing w:val="8"/>
                      <w:szCs w:val="21"/>
                    </w:rPr>
                    <w:t>颗粒物</w:t>
                  </w:r>
                </w:p>
              </w:tc>
              <w:tc>
                <w:tcPr>
                  <w:tcW w:w="746" w:type="pct"/>
                  <w:noWrap w:val="0"/>
                  <w:vAlign w:val="center"/>
                </w:tcPr>
                <w:p w14:paraId="2BFCD0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highlight w:val="red"/>
                    </w:rPr>
                  </w:pPr>
                  <w:r>
                    <w:rPr>
                      <w:szCs w:val="21"/>
                    </w:rPr>
                    <w:t>1次/半年</w:t>
                  </w:r>
                  <w:bookmarkStart w:id="19" w:name="OLE_LINK54"/>
                  <w:bookmarkStart w:id="20" w:name="OLE_LINK55"/>
                  <w:r>
                    <w:rPr>
                      <w:szCs w:val="21"/>
                      <w:vertAlign w:val="superscript"/>
                    </w:rPr>
                    <w:t>a</w:t>
                  </w:r>
                  <w:bookmarkEnd w:id="19"/>
                  <w:bookmarkEnd w:id="20"/>
                </w:p>
              </w:tc>
              <w:tc>
                <w:tcPr>
                  <w:tcW w:w="1476" w:type="pct"/>
                  <w:vMerge w:val="continue"/>
                  <w:noWrap w:val="0"/>
                  <w:vAlign w:val="center"/>
                </w:tcPr>
                <w:p w14:paraId="7D469E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p>
              </w:tc>
            </w:tr>
            <w:tr w14:paraId="57E6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14:paraId="78D0B39D">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883" w:type="pct"/>
                  <w:vMerge w:val="continue"/>
                  <w:noWrap w:val="0"/>
                  <w:vAlign w:val="center"/>
                </w:tcPr>
                <w:p w14:paraId="026257CE">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1361" w:type="pct"/>
                  <w:noWrap w:val="0"/>
                  <w:vAlign w:val="center"/>
                </w:tcPr>
                <w:p w14:paraId="4F5308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pacing w:val="8"/>
                      <w:szCs w:val="21"/>
                    </w:rPr>
                  </w:pPr>
                  <w:r>
                    <w:rPr>
                      <w:bCs/>
                      <w:spacing w:val="8"/>
                      <w:szCs w:val="21"/>
                    </w:rPr>
                    <w:t>二氧化硫</w:t>
                  </w:r>
                </w:p>
              </w:tc>
              <w:tc>
                <w:tcPr>
                  <w:tcW w:w="746" w:type="pct"/>
                  <w:noWrap w:val="0"/>
                  <w:vAlign w:val="center"/>
                </w:tcPr>
                <w:p w14:paraId="7B593C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highlight w:val="red"/>
                    </w:rPr>
                  </w:pPr>
                  <w:r>
                    <w:rPr>
                      <w:szCs w:val="21"/>
                    </w:rPr>
                    <w:t>1次/半年</w:t>
                  </w:r>
                  <w:r>
                    <w:rPr>
                      <w:szCs w:val="21"/>
                      <w:vertAlign w:val="superscript"/>
                    </w:rPr>
                    <w:t>a</w:t>
                  </w:r>
                </w:p>
              </w:tc>
              <w:tc>
                <w:tcPr>
                  <w:tcW w:w="1476" w:type="pct"/>
                  <w:vMerge w:val="continue"/>
                  <w:noWrap w:val="0"/>
                  <w:vAlign w:val="center"/>
                </w:tcPr>
                <w:p w14:paraId="0209B55E">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r>
            <w:tr w14:paraId="2550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center"/>
                </w:tcPr>
                <w:p w14:paraId="36BBA590">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883" w:type="pct"/>
                  <w:vMerge w:val="continue"/>
                  <w:noWrap w:val="0"/>
                  <w:vAlign w:val="center"/>
                </w:tcPr>
                <w:p w14:paraId="7913D42A">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1361" w:type="pct"/>
                  <w:noWrap w:val="0"/>
                  <w:vAlign w:val="center"/>
                </w:tcPr>
                <w:p w14:paraId="532362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pacing w:val="8"/>
                      <w:szCs w:val="21"/>
                    </w:rPr>
                  </w:pPr>
                  <w:r>
                    <w:rPr>
                      <w:bCs/>
                      <w:spacing w:val="8"/>
                      <w:szCs w:val="21"/>
                    </w:rPr>
                    <w:t>氮氧化物</w:t>
                  </w:r>
                </w:p>
              </w:tc>
              <w:tc>
                <w:tcPr>
                  <w:tcW w:w="746" w:type="pct"/>
                  <w:noWrap w:val="0"/>
                  <w:vAlign w:val="center"/>
                </w:tcPr>
                <w:p w14:paraId="0B567D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highlight w:val="red"/>
                    </w:rPr>
                  </w:pPr>
                  <w:r>
                    <w:rPr>
                      <w:szCs w:val="21"/>
                    </w:rPr>
                    <w:t>1次/半年</w:t>
                  </w:r>
                  <w:r>
                    <w:rPr>
                      <w:szCs w:val="21"/>
                      <w:vertAlign w:val="superscript"/>
                    </w:rPr>
                    <w:t>a</w:t>
                  </w:r>
                </w:p>
              </w:tc>
              <w:tc>
                <w:tcPr>
                  <w:tcW w:w="1476" w:type="pct"/>
                  <w:vMerge w:val="continue"/>
                  <w:noWrap w:val="0"/>
                  <w:vAlign w:val="center"/>
                </w:tcPr>
                <w:p w14:paraId="698C3CFC">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r>
            <w:tr w14:paraId="31D9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0" w:type="auto"/>
                  <w:vMerge w:val="continue"/>
                  <w:noWrap w:val="0"/>
                  <w:vAlign w:val="center"/>
                </w:tcPr>
                <w:p w14:paraId="26EE9234">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883" w:type="pct"/>
                  <w:vMerge w:val="continue"/>
                  <w:noWrap w:val="0"/>
                  <w:vAlign w:val="center"/>
                </w:tcPr>
                <w:p w14:paraId="22A5BF9A">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1361" w:type="pct"/>
                  <w:noWrap w:val="0"/>
                  <w:vAlign w:val="center"/>
                </w:tcPr>
                <w:p w14:paraId="780C1D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pacing w:val="8"/>
                      <w:szCs w:val="21"/>
                    </w:rPr>
                  </w:pPr>
                  <w:r>
                    <w:rPr>
                      <w:bCs/>
                      <w:spacing w:val="8"/>
                      <w:szCs w:val="21"/>
                    </w:rPr>
                    <w:t>氟化物</w:t>
                  </w:r>
                </w:p>
              </w:tc>
              <w:tc>
                <w:tcPr>
                  <w:tcW w:w="746" w:type="pct"/>
                  <w:noWrap w:val="0"/>
                  <w:vAlign w:val="center"/>
                </w:tcPr>
                <w:p w14:paraId="485A7A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1次/半年</w:t>
                  </w:r>
                </w:p>
              </w:tc>
              <w:tc>
                <w:tcPr>
                  <w:tcW w:w="1476" w:type="pct"/>
                  <w:vMerge w:val="continue"/>
                  <w:noWrap w:val="0"/>
                  <w:vAlign w:val="center"/>
                </w:tcPr>
                <w:p w14:paraId="531F7034">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r>
            <w:tr w14:paraId="55BC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0" w:type="auto"/>
                  <w:vMerge w:val="continue"/>
                  <w:noWrap w:val="0"/>
                  <w:vAlign w:val="center"/>
                </w:tcPr>
                <w:p w14:paraId="153063FE">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883" w:type="pct"/>
                  <w:vMerge w:val="continue"/>
                  <w:noWrap w:val="0"/>
                  <w:vAlign w:val="center"/>
                </w:tcPr>
                <w:p w14:paraId="40F198E2">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1361" w:type="pct"/>
                  <w:noWrap w:val="0"/>
                  <w:vAlign w:val="center"/>
                </w:tcPr>
                <w:p w14:paraId="432B34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bCs/>
                      <w:spacing w:val="8"/>
                      <w:szCs w:val="21"/>
                      <w:lang w:val="en-US" w:eastAsia="zh-CN"/>
                    </w:rPr>
                  </w:pPr>
                  <w:r>
                    <w:rPr>
                      <w:rFonts w:hint="eastAsia"/>
                      <w:bCs/>
                      <w:spacing w:val="8"/>
                      <w:szCs w:val="21"/>
                      <w:lang w:val="en-US" w:eastAsia="zh-CN"/>
                    </w:rPr>
                    <w:t>氨</w:t>
                  </w:r>
                </w:p>
              </w:tc>
              <w:tc>
                <w:tcPr>
                  <w:tcW w:w="746" w:type="pct"/>
                  <w:noWrap w:val="0"/>
                  <w:vAlign w:val="center"/>
                </w:tcPr>
                <w:p w14:paraId="27B694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1次/半年</w:t>
                  </w:r>
                </w:p>
              </w:tc>
              <w:tc>
                <w:tcPr>
                  <w:tcW w:w="1476" w:type="pct"/>
                  <w:vMerge w:val="continue"/>
                  <w:noWrap w:val="0"/>
                  <w:vAlign w:val="center"/>
                </w:tcPr>
                <w:p w14:paraId="64CADA8A">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r>
            <w:tr w14:paraId="6D98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0" w:type="auto"/>
                  <w:vMerge w:val="continue"/>
                  <w:noWrap w:val="0"/>
                  <w:vAlign w:val="center"/>
                </w:tcPr>
                <w:p w14:paraId="3E488518">
                  <w:pPr>
                    <w:keepNext w:val="0"/>
                    <w:keepLines w:val="0"/>
                    <w:pageBreakBefore w:val="0"/>
                    <w:widowControl w:val="0"/>
                    <w:kinsoku/>
                    <w:wordWrap/>
                    <w:overflowPunct/>
                    <w:topLinePunct w:val="0"/>
                    <w:autoSpaceDE/>
                    <w:autoSpaceDN/>
                    <w:bidi w:val="0"/>
                    <w:adjustRightInd/>
                    <w:snapToGrid/>
                    <w:spacing w:line="320" w:lineRule="exact"/>
                    <w:textAlignment w:val="auto"/>
                    <w:rPr>
                      <w:szCs w:val="21"/>
                    </w:rPr>
                  </w:pPr>
                </w:p>
              </w:tc>
              <w:tc>
                <w:tcPr>
                  <w:tcW w:w="883" w:type="pct"/>
                  <w:noWrap w:val="0"/>
                  <w:vAlign w:val="center"/>
                </w:tcPr>
                <w:p w14:paraId="4E0C82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厂界</w:t>
                  </w:r>
                </w:p>
              </w:tc>
              <w:tc>
                <w:tcPr>
                  <w:tcW w:w="1361" w:type="pct"/>
                  <w:noWrap w:val="0"/>
                  <w:vAlign w:val="center"/>
                </w:tcPr>
                <w:p w14:paraId="7427D0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Cs/>
                      <w:spacing w:val="8"/>
                      <w:szCs w:val="21"/>
                    </w:rPr>
                  </w:pPr>
                  <w:r>
                    <w:rPr>
                      <w:bCs/>
                      <w:spacing w:val="8"/>
                      <w:szCs w:val="21"/>
                    </w:rPr>
                    <w:t>颗粒物、氟化物</w:t>
                  </w:r>
                  <w:r>
                    <w:rPr>
                      <w:rFonts w:hint="eastAsia"/>
                      <w:bCs/>
                      <w:spacing w:val="8"/>
                      <w:szCs w:val="21"/>
                    </w:rPr>
                    <w:t>、</w:t>
                  </w:r>
                  <w:r>
                    <w:rPr>
                      <w:bCs/>
                      <w:spacing w:val="8"/>
                      <w:szCs w:val="21"/>
                    </w:rPr>
                    <w:t>二氧化硫</w:t>
                  </w:r>
                </w:p>
              </w:tc>
              <w:tc>
                <w:tcPr>
                  <w:tcW w:w="746" w:type="pct"/>
                  <w:noWrap w:val="0"/>
                  <w:vAlign w:val="center"/>
                </w:tcPr>
                <w:p w14:paraId="6BB671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1次/年</w:t>
                  </w:r>
                </w:p>
              </w:tc>
              <w:tc>
                <w:tcPr>
                  <w:tcW w:w="1476" w:type="pct"/>
                  <w:noWrap w:val="0"/>
                  <w:vAlign w:val="center"/>
                </w:tcPr>
                <w:p w14:paraId="394501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Cs w:val="21"/>
                    </w:rPr>
                  </w:pPr>
                  <w:r>
                    <w:rPr>
                      <w:szCs w:val="21"/>
                    </w:rPr>
                    <w:t>《砖瓦工业大气污染物排放标准》(DB34/4362-2023)</w:t>
                  </w:r>
                </w:p>
              </w:tc>
            </w:tr>
          </w:tbl>
          <w:p w14:paraId="79E6F09B">
            <w:pPr>
              <w:spacing w:line="360" w:lineRule="auto"/>
              <w:ind w:firstLine="420" w:firstLineChars="200"/>
              <w:rPr>
                <w:rFonts w:hint="eastAsia"/>
                <w:bCs/>
                <w:szCs w:val="21"/>
              </w:rPr>
            </w:pPr>
            <w:r>
              <w:rPr>
                <w:rFonts w:hint="eastAsia"/>
                <w:bCs/>
                <w:szCs w:val="21"/>
              </w:rPr>
              <w:t>注：现有项目DA002排气筒颗粒物、二氧化硫、氮氧化物已设置自动监测。</w:t>
            </w:r>
          </w:p>
          <w:p w14:paraId="036233B3">
            <w:pPr>
              <w:spacing w:line="480" w:lineRule="exact"/>
              <w:ind w:firstLine="472" w:firstLineChars="196"/>
              <w:rPr>
                <w:b/>
                <w:bCs/>
                <w:sz w:val="24"/>
              </w:rPr>
            </w:pPr>
          </w:p>
          <w:p w14:paraId="2D859A54">
            <w:pPr>
              <w:spacing w:line="480" w:lineRule="exact"/>
              <w:ind w:firstLine="470" w:firstLineChars="196"/>
              <w:rPr>
                <w:sz w:val="24"/>
              </w:rPr>
            </w:pPr>
            <w:r>
              <w:rPr>
                <w:sz w:val="24"/>
              </w:rPr>
              <w:t>(</w:t>
            </w:r>
            <w:r>
              <w:rPr>
                <w:rFonts w:hint="eastAsia"/>
                <w:sz w:val="24"/>
              </w:rPr>
              <w:t>5</w:t>
            </w:r>
            <w:r>
              <w:rPr>
                <w:sz w:val="24"/>
              </w:rPr>
              <w:t>)非正常工况分析</w:t>
            </w:r>
          </w:p>
          <w:p w14:paraId="73B57523">
            <w:pPr>
              <w:spacing w:line="480" w:lineRule="exact"/>
              <w:ind w:firstLine="470" w:firstLineChars="196"/>
              <w:rPr>
                <w:bCs/>
                <w:sz w:val="24"/>
              </w:rPr>
            </w:pPr>
            <w:r>
              <w:rPr>
                <w:bCs/>
                <w:sz w:val="24"/>
              </w:rPr>
              <w:t>本项目非正常工况主要是污染物排放控制措施达不到应有效率，即</w:t>
            </w:r>
            <w:r>
              <w:rPr>
                <w:rFonts w:hint="eastAsia"/>
                <w:bCs/>
                <w:sz w:val="24"/>
              </w:rPr>
              <w:t>布袋除尘等处理设施失效</w:t>
            </w:r>
            <w:r>
              <w:rPr>
                <w:bCs/>
                <w:sz w:val="24"/>
              </w:rPr>
              <w:t>造成排气筒废气污染物未经净化直接排放，其排放情况如</w:t>
            </w:r>
            <w:r>
              <w:rPr>
                <w:rFonts w:hint="eastAsia"/>
                <w:bCs/>
                <w:sz w:val="24"/>
              </w:rPr>
              <w:t>下表</w:t>
            </w:r>
            <w:r>
              <w:rPr>
                <w:bCs/>
                <w:sz w:val="24"/>
              </w:rPr>
              <w:t>所示。</w:t>
            </w:r>
          </w:p>
          <w:p w14:paraId="155AA849">
            <w:pPr>
              <w:spacing w:line="480" w:lineRule="exact"/>
              <w:jc w:val="center"/>
              <w:rPr>
                <w:rFonts w:hint="eastAsia" w:ascii="黑体" w:hAnsi="黑体" w:eastAsia="黑体" w:cs="黑体"/>
                <w:bCs/>
                <w:sz w:val="24"/>
              </w:rPr>
            </w:pPr>
            <w:r>
              <w:rPr>
                <w:rFonts w:hint="eastAsia" w:ascii="黑体" w:hAnsi="黑体" w:eastAsia="黑体" w:cs="黑体"/>
                <w:bCs/>
                <w:sz w:val="24"/>
              </w:rPr>
              <w:t>表4-7污染源非正常排放量情况</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823"/>
              <w:gridCol w:w="1260"/>
              <w:gridCol w:w="899"/>
              <w:gridCol w:w="1040"/>
              <w:gridCol w:w="1166"/>
              <w:gridCol w:w="1459"/>
              <w:gridCol w:w="954"/>
            </w:tblGrid>
            <w:tr w14:paraId="4ACB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pct"/>
                  <w:noWrap w:val="0"/>
                  <w:vAlign w:val="center"/>
                </w:tcPr>
                <w:p w14:paraId="7AAD66C9">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非正常排放源</w:t>
                  </w:r>
                </w:p>
              </w:tc>
              <w:tc>
                <w:tcPr>
                  <w:tcW w:w="481" w:type="pct"/>
                  <w:noWrap w:val="0"/>
                  <w:vAlign w:val="center"/>
                </w:tcPr>
                <w:p w14:paraId="0CCB3D57">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非正常排放原因</w:t>
                  </w:r>
                </w:p>
              </w:tc>
              <w:tc>
                <w:tcPr>
                  <w:tcW w:w="737" w:type="pct"/>
                  <w:noWrap w:val="0"/>
                  <w:vAlign w:val="center"/>
                </w:tcPr>
                <w:p w14:paraId="64118F88">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污染物</w:t>
                  </w:r>
                </w:p>
              </w:tc>
              <w:tc>
                <w:tcPr>
                  <w:tcW w:w="526" w:type="pct"/>
                  <w:noWrap w:val="0"/>
                  <w:vAlign w:val="center"/>
                </w:tcPr>
                <w:p w14:paraId="4B1B7ECB">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单次持续时间(h)</w:t>
                  </w:r>
                </w:p>
              </w:tc>
              <w:tc>
                <w:tcPr>
                  <w:tcW w:w="608" w:type="pct"/>
                  <w:noWrap w:val="0"/>
                  <w:vAlign w:val="center"/>
                </w:tcPr>
                <w:p w14:paraId="24C0366A">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非正常排放</w:t>
                  </w:r>
                  <w:r>
                    <w:rPr>
                      <w:rFonts w:hint="eastAsia"/>
                      <w:bCs/>
                      <w:szCs w:val="21"/>
                    </w:rPr>
                    <w:t>量</w:t>
                  </w:r>
                  <w:r>
                    <w:rPr>
                      <w:bCs/>
                      <w:szCs w:val="21"/>
                    </w:rPr>
                    <w:t>(</w:t>
                  </w:r>
                  <w:r>
                    <w:rPr>
                      <w:rFonts w:hint="eastAsia"/>
                      <w:bCs/>
                      <w:szCs w:val="21"/>
                    </w:rPr>
                    <w:t>kg/次</w:t>
                  </w:r>
                  <w:r>
                    <w:rPr>
                      <w:bCs/>
                      <w:szCs w:val="21"/>
                    </w:rPr>
                    <w:t>)</w:t>
                  </w:r>
                </w:p>
              </w:tc>
              <w:tc>
                <w:tcPr>
                  <w:tcW w:w="682" w:type="pct"/>
                  <w:noWrap w:val="0"/>
                  <w:vAlign w:val="center"/>
                </w:tcPr>
                <w:p w14:paraId="0A78141D">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非正常排放速率(kg/h)</w:t>
                  </w:r>
                </w:p>
              </w:tc>
              <w:tc>
                <w:tcPr>
                  <w:tcW w:w="853" w:type="pct"/>
                  <w:noWrap w:val="0"/>
                  <w:vAlign w:val="center"/>
                </w:tcPr>
                <w:p w14:paraId="659A39D1">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非正常排放浓度(mg/m</w:t>
                  </w:r>
                  <w:r>
                    <w:rPr>
                      <w:bCs/>
                      <w:szCs w:val="21"/>
                      <w:vertAlign w:val="superscript"/>
                    </w:rPr>
                    <w:t>3</w:t>
                  </w:r>
                  <w:r>
                    <w:rPr>
                      <w:bCs/>
                      <w:szCs w:val="21"/>
                    </w:rPr>
                    <w:t>)</w:t>
                  </w:r>
                </w:p>
              </w:tc>
              <w:tc>
                <w:tcPr>
                  <w:tcW w:w="558" w:type="pct"/>
                  <w:noWrap w:val="0"/>
                  <w:vAlign w:val="center"/>
                </w:tcPr>
                <w:p w14:paraId="2C2DC662">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年发生频次(次)</w:t>
                  </w:r>
                </w:p>
              </w:tc>
            </w:tr>
            <w:tr w14:paraId="56EA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1" w:type="pct"/>
                  <w:noWrap w:val="0"/>
                  <w:vAlign w:val="center"/>
                </w:tcPr>
                <w:p w14:paraId="3FC169BA">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rFonts w:hint="eastAsia"/>
                      <w:bCs/>
                      <w:szCs w:val="21"/>
                    </w:rPr>
                    <w:t>DA001</w:t>
                  </w:r>
                </w:p>
              </w:tc>
              <w:tc>
                <w:tcPr>
                  <w:tcW w:w="481" w:type="pct"/>
                  <w:vMerge w:val="restart"/>
                  <w:noWrap w:val="0"/>
                  <w:vAlign w:val="center"/>
                </w:tcPr>
                <w:p w14:paraId="57FCD4ED">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废气治理设施故障</w:t>
                  </w:r>
                </w:p>
              </w:tc>
              <w:tc>
                <w:tcPr>
                  <w:tcW w:w="737" w:type="pct"/>
                  <w:noWrap w:val="0"/>
                  <w:vAlign w:val="center"/>
                </w:tcPr>
                <w:p w14:paraId="23AFF23E">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颗粒物</w:t>
                  </w:r>
                </w:p>
              </w:tc>
              <w:tc>
                <w:tcPr>
                  <w:tcW w:w="526" w:type="pct"/>
                  <w:vMerge w:val="restart"/>
                  <w:noWrap w:val="0"/>
                  <w:vAlign w:val="center"/>
                </w:tcPr>
                <w:p w14:paraId="6D6A5464">
                  <w:pPr>
                    <w:keepNext w:val="0"/>
                    <w:keepLines w:val="0"/>
                    <w:pageBreakBefore w:val="0"/>
                    <w:widowControl w:val="0"/>
                    <w:kinsoku/>
                    <w:wordWrap/>
                    <w:overflowPunct/>
                    <w:topLinePunct w:val="0"/>
                    <w:autoSpaceDE/>
                    <w:autoSpaceDN/>
                    <w:bidi w:val="0"/>
                    <w:adjustRightInd/>
                    <w:snapToGrid/>
                    <w:spacing w:line="320" w:lineRule="exact"/>
                    <w:jc w:val="center"/>
                    <w:rPr>
                      <w:rFonts w:hint="eastAsia"/>
                      <w:bCs/>
                      <w:szCs w:val="21"/>
                    </w:rPr>
                  </w:pPr>
                  <w:r>
                    <w:rPr>
                      <w:rFonts w:hint="eastAsia"/>
                      <w:bCs/>
                      <w:szCs w:val="21"/>
                    </w:rPr>
                    <w:t>1</w:t>
                  </w:r>
                </w:p>
              </w:tc>
              <w:tc>
                <w:tcPr>
                  <w:tcW w:w="608" w:type="pct"/>
                  <w:noWrap w:val="0"/>
                  <w:vAlign w:val="center"/>
                </w:tcPr>
                <w:p w14:paraId="1A162D40">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45.3</w:t>
                  </w:r>
                </w:p>
              </w:tc>
              <w:tc>
                <w:tcPr>
                  <w:tcW w:w="682" w:type="pct"/>
                  <w:noWrap w:val="0"/>
                  <w:vAlign w:val="center"/>
                </w:tcPr>
                <w:p w14:paraId="5642339D">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45.3</w:t>
                  </w:r>
                </w:p>
              </w:tc>
              <w:tc>
                <w:tcPr>
                  <w:tcW w:w="853" w:type="pct"/>
                  <w:noWrap w:val="0"/>
                  <w:vAlign w:val="center"/>
                </w:tcPr>
                <w:p w14:paraId="17101030">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906</w:t>
                  </w:r>
                </w:p>
              </w:tc>
              <w:tc>
                <w:tcPr>
                  <w:tcW w:w="558" w:type="pct"/>
                  <w:vMerge w:val="restart"/>
                  <w:noWrap w:val="0"/>
                  <w:vAlign w:val="center"/>
                </w:tcPr>
                <w:p w14:paraId="472E8E36">
                  <w:pPr>
                    <w:keepNext w:val="0"/>
                    <w:keepLines w:val="0"/>
                    <w:pageBreakBefore w:val="0"/>
                    <w:widowControl w:val="0"/>
                    <w:kinsoku/>
                    <w:wordWrap/>
                    <w:overflowPunct/>
                    <w:topLinePunct w:val="0"/>
                    <w:autoSpaceDE/>
                    <w:autoSpaceDN/>
                    <w:bidi w:val="0"/>
                    <w:adjustRightInd/>
                    <w:snapToGrid/>
                    <w:spacing w:line="320" w:lineRule="exact"/>
                    <w:jc w:val="center"/>
                    <w:rPr>
                      <w:rFonts w:hint="eastAsia"/>
                      <w:bCs/>
                      <w:szCs w:val="21"/>
                    </w:rPr>
                  </w:pPr>
                  <w:r>
                    <w:rPr>
                      <w:rFonts w:hint="eastAsia"/>
                      <w:bCs/>
                      <w:szCs w:val="21"/>
                    </w:rPr>
                    <w:t>1</w:t>
                  </w:r>
                </w:p>
              </w:tc>
            </w:tr>
            <w:tr w14:paraId="4141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1" w:type="pct"/>
                  <w:vMerge w:val="restart"/>
                  <w:noWrap w:val="0"/>
                  <w:vAlign w:val="center"/>
                </w:tcPr>
                <w:p w14:paraId="5837BC30">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rFonts w:hint="eastAsia"/>
                      <w:bCs/>
                      <w:szCs w:val="21"/>
                    </w:rPr>
                    <w:t>DA002</w:t>
                  </w:r>
                </w:p>
              </w:tc>
              <w:tc>
                <w:tcPr>
                  <w:tcW w:w="481" w:type="pct"/>
                  <w:vMerge w:val="continue"/>
                  <w:noWrap w:val="0"/>
                  <w:vAlign w:val="center"/>
                </w:tcPr>
                <w:p w14:paraId="727DCB67">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737" w:type="pct"/>
                  <w:noWrap w:val="0"/>
                  <w:vAlign w:val="center"/>
                </w:tcPr>
                <w:p w14:paraId="2FF2EF68">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r>
                    <w:rPr>
                      <w:bCs/>
                      <w:szCs w:val="21"/>
                    </w:rPr>
                    <w:t>颗粒物</w:t>
                  </w:r>
                </w:p>
              </w:tc>
              <w:tc>
                <w:tcPr>
                  <w:tcW w:w="526" w:type="pct"/>
                  <w:vMerge w:val="continue"/>
                  <w:noWrap w:val="0"/>
                  <w:vAlign w:val="center"/>
                </w:tcPr>
                <w:p w14:paraId="3F66DB6D">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608" w:type="pct"/>
                  <w:noWrap w:val="0"/>
                  <w:vAlign w:val="center"/>
                </w:tcPr>
                <w:p w14:paraId="2A411F3E">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15</w:t>
                  </w:r>
                </w:p>
              </w:tc>
              <w:tc>
                <w:tcPr>
                  <w:tcW w:w="682" w:type="pct"/>
                  <w:noWrap w:val="0"/>
                  <w:vAlign w:val="center"/>
                </w:tcPr>
                <w:p w14:paraId="462330C2">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15</w:t>
                  </w:r>
                </w:p>
              </w:tc>
              <w:tc>
                <w:tcPr>
                  <w:tcW w:w="853" w:type="pct"/>
                  <w:noWrap w:val="0"/>
                  <w:vAlign w:val="center"/>
                </w:tcPr>
                <w:p w14:paraId="1721C718">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50</w:t>
                  </w:r>
                </w:p>
              </w:tc>
              <w:tc>
                <w:tcPr>
                  <w:tcW w:w="558" w:type="pct"/>
                  <w:vMerge w:val="continue"/>
                  <w:noWrap w:val="0"/>
                  <w:vAlign w:val="center"/>
                </w:tcPr>
                <w:p w14:paraId="3AA1B963">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r>
            <w:tr w14:paraId="58B7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jc w:val="center"/>
              </w:trPr>
              <w:tc>
                <w:tcPr>
                  <w:tcW w:w="551" w:type="pct"/>
                  <w:vMerge w:val="continue"/>
                  <w:noWrap w:val="0"/>
                  <w:vAlign w:val="center"/>
                </w:tcPr>
                <w:p w14:paraId="7A0B7652">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481" w:type="pct"/>
                  <w:vMerge w:val="continue"/>
                  <w:noWrap w:val="0"/>
                  <w:vAlign w:val="center"/>
                </w:tcPr>
                <w:p w14:paraId="473DEE34">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737" w:type="pct"/>
                  <w:noWrap w:val="0"/>
                  <w:vAlign w:val="center"/>
                </w:tcPr>
                <w:p w14:paraId="4790AFEB">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bCs/>
                      <w:szCs w:val="21"/>
                    </w:rPr>
                    <w:t>SO</w:t>
                  </w:r>
                  <w:r>
                    <w:rPr>
                      <w:rFonts w:hint="eastAsia"/>
                      <w:bCs/>
                      <w:szCs w:val="21"/>
                      <w:vertAlign w:val="subscript"/>
                    </w:rPr>
                    <w:t>2</w:t>
                  </w:r>
                </w:p>
              </w:tc>
              <w:tc>
                <w:tcPr>
                  <w:tcW w:w="526" w:type="pct"/>
                  <w:vMerge w:val="continue"/>
                  <w:noWrap w:val="0"/>
                  <w:vAlign w:val="center"/>
                </w:tcPr>
                <w:p w14:paraId="7E6105E3">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608" w:type="pct"/>
                  <w:noWrap w:val="0"/>
                  <w:vAlign w:val="center"/>
                </w:tcPr>
                <w:p w14:paraId="723ADC0E">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175.4</w:t>
                  </w:r>
                </w:p>
              </w:tc>
              <w:tc>
                <w:tcPr>
                  <w:tcW w:w="682" w:type="pct"/>
                  <w:noWrap w:val="0"/>
                  <w:vAlign w:val="center"/>
                </w:tcPr>
                <w:p w14:paraId="4714147B">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175.4</w:t>
                  </w:r>
                </w:p>
              </w:tc>
              <w:tc>
                <w:tcPr>
                  <w:tcW w:w="853" w:type="pct"/>
                  <w:noWrap w:val="0"/>
                  <w:vAlign w:val="center"/>
                </w:tcPr>
                <w:p w14:paraId="13B97A38">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584.7</w:t>
                  </w:r>
                </w:p>
              </w:tc>
              <w:tc>
                <w:tcPr>
                  <w:tcW w:w="558" w:type="pct"/>
                  <w:vMerge w:val="continue"/>
                  <w:noWrap w:val="0"/>
                  <w:vAlign w:val="center"/>
                </w:tcPr>
                <w:p w14:paraId="0F31FA5C">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r>
            <w:tr w14:paraId="2E3E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1" w:type="pct"/>
                  <w:vMerge w:val="continue"/>
                  <w:noWrap w:val="0"/>
                  <w:vAlign w:val="center"/>
                </w:tcPr>
                <w:p w14:paraId="460A971F">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481" w:type="pct"/>
                  <w:vMerge w:val="continue"/>
                  <w:noWrap w:val="0"/>
                  <w:vAlign w:val="center"/>
                </w:tcPr>
                <w:p w14:paraId="100C5B28">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737" w:type="pct"/>
                  <w:noWrap w:val="0"/>
                  <w:vAlign w:val="center"/>
                </w:tcPr>
                <w:p w14:paraId="5DDA6991">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bCs/>
                      <w:szCs w:val="21"/>
                    </w:rPr>
                    <w:t>NOx</w:t>
                  </w:r>
                </w:p>
              </w:tc>
              <w:tc>
                <w:tcPr>
                  <w:tcW w:w="526" w:type="pct"/>
                  <w:vMerge w:val="continue"/>
                  <w:noWrap w:val="0"/>
                  <w:vAlign w:val="center"/>
                </w:tcPr>
                <w:p w14:paraId="4B0BAEAE">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608" w:type="pct"/>
                  <w:noWrap w:val="0"/>
                  <w:vAlign w:val="center"/>
                </w:tcPr>
                <w:p w14:paraId="007238FF">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10.44</w:t>
                  </w:r>
                </w:p>
              </w:tc>
              <w:tc>
                <w:tcPr>
                  <w:tcW w:w="682" w:type="pct"/>
                  <w:noWrap w:val="0"/>
                  <w:vAlign w:val="center"/>
                </w:tcPr>
                <w:p w14:paraId="1448400C">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10.44</w:t>
                  </w:r>
                </w:p>
              </w:tc>
              <w:tc>
                <w:tcPr>
                  <w:tcW w:w="853" w:type="pct"/>
                  <w:noWrap w:val="0"/>
                  <w:vAlign w:val="center"/>
                </w:tcPr>
                <w:p w14:paraId="6556B855">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szCs w:val="21"/>
                      <w:lang w:val="en-US" w:eastAsia="zh-CN"/>
                    </w:rPr>
                    <w:t>34.8</w:t>
                  </w:r>
                </w:p>
              </w:tc>
              <w:tc>
                <w:tcPr>
                  <w:tcW w:w="558" w:type="pct"/>
                  <w:vMerge w:val="continue"/>
                  <w:noWrap w:val="0"/>
                  <w:vAlign w:val="center"/>
                </w:tcPr>
                <w:p w14:paraId="4C7D51F9">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r>
            <w:tr w14:paraId="68CB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1" w:type="pct"/>
                  <w:vMerge w:val="continue"/>
                  <w:noWrap w:val="0"/>
                  <w:vAlign w:val="center"/>
                </w:tcPr>
                <w:p w14:paraId="01C23BFA">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481" w:type="pct"/>
                  <w:vMerge w:val="continue"/>
                  <w:noWrap w:val="0"/>
                  <w:vAlign w:val="center"/>
                </w:tcPr>
                <w:p w14:paraId="584A74E7">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737" w:type="pct"/>
                  <w:noWrap w:val="0"/>
                  <w:vAlign w:val="center"/>
                </w:tcPr>
                <w:p w14:paraId="55D542D5">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bCs/>
                      <w:szCs w:val="21"/>
                    </w:rPr>
                    <w:t>氟化物</w:t>
                  </w:r>
                </w:p>
              </w:tc>
              <w:tc>
                <w:tcPr>
                  <w:tcW w:w="526" w:type="pct"/>
                  <w:vMerge w:val="continue"/>
                  <w:noWrap w:val="0"/>
                  <w:vAlign w:val="center"/>
                </w:tcPr>
                <w:p w14:paraId="184F9E94">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608" w:type="pct"/>
                  <w:noWrap w:val="0"/>
                  <w:vAlign w:val="center"/>
                </w:tcPr>
                <w:p w14:paraId="7918D0D1">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color w:val="000000"/>
                      <w:szCs w:val="21"/>
                      <w:lang w:val="en-US" w:eastAsia="zh-CN"/>
                    </w:rPr>
                    <w:t>0.52</w:t>
                  </w:r>
                </w:p>
              </w:tc>
              <w:tc>
                <w:tcPr>
                  <w:tcW w:w="682" w:type="pct"/>
                  <w:noWrap w:val="0"/>
                  <w:vAlign w:val="center"/>
                </w:tcPr>
                <w:p w14:paraId="3BFA81EA">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color w:val="000000"/>
                      <w:szCs w:val="21"/>
                      <w:lang w:val="en-US" w:eastAsia="zh-CN"/>
                    </w:rPr>
                    <w:t>0.52</w:t>
                  </w:r>
                </w:p>
              </w:tc>
              <w:tc>
                <w:tcPr>
                  <w:tcW w:w="853" w:type="pct"/>
                  <w:noWrap w:val="0"/>
                  <w:vAlign w:val="center"/>
                </w:tcPr>
                <w:p w14:paraId="4B66E7EC">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bCs/>
                      <w:szCs w:val="21"/>
                    </w:rPr>
                  </w:pPr>
                  <w:r>
                    <w:rPr>
                      <w:rFonts w:hint="eastAsia"/>
                      <w:color w:val="000000"/>
                      <w:szCs w:val="21"/>
                      <w:lang w:val="en-US" w:eastAsia="zh-CN"/>
                    </w:rPr>
                    <w:t>1.7</w:t>
                  </w:r>
                </w:p>
              </w:tc>
              <w:tc>
                <w:tcPr>
                  <w:tcW w:w="558" w:type="pct"/>
                  <w:vMerge w:val="continue"/>
                  <w:noWrap w:val="0"/>
                  <w:vAlign w:val="center"/>
                </w:tcPr>
                <w:p w14:paraId="61F105FD">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r>
            <w:tr w14:paraId="5EBD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1" w:type="pct"/>
                  <w:vMerge w:val="continue"/>
                  <w:noWrap w:val="0"/>
                  <w:vAlign w:val="center"/>
                </w:tcPr>
                <w:p w14:paraId="65EF09AC">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481" w:type="pct"/>
                  <w:vMerge w:val="continue"/>
                  <w:noWrap w:val="0"/>
                  <w:vAlign w:val="center"/>
                </w:tcPr>
                <w:p w14:paraId="3BDF1428">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737" w:type="pct"/>
                  <w:noWrap w:val="0"/>
                  <w:vAlign w:val="center"/>
                </w:tcPr>
                <w:p w14:paraId="0EDE2FD9">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rFonts w:hint="eastAsia" w:eastAsia="宋体"/>
                      <w:bCs/>
                      <w:szCs w:val="21"/>
                      <w:lang w:val="en-US" w:eastAsia="zh-CN"/>
                    </w:rPr>
                  </w:pPr>
                  <w:r>
                    <w:rPr>
                      <w:rFonts w:hint="eastAsia"/>
                      <w:bCs/>
                      <w:szCs w:val="21"/>
                      <w:lang w:val="en-US" w:eastAsia="zh-CN"/>
                    </w:rPr>
                    <w:t>氨</w:t>
                  </w:r>
                </w:p>
              </w:tc>
              <w:tc>
                <w:tcPr>
                  <w:tcW w:w="526" w:type="pct"/>
                  <w:vMerge w:val="continue"/>
                  <w:noWrap w:val="0"/>
                  <w:vAlign w:val="center"/>
                </w:tcPr>
                <w:p w14:paraId="385C070A">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c>
                <w:tcPr>
                  <w:tcW w:w="608" w:type="pct"/>
                  <w:noWrap w:val="0"/>
                  <w:vAlign w:val="center"/>
                </w:tcPr>
                <w:p w14:paraId="7889798C">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rFonts w:hint="default"/>
                      <w:color w:val="000000"/>
                      <w:szCs w:val="21"/>
                      <w:lang w:val="en-US" w:eastAsia="zh-CN"/>
                    </w:rPr>
                  </w:pPr>
                  <w:r>
                    <w:rPr>
                      <w:rFonts w:hint="eastAsia"/>
                      <w:color w:val="000000"/>
                      <w:szCs w:val="21"/>
                      <w:lang w:val="en-US" w:eastAsia="zh-CN"/>
                    </w:rPr>
                    <w:t>0.9</w:t>
                  </w:r>
                </w:p>
              </w:tc>
              <w:tc>
                <w:tcPr>
                  <w:tcW w:w="682" w:type="pct"/>
                  <w:noWrap w:val="0"/>
                  <w:vAlign w:val="center"/>
                </w:tcPr>
                <w:p w14:paraId="3FFBA27E">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rFonts w:hint="default"/>
                      <w:color w:val="000000"/>
                      <w:szCs w:val="21"/>
                      <w:lang w:val="en-US" w:eastAsia="zh-CN"/>
                    </w:rPr>
                  </w:pPr>
                  <w:r>
                    <w:rPr>
                      <w:rFonts w:hint="eastAsia"/>
                      <w:color w:val="000000"/>
                      <w:szCs w:val="21"/>
                      <w:lang w:val="en-US" w:eastAsia="zh-CN"/>
                    </w:rPr>
                    <w:t>0.9</w:t>
                  </w:r>
                </w:p>
              </w:tc>
              <w:tc>
                <w:tcPr>
                  <w:tcW w:w="853" w:type="pct"/>
                  <w:noWrap w:val="0"/>
                  <w:vAlign w:val="center"/>
                </w:tcPr>
                <w:p w14:paraId="23F2CB65">
                  <w:pPr>
                    <w:keepNext w:val="0"/>
                    <w:keepLines w:val="0"/>
                    <w:pageBreakBefore w:val="0"/>
                    <w:widowControl w:val="0"/>
                    <w:kinsoku/>
                    <w:wordWrap/>
                    <w:overflowPunct/>
                    <w:topLinePunct w:val="0"/>
                    <w:autoSpaceDE/>
                    <w:autoSpaceDN/>
                    <w:bidi w:val="0"/>
                    <w:adjustRightInd/>
                    <w:snapToGrid/>
                    <w:spacing w:line="320" w:lineRule="exact"/>
                    <w:jc w:val="center"/>
                    <w:textAlignment w:val="center"/>
                    <w:rPr>
                      <w:rFonts w:hint="default"/>
                      <w:color w:val="000000"/>
                      <w:szCs w:val="21"/>
                      <w:lang w:val="en-US" w:eastAsia="zh-CN"/>
                    </w:rPr>
                  </w:pPr>
                  <w:r>
                    <w:rPr>
                      <w:rFonts w:hint="eastAsia"/>
                      <w:color w:val="000000"/>
                      <w:szCs w:val="21"/>
                      <w:lang w:val="en-US" w:eastAsia="zh-CN"/>
                    </w:rPr>
                    <w:t>3</w:t>
                  </w:r>
                </w:p>
              </w:tc>
              <w:tc>
                <w:tcPr>
                  <w:tcW w:w="558" w:type="pct"/>
                  <w:noWrap w:val="0"/>
                  <w:vAlign w:val="center"/>
                </w:tcPr>
                <w:p w14:paraId="6D893FDB">
                  <w:pPr>
                    <w:keepNext w:val="0"/>
                    <w:keepLines w:val="0"/>
                    <w:pageBreakBefore w:val="0"/>
                    <w:widowControl w:val="0"/>
                    <w:kinsoku/>
                    <w:wordWrap/>
                    <w:overflowPunct/>
                    <w:topLinePunct w:val="0"/>
                    <w:autoSpaceDE/>
                    <w:autoSpaceDN/>
                    <w:bidi w:val="0"/>
                    <w:adjustRightInd/>
                    <w:snapToGrid/>
                    <w:spacing w:line="320" w:lineRule="exact"/>
                    <w:jc w:val="center"/>
                    <w:rPr>
                      <w:bCs/>
                      <w:szCs w:val="21"/>
                    </w:rPr>
                  </w:pPr>
                </w:p>
              </w:tc>
            </w:tr>
          </w:tbl>
          <w:p w14:paraId="7E30B309">
            <w:pPr>
              <w:spacing w:line="480" w:lineRule="exact"/>
              <w:ind w:firstLine="470" w:firstLineChars="196"/>
              <w:rPr>
                <w:bCs/>
                <w:sz w:val="24"/>
              </w:rPr>
            </w:pPr>
          </w:p>
          <w:p w14:paraId="7A4D1366">
            <w:pPr>
              <w:spacing w:line="480" w:lineRule="exact"/>
              <w:ind w:firstLine="480" w:firstLineChars="200"/>
              <w:rPr>
                <w:bCs/>
                <w:sz w:val="24"/>
              </w:rPr>
            </w:pPr>
            <w:r>
              <w:rPr>
                <w:bCs/>
                <w:sz w:val="24"/>
              </w:rPr>
              <w:t>由上表可知，本项目在污染治理设施非正常运行时，短时间内污染物排放浓度较大，但由于持续时间较短，污染物的排放量不会明显增加。此外，为保证废气治理设施处理效率，企业应：</w:t>
            </w:r>
          </w:p>
          <w:p w14:paraId="5082AF4E">
            <w:pPr>
              <w:spacing w:line="480" w:lineRule="exact"/>
              <w:ind w:firstLine="480" w:firstLineChars="200"/>
              <w:rPr>
                <w:bCs/>
                <w:sz w:val="24"/>
              </w:rPr>
            </w:pPr>
            <w:r>
              <w:rPr>
                <w:bCs/>
                <w:sz w:val="24"/>
              </w:rPr>
              <w:t>①建设单位要定期对废气处理系统等环保设施进行维护和保养，一旦发现设施运行异常，应立即停止生产，迅速抢修或更换，待废气处理设施运行正常后恢复生产。</w:t>
            </w:r>
          </w:p>
          <w:p w14:paraId="79CB87EF">
            <w:pPr>
              <w:spacing w:line="480" w:lineRule="exact"/>
              <w:ind w:firstLine="480" w:firstLineChars="200"/>
              <w:rPr>
                <w:bCs/>
                <w:sz w:val="24"/>
              </w:rPr>
            </w:pPr>
            <w:r>
              <w:rPr>
                <w:bCs/>
                <w:sz w:val="24"/>
              </w:rPr>
              <w:t>②应设有备用电源、备用处理设备和备用零件，以备停电或设备出现故障时保障及时更换，使废气全部达标排放。</w:t>
            </w:r>
          </w:p>
          <w:p w14:paraId="3762FFDC">
            <w:pPr>
              <w:adjustRightInd w:val="0"/>
              <w:spacing w:line="480" w:lineRule="exact"/>
              <w:ind w:firstLine="480"/>
              <w:rPr>
                <w:bCs/>
                <w:sz w:val="24"/>
              </w:rPr>
            </w:pPr>
            <w:r>
              <w:rPr>
                <w:bCs/>
                <w:sz w:val="24"/>
              </w:rPr>
              <w:t>③对员工进行岗位培训。做好值班记录，实行岗位责任制。</w:t>
            </w:r>
          </w:p>
          <w:p w14:paraId="3DABB266">
            <w:pPr>
              <w:adjustRightInd w:val="0"/>
              <w:spacing w:line="480" w:lineRule="exact"/>
              <w:ind w:firstLine="480"/>
              <w:rPr>
                <w:bCs/>
                <w:sz w:val="24"/>
              </w:rPr>
            </w:pPr>
            <w:r>
              <w:rPr>
                <w:bCs/>
                <w:sz w:val="24"/>
              </w:rPr>
              <w:t>(</w:t>
            </w:r>
            <w:r>
              <w:rPr>
                <w:rFonts w:hint="eastAsia"/>
                <w:bCs/>
                <w:sz w:val="24"/>
              </w:rPr>
              <w:t>6</w:t>
            </w:r>
            <w:r>
              <w:rPr>
                <w:bCs/>
                <w:sz w:val="24"/>
              </w:rPr>
              <w:t>)废气治理措施</w:t>
            </w:r>
            <w:r>
              <w:rPr>
                <w:rFonts w:hint="eastAsia"/>
                <w:bCs/>
                <w:sz w:val="24"/>
              </w:rPr>
              <w:t>可行性分析</w:t>
            </w:r>
          </w:p>
          <w:p w14:paraId="6F0815FF">
            <w:pPr>
              <w:spacing w:line="480" w:lineRule="exact"/>
              <w:ind w:firstLine="480" w:firstLineChars="200"/>
              <w:rPr>
                <w:sz w:val="24"/>
              </w:rPr>
            </w:pPr>
            <w:r>
              <w:rPr>
                <w:sz w:val="24"/>
              </w:rPr>
              <w:t>本项目生产</w:t>
            </w:r>
            <w:r>
              <w:rPr>
                <w:rFonts w:hint="eastAsia"/>
                <w:sz w:val="24"/>
              </w:rPr>
              <w:t>煤矸石烧结砖，</w:t>
            </w:r>
            <w:r>
              <w:rPr>
                <w:sz w:val="24"/>
              </w:rPr>
              <w:t>属于C</w:t>
            </w:r>
            <w:r>
              <w:rPr>
                <w:rFonts w:hint="eastAsia"/>
                <w:sz w:val="24"/>
              </w:rPr>
              <w:t>3031粘土砖瓦及建筑砌块制造，根据</w:t>
            </w:r>
            <w:r>
              <w:rPr>
                <w:sz w:val="24"/>
              </w:rPr>
              <w:t>《排污许可证申请与核发技术</w:t>
            </w:r>
            <w:r>
              <w:rPr>
                <w:rFonts w:hint="eastAsia"/>
                <w:sz w:val="24"/>
              </w:rPr>
              <w:t>规范 陶瓷砖瓦工业</w:t>
            </w:r>
            <w:r>
              <w:rPr>
                <w:sz w:val="24"/>
              </w:rPr>
              <w:t>》(HJ</w:t>
            </w:r>
            <w:r>
              <w:rPr>
                <w:rFonts w:hint="eastAsia"/>
                <w:sz w:val="24"/>
              </w:rPr>
              <w:t>954-2018</w:t>
            </w:r>
            <w:r>
              <w:rPr>
                <w:sz w:val="24"/>
              </w:rPr>
              <w:t>)</w:t>
            </w:r>
            <w:r>
              <w:rPr>
                <w:rFonts w:hint="eastAsia"/>
                <w:sz w:val="24"/>
              </w:rPr>
              <w:t>，可行技术符合性分析见下表。</w:t>
            </w:r>
          </w:p>
          <w:p w14:paraId="51552270">
            <w:pPr>
              <w:spacing w:line="480" w:lineRule="exact"/>
              <w:jc w:val="center"/>
              <w:textAlignment w:val="baseline"/>
              <w:rPr>
                <w:rFonts w:hint="eastAsia" w:ascii="黑体" w:hAnsi="黑体" w:eastAsia="黑体" w:cs="黑体"/>
                <w:bCs/>
                <w:sz w:val="24"/>
              </w:rPr>
            </w:pPr>
            <w:r>
              <w:rPr>
                <w:rFonts w:hint="eastAsia" w:ascii="黑体" w:hAnsi="黑体" w:eastAsia="黑体" w:cs="黑体"/>
                <w:bCs/>
                <w:sz w:val="24"/>
              </w:rPr>
              <w:t>表4-8  与砖瓦工业排污单位废气污染防治可行技术的符合性分析</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1374"/>
              <w:gridCol w:w="827"/>
              <w:gridCol w:w="2886"/>
              <w:gridCol w:w="1650"/>
              <w:gridCol w:w="754"/>
            </w:tblGrid>
            <w:tr w14:paraId="72FD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1DF3D325">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排放口</w:t>
                  </w:r>
                </w:p>
              </w:tc>
              <w:tc>
                <w:tcPr>
                  <w:tcW w:w="1380" w:type="dxa"/>
                  <w:noWrap w:val="0"/>
                  <w:vAlign w:val="center"/>
                </w:tcPr>
                <w:p w14:paraId="6B2CBB34">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主要污染物</w:t>
                  </w:r>
                </w:p>
              </w:tc>
              <w:tc>
                <w:tcPr>
                  <w:tcW w:w="829" w:type="dxa"/>
                  <w:noWrap w:val="0"/>
                  <w:vAlign w:val="center"/>
                </w:tcPr>
                <w:p w14:paraId="343EF925">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燃料名称</w:t>
                  </w:r>
                </w:p>
              </w:tc>
              <w:tc>
                <w:tcPr>
                  <w:tcW w:w="2899" w:type="dxa"/>
                  <w:noWrap w:val="0"/>
                  <w:vAlign w:val="center"/>
                </w:tcPr>
                <w:p w14:paraId="04AB8066">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可行技术</w:t>
                  </w:r>
                </w:p>
              </w:tc>
              <w:tc>
                <w:tcPr>
                  <w:tcW w:w="1655" w:type="dxa"/>
                  <w:noWrap w:val="0"/>
                  <w:vAlign w:val="center"/>
                </w:tcPr>
                <w:p w14:paraId="4847E403">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本项目采用技术</w:t>
                  </w:r>
                </w:p>
              </w:tc>
              <w:tc>
                <w:tcPr>
                  <w:tcW w:w="0" w:type="auto"/>
                  <w:noWrap w:val="0"/>
                  <w:vAlign w:val="center"/>
                </w:tcPr>
                <w:p w14:paraId="1EF787F4">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是否可行</w:t>
                  </w:r>
                </w:p>
              </w:tc>
            </w:tr>
            <w:tr w14:paraId="38A0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024" w:type="dxa"/>
                  <w:vMerge w:val="restart"/>
                  <w:noWrap w:val="0"/>
                  <w:vAlign w:val="center"/>
                </w:tcPr>
                <w:p w14:paraId="371174D8">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窑烟囱</w:t>
                  </w:r>
                </w:p>
              </w:tc>
              <w:tc>
                <w:tcPr>
                  <w:tcW w:w="1380" w:type="dxa"/>
                  <w:noWrap w:val="0"/>
                  <w:vAlign w:val="center"/>
                </w:tcPr>
                <w:p w14:paraId="7B52843D">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颗粒物</w:t>
                  </w:r>
                </w:p>
              </w:tc>
              <w:tc>
                <w:tcPr>
                  <w:tcW w:w="829" w:type="dxa"/>
                  <w:vMerge w:val="restart"/>
                  <w:noWrap w:val="0"/>
                  <w:vAlign w:val="center"/>
                </w:tcPr>
                <w:p w14:paraId="5BC67580">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所有燃料</w:t>
                  </w:r>
                </w:p>
              </w:tc>
              <w:tc>
                <w:tcPr>
                  <w:tcW w:w="2899" w:type="dxa"/>
                  <w:noWrap w:val="0"/>
                  <w:vAlign w:val="center"/>
                </w:tcPr>
                <w:p w14:paraId="467C5887">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bCs/>
                      <w:szCs w:val="21"/>
                    </w:rPr>
                  </w:pPr>
                  <w:r>
                    <w:rPr>
                      <w:bCs/>
                      <w:szCs w:val="21"/>
                    </w:rPr>
                    <w:t>袋式除尘、电除尘、电袋复合除尘、湿式电除尘等技术，可根据需要采用多级除尘</w:t>
                  </w:r>
                </w:p>
              </w:tc>
              <w:tc>
                <w:tcPr>
                  <w:tcW w:w="1655" w:type="dxa"/>
                  <w:noWrap w:val="0"/>
                  <w:vAlign w:val="center"/>
                </w:tcPr>
                <w:p w14:paraId="173CD562">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湿式电除尘</w:t>
                  </w:r>
                </w:p>
              </w:tc>
              <w:tc>
                <w:tcPr>
                  <w:tcW w:w="0" w:type="auto"/>
                  <w:noWrap w:val="0"/>
                  <w:vAlign w:val="center"/>
                </w:tcPr>
                <w:p w14:paraId="78B86D0D">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可行</w:t>
                  </w:r>
                </w:p>
              </w:tc>
            </w:tr>
            <w:tr w14:paraId="636E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24" w:type="dxa"/>
                  <w:vMerge w:val="continue"/>
                  <w:noWrap w:val="0"/>
                  <w:vAlign w:val="center"/>
                </w:tcPr>
                <w:p w14:paraId="27FF7294">
                  <w:pPr>
                    <w:keepNext w:val="0"/>
                    <w:keepLines w:val="0"/>
                    <w:pageBreakBefore w:val="0"/>
                    <w:widowControl w:val="0"/>
                    <w:kinsoku/>
                    <w:wordWrap/>
                    <w:overflowPunct/>
                    <w:topLinePunct w:val="0"/>
                    <w:bidi w:val="0"/>
                    <w:snapToGrid/>
                    <w:spacing w:line="320" w:lineRule="exact"/>
                    <w:jc w:val="center"/>
                    <w:textAlignment w:val="auto"/>
                    <w:rPr>
                      <w:bCs/>
                      <w:szCs w:val="21"/>
                    </w:rPr>
                  </w:pPr>
                </w:p>
              </w:tc>
              <w:tc>
                <w:tcPr>
                  <w:tcW w:w="1380" w:type="dxa"/>
                  <w:noWrap w:val="0"/>
                  <w:vAlign w:val="center"/>
                </w:tcPr>
                <w:p w14:paraId="458707EE">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二氧化硫</w:t>
                  </w:r>
                </w:p>
              </w:tc>
              <w:tc>
                <w:tcPr>
                  <w:tcW w:w="829" w:type="dxa"/>
                  <w:vMerge w:val="continue"/>
                  <w:noWrap w:val="0"/>
                  <w:vAlign w:val="center"/>
                </w:tcPr>
                <w:p w14:paraId="5BCDF6D0">
                  <w:pPr>
                    <w:keepNext w:val="0"/>
                    <w:keepLines w:val="0"/>
                    <w:pageBreakBefore w:val="0"/>
                    <w:widowControl w:val="0"/>
                    <w:kinsoku/>
                    <w:wordWrap/>
                    <w:overflowPunct/>
                    <w:topLinePunct w:val="0"/>
                    <w:bidi w:val="0"/>
                    <w:snapToGrid/>
                    <w:spacing w:line="320" w:lineRule="exact"/>
                    <w:jc w:val="center"/>
                    <w:textAlignment w:val="auto"/>
                    <w:rPr>
                      <w:bCs/>
                      <w:szCs w:val="21"/>
                    </w:rPr>
                  </w:pPr>
                </w:p>
              </w:tc>
              <w:tc>
                <w:tcPr>
                  <w:tcW w:w="2899" w:type="dxa"/>
                  <w:noWrap w:val="0"/>
                  <w:vAlign w:val="center"/>
                </w:tcPr>
                <w:p w14:paraId="280511D4">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湿法脱硫技术、干法/半干法脱硫技术等</w:t>
                  </w:r>
                </w:p>
              </w:tc>
              <w:tc>
                <w:tcPr>
                  <w:tcW w:w="1655" w:type="dxa"/>
                  <w:noWrap w:val="0"/>
                  <w:vAlign w:val="center"/>
                </w:tcPr>
                <w:p w14:paraId="2485A686">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石灰石—石膏脱硫</w:t>
                  </w:r>
                </w:p>
              </w:tc>
              <w:tc>
                <w:tcPr>
                  <w:tcW w:w="756" w:type="dxa"/>
                  <w:noWrap w:val="0"/>
                  <w:vAlign w:val="center"/>
                </w:tcPr>
                <w:p w14:paraId="06E852CA">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可行</w:t>
                  </w:r>
                </w:p>
              </w:tc>
            </w:tr>
            <w:tr w14:paraId="3E2F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trPr>
              <w:tc>
                <w:tcPr>
                  <w:tcW w:w="1024" w:type="dxa"/>
                  <w:vMerge w:val="continue"/>
                  <w:noWrap w:val="0"/>
                  <w:vAlign w:val="center"/>
                </w:tcPr>
                <w:p w14:paraId="0C282C11">
                  <w:pPr>
                    <w:keepNext w:val="0"/>
                    <w:keepLines w:val="0"/>
                    <w:pageBreakBefore w:val="0"/>
                    <w:widowControl w:val="0"/>
                    <w:kinsoku/>
                    <w:wordWrap/>
                    <w:overflowPunct/>
                    <w:topLinePunct w:val="0"/>
                    <w:bidi w:val="0"/>
                    <w:snapToGrid/>
                    <w:spacing w:line="320" w:lineRule="exact"/>
                    <w:jc w:val="center"/>
                    <w:textAlignment w:val="auto"/>
                    <w:rPr>
                      <w:bCs/>
                      <w:szCs w:val="21"/>
                    </w:rPr>
                  </w:pPr>
                </w:p>
              </w:tc>
              <w:tc>
                <w:tcPr>
                  <w:tcW w:w="1380" w:type="dxa"/>
                  <w:noWrap w:val="0"/>
                  <w:vAlign w:val="center"/>
                </w:tcPr>
                <w:p w14:paraId="2D746F14">
                  <w:pPr>
                    <w:keepNext w:val="0"/>
                    <w:keepLines w:val="0"/>
                    <w:pageBreakBefore w:val="0"/>
                    <w:widowControl w:val="0"/>
                    <w:kinsoku/>
                    <w:wordWrap/>
                    <w:overflowPunct/>
                    <w:topLinePunct w:val="0"/>
                    <w:bidi w:val="0"/>
                    <w:snapToGrid/>
                    <w:spacing w:line="320" w:lineRule="exact"/>
                    <w:jc w:val="center"/>
                    <w:textAlignment w:val="auto"/>
                    <w:rPr>
                      <w:rFonts w:hint="eastAsia" w:eastAsia="宋体"/>
                      <w:bCs/>
                      <w:szCs w:val="21"/>
                      <w:lang w:val="en-US" w:eastAsia="zh-CN"/>
                    </w:rPr>
                  </w:pPr>
                  <w:r>
                    <w:rPr>
                      <w:rFonts w:hint="eastAsia"/>
                      <w:bCs/>
                      <w:szCs w:val="21"/>
                      <w:lang w:val="en-US" w:eastAsia="zh-CN"/>
                    </w:rPr>
                    <w:t>氮氧化物</w:t>
                  </w:r>
                </w:p>
              </w:tc>
              <w:tc>
                <w:tcPr>
                  <w:tcW w:w="829" w:type="dxa"/>
                  <w:noWrap w:val="0"/>
                  <w:vAlign w:val="center"/>
                </w:tcPr>
                <w:p w14:paraId="09E66C40">
                  <w:pPr>
                    <w:keepNext w:val="0"/>
                    <w:keepLines w:val="0"/>
                    <w:pageBreakBefore w:val="0"/>
                    <w:widowControl w:val="0"/>
                    <w:kinsoku/>
                    <w:wordWrap/>
                    <w:overflowPunct/>
                    <w:topLinePunct w:val="0"/>
                    <w:bidi w:val="0"/>
                    <w:snapToGrid/>
                    <w:spacing w:line="320" w:lineRule="exact"/>
                    <w:jc w:val="center"/>
                    <w:textAlignment w:val="auto"/>
                    <w:rPr>
                      <w:bCs/>
                      <w:szCs w:val="21"/>
                    </w:rPr>
                  </w:pPr>
                </w:p>
              </w:tc>
              <w:tc>
                <w:tcPr>
                  <w:tcW w:w="2899" w:type="dxa"/>
                  <w:noWrap w:val="0"/>
                  <w:vAlign w:val="center"/>
                </w:tcPr>
                <w:p w14:paraId="1D8CD298">
                  <w:pPr>
                    <w:keepNext w:val="0"/>
                    <w:keepLines w:val="0"/>
                    <w:pageBreakBefore w:val="0"/>
                    <w:widowControl w:val="0"/>
                    <w:kinsoku/>
                    <w:wordWrap/>
                    <w:overflowPunct/>
                    <w:topLinePunct w:val="0"/>
                    <w:bidi w:val="0"/>
                    <w:snapToGrid/>
                    <w:spacing w:line="320" w:lineRule="exact"/>
                    <w:jc w:val="center"/>
                    <w:textAlignment w:val="auto"/>
                    <w:rPr>
                      <w:bCs/>
                      <w:szCs w:val="21"/>
                    </w:rPr>
                  </w:pPr>
                  <w:r>
                    <w:rPr>
                      <w:rFonts w:hint="eastAsia"/>
                      <w:bCs/>
                      <w:szCs w:val="21"/>
                    </w:rPr>
                    <w:t>低氮燃烧技术、其他组合降氮技术</w:t>
                  </w:r>
                </w:p>
              </w:tc>
              <w:tc>
                <w:tcPr>
                  <w:tcW w:w="1655" w:type="dxa"/>
                  <w:noWrap w:val="0"/>
                  <w:vAlign w:val="center"/>
                </w:tcPr>
                <w:p w14:paraId="59BDCDCD">
                  <w:pPr>
                    <w:keepNext w:val="0"/>
                    <w:keepLines w:val="0"/>
                    <w:pageBreakBefore w:val="0"/>
                    <w:widowControl w:val="0"/>
                    <w:kinsoku/>
                    <w:wordWrap/>
                    <w:overflowPunct/>
                    <w:topLinePunct w:val="0"/>
                    <w:bidi w:val="0"/>
                    <w:snapToGrid/>
                    <w:spacing w:line="320" w:lineRule="exact"/>
                    <w:jc w:val="center"/>
                    <w:textAlignment w:val="auto"/>
                    <w:rPr>
                      <w:rFonts w:hint="default" w:eastAsia="宋体"/>
                      <w:bCs/>
                      <w:szCs w:val="21"/>
                      <w:lang w:val="en-US" w:eastAsia="zh-CN"/>
                    </w:rPr>
                  </w:pPr>
                  <w:r>
                    <w:rPr>
                      <w:rFonts w:hint="eastAsia"/>
                      <w:bCs/>
                      <w:szCs w:val="21"/>
                      <w:lang w:val="en-US" w:eastAsia="zh-CN"/>
                    </w:rPr>
                    <w:t>SNCR</w:t>
                  </w:r>
                </w:p>
              </w:tc>
              <w:tc>
                <w:tcPr>
                  <w:tcW w:w="756" w:type="dxa"/>
                  <w:noWrap w:val="0"/>
                  <w:vAlign w:val="center"/>
                </w:tcPr>
                <w:p w14:paraId="43369803">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可行</w:t>
                  </w:r>
                </w:p>
              </w:tc>
            </w:tr>
            <w:tr w14:paraId="0C8F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141222D3">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破碎筛分</w:t>
                  </w:r>
                </w:p>
              </w:tc>
              <w:tc>
                <w:tcPr>
                  <w:tcW w:w="1380" w:type="dxa"/>
                  <w:noWrap w:val="0"/>
                  <w:vAlign w:val="center"/>
                </w:tcPr>
                <w:p w14:paraId="28BCB50B">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颗粒物</w:t>
                  </w:r>
                </w:p>
              </w:tc>
              <w:tc>
                <w:tcPr>
                  <w:tcW w:w="829" w:type="dxa"/>
                  <w:noWrap w:val="0"/>
                  <w:vAlign w:val="center"/>
                </w:tcPr>
                <w:p w14:paraId="595D1461">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w:t>
                  </w:r>
                </w:p>
              </w:tc>
              <w:tc>
                <w:tcPr>
                  <w:tcW w:w="2899" w:type="dxa"/>
                  <w:noWrap w:val="0"/>
                  <w:vAlign w:val="center"/>
                </w:tcPr>
                <w:p w14:paraId="7410F9CE">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袋式除尘</w:t>
                  </w:r>
                </w:p>
              </w:tc>
              <w:tc>
                <w:tcPr>
                  <w:tcW w:w="1655" w:type="dxa"/>
                  <w:noWrap w:val="0"/>
                  <w:vAlign w:val="center"/>
                </w:tcPr>
                <w:p w14:paraId="40EE5440">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脉冲式布袋除尘器</w:t>
                  </w:r>
                </w:p>
              </w:tc>
              <w:tc>
                <w:tcPr>
                  <w:tcW w:w="0" w:type="auto"/>
                  <w:noWrap w:val="0"/>
                  <w:vAlign w:val="center"/>
                </w:tcPr>
                <w:p w14:paraId="6C06FA27">
                  <w:pPr>
                    <w:keepNext w:val="0"/>
                    <w:keepLines w:val="0"/>
                    <w:pageBreakBefore w:val="0"/>
                    <w:widowControl w:val="0"/>
                    <w:kinsoku/>
                    <w:wordWrap/>
                    <w:overflowPunct/>
                    <w:topLinePunct w:val="0"/>
                    <w:bidi w:val="0"/>
                    <w:snapToGrid/>
                    <w:spacing w:line="320" w:lineRule="exact"/>
                    <w:jc w:val="center"/>
                    <w:textAlignment w:val="auto"/>
                    <w:rPr>
                      <w:bCs/>
                      <w:szCs w:val="21"/>
                    </w:rPr>
                  </w:pPr>
                  <w:r>
                    <w:rPr>
                      <w:bCs/>
                      <w:szCs w:val="21"/>
                    </w:rPr>
                    <w:t>可行</w:t>
                  </w:r>
                </w:p>
              </w:tc>
            </w:tr>
          </w:tbl>
          <w:p w14:paraId="7349CE4C">
            <w:pPr>
              <w:spacing w:line="480" w:lineRule="exact"/>
              <w:ind w:firstLine="482" w:firstLineChars="200"/>
              <w:jc w:val="left"/>
              <w:rPr>
                <w:b/>
                <w:sz w:val="24"/>
              </w:rPr>
            </w:pPr>
          </w:p>
          <w:p w14:paraId="6805BE46">
            <w:pPr>
              <w:adjustRightInd w:val="0"/>
              <w:spacing w:line="480" w:lineRule="exact"/>
              <w:ind w:firstLine="440" w:firstLineChars="200"/>
              <w:rPr>
                <w:spacing w:val="-10"/>
                <w:sz w:val="24"/>
              </w:rPr>
            </w:pPr>
            <w:r>
              <w:rPr>
                <w:spacing w:val="-10"/>
                <w:sz w:val="24"/>
              </w:rPr>
              <w:t>(7)废气环境影响分析</w:t>
            </w:r>
          </w:p>
          <w:p w14:paraId="3B175CDA">
            <w:pPr>
              <w:autoSpaceDE w:val="0"/>
              <w:autoSpaceDN w:val="0"/>
              <w:spacing w:line="480" w:lineRule="exact"/>
              <w:ind w:firstLine="480" w:firstLineChars="200"/>
              <w:rPr>
                <w:bCs/>
                <w:sz w:val="24"/>
              </w:rPr>
            </w:pPr>
            <w:r>
              <w:rPr>
                <w:rFonts w:hint="eastAsia"/>
                <w:sz w:val="24"/>
              </w:rPr>
              <w:t>①</w:t>
            </w:r>
            <w:r>
              <w:rPr>
                <w:rFonts w:hint="eastAsia"/>
                <w:bCs/>
                <w:sz w:val="24"/>
              </w:rPr>
              <w:t>DA001排气筒</w:t>
            </w:r>
          </w:p>
          <w:p w14:paraId="62B90A9B">
            <w:pPr>
              <w:autoSpaceDE w:val="0"/>
              <w:autoSpaceDN w:val="0"/>
              <w:spacing w:line="480" w:lineRule="exact"/>
              <w:ind w:firstLine="480" w:firstLineChars="200"/>
              <w:rPr>
                <w:bCs/>
                <w:sz w:val="24"/>
              </w:rPr>
            </w:pPr>
            <w:r>
              <w:rPr>
                <w:rFonts w:hint="eastAsia"/>
                <w:bCs/>
                <w:sz w:val="24"/>
              </w:rPr>
              <w:t>根据工程分析可得，本项目煤矸石烧结空心砖在生产过程中产生的</w:t>
            </w:r>
            <w:r>
              <w:rPr>
                <w:rFonts w:hint="eastAsia"/>
                <w:sz w:val="24"/>
              </w:rPr>
              <w:t>破碎粉尘、筛分粉尘</w:t>
            </w:r>
            <w:r>
              <w:rPr>
                <w:sz w:val="24"/>
              </w:rPr>
              <w:t>最终通过</w:t>
            </w:r>
            <w:r>
              <w:rPr>
                <w:rFonts w:hint="eastAsia"/>
                <w:sz w:val="24"/>
              </w:rPr>
              <w:t>15m高DA001排气筒</w:t>
            </w:r>
            <w:r>
              <w:rPr>
                <w:rFonts w:hint="eastAsia"/>
                <w:bCs/>
                <w:sz w:val="24"/>
              </w:rPr>
              <w:t>排放，颗粒物排放浓度为</w:t>
            </w:r>
            <w:r>
              <w:rPr>
                <w:rFonts w:hint="eastAsia"/>
                <w:bCs/>
                <w:sz w:val="24"/>
                <w:lang w:val="en-US" w:eastAsia="zh-CN"/>
              </w:rPr>
              <w:t>9</w:t>
            </w:r>
            <w:r>
              <w:rPr>
                <w:rFonts w:hint="eastAsia"/>
                <w:bCs/>
                <w:sz w:val="24"/>
              </w:rPr>
              <w:t>mg/m</w:t>
            </w:r>
            <w:r>
              <w:rPr>
                <w:rFonts w:hint="eastAsia"/>
                <w:bCs/>
                <w:sz w:val="24"/>
                <w:vertAlign w:val="superscript"/>
              </w:rPr>
              <w:t>3</w:t>
            </w:r>
            <w:r>
              <w:rPr>
                <w:rFonts w:hint="eastAsia"/>
                <w:bCs/>
                <w:sz w:val="24"/>
              </w:rPr>
              <w:t>，排放速率为0.</w:t>
            </w:r>
            <w:r>
              <w:rPr>
                <w:rFonts w:hint="eastAsia"/>
                <w:bCs/>
                <w:sz w:val="24"/>
                <w:lang w:val="en-US" w:eastAsia="zh-CN"/>
              </w:rPr>
              <w:t>45</w:t>
            </w:r>
            <w:r>
              <w:rPr>
                <w:rFonts w:hint="eastAsia"/>
                <w:bCs/>
                <w:sz w:val="24"/>
              </w:rPr>
              <w:t>kg/h，可满足《砖瓦工业大气污染物排放标准》(DB34/4362-2023)中的标准限值要求(即浓度为10mg/m</w:t>
            </w:r>
            <w:r>
              <w:rPr>
                <w:rFonts w:hint="eastAsia"/>
                <w:bCs/>
                <w:sz w:val="24"/>
                <w:vertAlign w:val="superscript"/>
              </w:rPr>
              <w:t>3</w:t>
            </w:r>
            <w:r>
              <w:rPr>
                <w:rFonts w:hint="eastAsia"/>
                <w:bCs/>
                <w:sz w:val="24"/>
              </w:rPr>
              <w:t>的标准)。</w:t>
            </w:r>
          </w:p>
          <w:p w14:paraId="2796B614">
            <w:pPr>
              <w:autoSpaceDE w:val="0"/>
              <w:autoSpaceDN w:val="0"/>
              <w:spacing w:line="480" w:lineRule="exact"/>
              <w:ind w:firstLine="480" w:firstLineChars="200"/>
              <w:rPr>
                <w:bCs/>
                <w:sz w:val="24"/>
              </w:rPr>
            </w:pPr>
            <w:r>
              <w:rPr>
                <w:rFonts w:hint="eastAsia"/>
                <w:sz w:val="24"/>
              </w:rPr>
              <w:t>②</w:t>
            </w:r>
            <w:r>
              <w:rPr>
                <w:rFonts w:hint="eastAsia"/>
                <w:bCs/>
                <w:sz w:val="24"/>
              </w:rPr>
              <w:t>DA002排气筒</w:t>
            </w:r>
          </w:p>
          <w:p w14:paraId="6FB3D986">
            <w:pPr>
              <w:autoSpaceDE w:val="0"/>
              <w:autoSpaceDN w:val="0"/>
              <w:spacing w:line="480" w:lineRule="exact"/>
              <w:ind w:firstLine="480" w:firstLineChars="200"/>
              <w:rPr>
                <w:bCs/>
                <w:sz w:val="24"/>
              </w:rPr>
            </w:pPr>
            <w:r>
              <w:rPr>
                <w:rFonts w:hint="eastAsia"/>
                <w:bCs/>
                <w:sz w:val="24"/>
              </w:rPr>
              <w:t>根据工程分析可得，本项目煤矸石烧结砖生产过程中产生的</w:t>
            </w:r>
            <w:r>
              <w:rPr>
                <w:rFonts w:hint="eastAsia"/>
                <w:sz w:val="24"/>
              </w:rPr>
              <w:t>干燥焙烧废气</w:t>
            </w:r>
            <w:r>
              <w:rPr>
                <w:sz w:val="24"/>
              </w:rPr>
              <w:t>最终通过</w:t>
            </w:r>
            <w:r>
              <w:rPr>
                <w:rFonts w:hint="eastAsia"/>
                <w:sz w:val="24"/>
              </w:rPr>
              <w:t>35m高DA002排气筒</w:t>
            </w:r>
            <w:r>
              <w:rPr>
                <w:rFonts w:hint="eastAsia"/>
                <w:bCs/>
                <w:sz w:val="24"/>
              </w:rPr>
              <w:t>排放，颗粒物排放浓度为</w:t>
            </w:r>
            <w:r>
              <w:rPr>
                <w:rFonts w:hint="eastAsia"/>
                <w:bCs/>
                <w:sz w:val="24"/>
                <w:lang w:val="en-US" w:eastAsia="zh-CN"/>
              </w:rPr>
              <w:t>4</w:t>
            </w:r>
            <w:r>
              <w:rPr>
                <w:rFonts w:hint="eastAsia"/>
                <w:bCs/>
                <w:sz w:val="24"/>
              </w:rPr>
              <w:t>mg/m</w:t>
            </w:r>
            <w:r>
              <w:rPr>
                <w:rFonts w:hint="eastAsia"/>
                <w:bCs/>
                <w:sz w:val="24"/>
                <w:vertAlign w:val="superscript"/>
              </w:rPr>
              <w:t>3</w:t>
            </w:r>
            <w:r>
              <w:rPr>
                <w:rFonts w:hint="eastAsia"/>
                <w:bCs/>
                <w:sz w:val="24"/>
              </w:rPr>
              <w:t>，SO</w:t>
            </w:r>
            <w:r>
              <w:rPr>
                <w:rFonts w:hint="eastAsia"/>
                <w:bCs/>
                <w:sz w:val="24"/>
                <w:vertAlign w:val="subscript"/>
              </w:rPr>
              <w:t>2</w:t>
            </w:r>
            <w:r>
              <w:rPr>
                <w:rFonts w:hint="eastAsia"/>
                <w:bCs/>
                <w:sz w:val="24"/>
              </w:rPr>
              <w:t>排放浓度为</w:t>
            </w:r>
            <w:r>
              <w:rPr>
                <w:rFonts w:hint="eastAsia"/>
                <w:bCs/>
                <w:sz w:val="24"/>
                <w:lang w:val="en-US" w:eastAsia="zh-CN"/>
              </w:rPr>
              <w:t>29.2</w:t>
            </w:r>
            <w:r>
              <w:rPr>
                <w:rFonts w:hint="eastAsia"/>
                <w:bCs/>
                <w:sz w:val="24"/>
              </w:rPr>
              <w:t>mg/m</w:t>
            </w:r>
            <w:r>
              <w:rPr>
                <w:rFonts w:hint="eastAsia"/>
                <w:bCs/>
                <w:sz w:val="24"/>
                <w:vertAlign w:val="superscript"/>
              </w:rPr>
              <w:t>3</w:t>
            </w:r>
            <w:r>
              <w:rPr>
                <w:rFonts w:hint="eastAsia"/>
                <w:bCs/>
                <w:sz w:val="24"/>
              </w:rPr>
              <w:t>，NOx排放浓度为</w:t>
            </w:r>
            <w:r>
              <w:rPr>
                <w:rFonts w:hint="eastAsia"/>
                <w:bCs/>
                <w:sz w:val="24"/>
                <w:lang w:val="en-US" w:eastAsia="zh-CN"/>
              </w:rPr>
              <w:t>17.4</w:t>
            </w:r>
            <w:r>
              <w:rPr>
                <w:rFonts w:hint="eastAsia"/>
                <w:bCs/>
                <w:sz w:val="24"/>
              </w:rPr>
              <w:t>mg/m</w:t>
            </w:r>
            <w:r>
              <w:rPr>
                <w:rFonts w:hint="eastAsia"/>
                <w:bCs/>
                <w:sz w:val="24"/>
                <w:vertAlign w:val="superscript"/>
              </w:rPr>
              <w:t>3</w:t>
            </w:r>
            <w:r>
              <w:rPr>
                <w:rFonts w:hint="eastAsia"/>
                <w:bCs/>
                <w:sz w:val="24"/>
              </w:rPr>
              <w:t>，</w:t>
            </w:r>
            <w:r>
              <w:rPr>
                <w:rFonts w:hint="eastAsia"/>
                <w:bCs/>
                <w:sz w:val="24"/>
                <w:lang w:val="en-US" w:eastAsia="zh-CN"/>
              </w:rPr>
              <w:t>氨</w:t>
            </w:r>
            <w:r>
              <w:rPr>
                <w:rFonts w:hint="eastAsia"/>
                <w:bCs/>
                <w:sz w:val="24"/>
              </w:rPr>
              <w:t>排放浓度为</w:t>
            </w:r>
            <w:r>
              <w:rPr>
                <w:rFonts w:hint="eastAsia"/>
                <w:bCs/>
                <w:sz w:val="24"/>
                <w:lang w:val="en-US" w:eastAsia="zh-CN"/>
              </w:rPr>
              <w:t>3</w:t>
            </w:r>
            <w:r>
              <w:rPr>
                <w:rFonts w:hint="eastAsia"/>
                <w:bCs/>
                <w:sz w:val="24"/>
              </w:rPr>
              <w:t>mg/m</w:t>
            </w:r>
            <w:r>
              <w:rPr>
                <w:rFonts w:hint="eastAsia"/>
                <w:bCs/>
                <w:sz w:val="24"/>
                <w:vertAlign w:val="superscript"/>
              </w:rPr>
              <w:t>3</w:t>
            </w:r>
            <w:r>
              <w:rPr>
                <w:rFonts w:hint="eastAsia"/>
                <w:bCs/>
                <w:sz w:val="24"/>
              </w:rPr>
              <w:t>，氟化物排放浓度为</w:t>
            </w:r>
            <w:r>
              <w:rPr>
                <w:rFonts w:hint="eastAsia"/>
                <w:bCs/>
                <w:sz w:val="24"/>
                <w:lang w:val="en-US" w:eastAsia="zh-CN"/>
              </w:rPr>
              <w:t>1.1</w:t>
            </w:r>
            <w:r>
              <w:rPr>
                <w:rFonts w:hint="eastAsia"/>
                <w:bCs/>
                <w:sz w:val="24"/>
              </w:rPr>
              <w:t>mg/m</w:t>
            </w:r>
            <w:r>
              <w:rPr>
                <w:rFonts w:hint="eastAsia"/>
                <w:bCs/>
                <w:sz w:val="24"/>
                <w:vertAlign w:val="superscript"/>
              </w:rPr>
              <w:t>3</w:t>
            </w:r>
            <w:r>
              <w:rPr>
                <w:rFonts w:hint="eastAsia"/>
                <w:bCs/>
                <w:sz w:val="24"/>
              </w:rPr>
              <w:t>，可满足《砖瓦工业大气污染物排放标准》(DB34/4362-2023)中的标准限值要求(即颗粒物浓度为10mg/m</w:t>
            </w:r>
            <w:r>
              <w:rPr>
                <w:rFonts w:hint="eastAsia"/>
                <w:bCs/>
                <w:sz w:val="24"/>
                <w:vertAlign w:val="superscript"/>
              </w:rPr>
              <w:t>3</w:t>
            </w:r>
            <w:r>
              <w:rPr>
                <w:rFonts w:hint="eastAsia"/>
                <w:bCs/>
                <w:sz w:val="24"/>
              </w:rPr>
              <w:t>、SO浓度为50mg/m</w:t>
            </w:r>
            <w:r>
              <w:rPr>
                <w:rFonts w:hint="eastAsia"/>
                <w:bCs/>
                <w:sz w:val="24"/>
                <w:vertAlign w:val="superscript"/>
              </w:rPr>
              <w:t>3</w:t>
            </w:r>
            <w:r>
              <w:rPr>
                <w:rFonts w:hint="eastAsia"/>
                <w:bCs/>
                <w:sz w:val="24"/>
              </w:rPr>
              <w:t>、NOx浓度为100mg/m</w:t>
            </w:r>
            <w:r>
              <w:rPr>
                <w:rFonts w:hint="eastAsia"/>
                <w:bCs/>
                <w:sz w:val="24"/>
                <w:vertAlign w:val="superscript"/>
              </w:rPr>
              <w:t>3</w:t>
            </w:r>
            <w:r>
              <w:rPr>
                <w:rFonts w:hint="eastAsia"/>
                <w:bCs/>
                <w:sz w:val="24"/>
              </w:rPr>
              <w:t>、</w:t>
            </w:r>
            <w:r>
              <w:rPr>
                <w:rFonts w:hint="eastAsia"/>
                <w:bCs/>
                <w:sz w:val="24"/>
                <w:lang w:val="en-US" w:eastAsia="zh-CN"/>
              </w:rPr>
              <w:t>氟化物</w:t>
            </w:r>
            <w:r>
              <w:rPr>
                <w:rFonts w:hint="eastAsia"/>
                <w:bCs/>
                <w:sz w:val="24"/>
              </w:rPr>
              <w:t>浓度为3mg/m</w:t>
            </w:r>
            <w:r>
              <w:rPr>
                <w:rFonts w:hint="eastAsia"/>
                <w:bCs/>
                <w:sz w:val="24"/>
                <w:vertAlign w:val="superscript"/>
              </w:rPr>
              <w:t>3</w:t>
            </w:r>
            <w:r>
              <w:rPr>
                <w:rFonts w:hint="eastAsia"/>
                <w:bCs/>
                <w:sz w:val="24"/>
              </w:rPr>
              <w:t>、</w:t>
            </w:r>
            <w:r>
              <w:rPr>
                <w:rFonts w:hint="eastAsia"/>
                <w:bCs/>
                <w:sz w:val="24"/>
                <w:lang w:val="en-US" w:eastAsia="zh-CN"/>
              </w:rPr>
              <w:t>氨</w:t>
            </w:r>
            <w:r>
              <w:rPr>
                <w:rFonts w:hint="eastAsia"/>
                <w:bCs/>
                <w:sz w:val="24"/>
              </w:rPr>
              <w:t>浓度为8mg/m</w:t>
            </w:r>
            <w:r>
              <w:rPr>
                <w:rFonts w:hint="eastAsia"/>
                <w:bCs/>
                <w:sz w:val="24"/>
                <w:vertAlign w:val="superscript"/>
              </w:rPr>
              <w:t>3</w:t>
            </w:r>
            <w:r>
              <w:rPr>
                <w:rFonts w:hint="eastAsia"/>
                <w:bCs/>
                <w:sz w:val="24"/>
              </w:rPr>
              <w:t>的标准)。</w:t>
            </w:r>
          </w:p>
          <w:p w14:paraId="49CB39D8">
            <w:pPr>
              <w:tabs>
                <w:tab w:val="left" w:pos="2940"/>
              </w:tabs>
              <w:spacing w:line="480" w:lineRule="exact"/>
              <w:ind w:firstLine="480" w:firstLineChars="200"/>
              <w:rPr>
                <w:spacing w:val="6"/>
                <w:sz w:val="24"/>
              </w:rPr>
            </w:pPr>
            <w:r>
              <w:rPr>
                <w:sz w:val="24"/>
              </w:rPr>
              <w:t>综上所述，本项目运营期产生的废气经采取合理、有效的控制措施后，对周围空气环境质量影响较小</w:t>
            </w:r>
            <w:r>
              <w:rPr>
                <w:spacing w:val="6"/>
                <w:sz w:val="24"/>
              </w:rPr>
              <w:t>。</w:t>
            </w:r>
          </w:p>
          <w:p w14:paraId="09440F08">
            <w:pPr>
              <w:adjustRightInd w:val="0"/>
              <w:spacing w:line="440" w:lineRule="exact"/>
              <w:ind w:firstLine="442" w:firstLineChars="200"/>
              <w:rPr>
                <w:b/>
                <w:bCs/>
                <w:spacing w:val="-10"/>
                <w:sz w:val="24"/>
              </w:rPr>
            </w:pPr>
          </w:p>
          <w:p w14:paraId="5EA4C828">
            <w:pPr>
              <w:adjustRightInd w:val="0"/>
              <w:spacing w:line="480" w:lineRule="exact"/>
              <w:ind w:firstLine="440" w:firstLineChars="200"/>
              <w:rPr>
                <w:rFonts w:hint="eastAsia" w:ascii="黑体" w:hAnsi="黑体" w:eastAsia="黑体" w:cs="黑体"/>
                <w:spacing w:val="-10"/>
                <w:sz w:val="24"/>
              </w:rPr>
            </w:pPr>
            <w:r>
              <w:rPr>
                <w:rFonts w:hint="eastAsia" w:ascii="黑体" w:hAnsi="黑体" w:eastAsia="黑体" w:cs="黑体"/>
                <w:spacing w:val="-10"/>
                <w:sz w:val="24"/>
              </w:rPr>
              <w:t>2、废水</w:t>
            </w:r>
          </w:p>
          <w:p w14:paraId="5C0DD780">
            <w:pPr>
              <w:spacing w:line="480" w:lineRule="exact"/>
              <w:ind w:firstLine="470" w:firstLineChars="196"/>
              <w:rPr>
                <w:sz w:val="24"/>
              </w:rPr>
            </w:pPr>
            <w:r>
              <w:rPr>
                <w:rFonts w:hint="eastAsia"/>
                <w:sz w:val="24"/>
              </w:rPr>
              <w:t>本项目不新增员工，</w:t>
            </w:r>
            <w:r>
              <w:rPr>
                <w:rFonts w:hint="eastAsia"/>
                <w:sz w:val="24"/>
                <w:lang w:val="en-US" w:eastAsia="zh-CN"/>
              </w:rPr>
              <w:t>新增</w:t>
            </w:r>
            <w:r>
              <w:rPr>
                <w:rFonts w:hint="eastAsia"/>
                <w:sz w:val="24"/>
              </w:rPr>
              <w:t>喷淋水自然挥发，不产生废水；车辆清洗废水经沉淀池沉淀后循环使用，不外排；生产用水带入产品，不产生废水；湿电除尘废水经沉淀池沉淀后循环使用，不外排；脱硫废水经沉淀池沉淀后循环使用，不外排</w:t>
            </w:r>
            <w:r>
              <w:rPr>
                <w:sz w:val="24"/>
              </w:rPr>
              <w:t>。</w:t>
            </w:r>
          </w:p>
          <w:p w14:paraId="6413923E">
            <w:pPr>
              <w:spacing w:line="480" w:lineRule="exact"/>
              <w:ind w:firstLine="480" w:firstLineChars="200"/>
              <w:rPr>
                <w:rFonts w:hint="eastAsia" w:ascii="黑体" w:hAnsi="黑体" w:eastAsia="黑体" w:cs="黑体"/>
                <w:bCs/>
                <w:sz w:val="24"/>
              </w:rPr>
            </w:pPr>
            <w:r>
              <w:rPr>
                <w:rFonts w:hint="eastAsia" w:ascii="黑体" w:hAnsi="黑体" w:eastAsia="黑体" w:cs="黑体"/>
                <w:bCs/>
                <w:sz w:val="24"/>
              </w:rPr>
              <w:t>3、噪声</w:t>
            </w:r>
          </w:p>
          <w:p w14:paraId="15F7A131">
            <w:pPr>
              <w:spacing w:line="480" w:lineRule="exact"/>
              <w:ind w:firstLine="480" w:firstLineChars="200"/>
              <w:rPr>
                <w:rFonts w:hint="eastAsia" w:ascii="宋体" w:hAnsi="宋体" w:cs="宋体"/>
                <w:bCs/>
                <w:sz w:val="24"/>
              </w:rPr>
            </w:pPr>
            <w:r>
              <w:rPr>
                <w:rFonts w:hint="eastAsia" w:ascii="宋体" w:hAnsi="宋体" w:cs="宋体"/>
                <w:bCs/>
                <w:sz w:val="24"/>
              </w:rPr>
              <w:t>(1)噪声源强</w:t>
            </w:r>
          </w:p>
          <w:p w14:paraId="6D7FFBE3">
            <w:pPr>
              <w:spacing w:line="480" w:lineRule="exact"/>
              <w:ind w:firstLine="480" w:firstLineChars="200"/>
              <w:rPr>
                <w:rFonts w:hint="eastAsia"/>
                <w:sz w:val="24"/>
              </w:rPr>
            </w:pPr>
            <w:r>
              <w:rPr>
                <w:rFonts w:hint="eastAsia"/>
                <w:sz w:val="24"/>
              </w:rPr>
              <w:t>本次</w:t>
            </w:r>
            <w:r>
              <w:rPr>
                <w:rFonts w:hAnsi="Calibri"/>
                <w:sz w:val="24"/>
              </w:rPr>
              <w:t>主要增加的产噪设备为</w:t>
            </w:r>
            <w:r>
              <w:rPr>
                <w:sz w:val="24"/>
              </w:rPr>
              <w:t>1</w:t>
            </w:r>
            <w:r>
              <w:rPr>
                <w:rFonts w:hAnsi="Calibri"/>
                <w:sz w:val="24"/>
              </w:rPr>
              <w:t>台</w:t>
            </w:r>
            <w:r>
              <w:rPr>
                <w:rFonts w:hint="eastAsia" w:hAnsi="Calibri"/>
                <w:sz w:val="24"/>
                <w:lang w:val="en-US" w:eastAsia="zh-CN"/>
              </w:rPr>
              <w:t>破碎机</w:t>
            </w:r>
            <w:r>
              <w:rPr>
                <w:rFonts w:hAnsi="Calibri"/>
                <w:sz w:val="24"/>
              </w:rPr>
              <w:t>、</w:t>
            </w:r>
            <w:r>
              <w:rPr>
                <w:rFonts w:hint="eastAsia" w:hAnsi="Calibri"/>
                <w:sz w:val="24"/>
                <w:lang w:val="en-US" w:eastAsia="zh-CN"/>
              </w:rPr>
              <w:t>2</w:t>
            </w:r>
            <w:r>
              <w:rPr>
                <w:rFonts w:hint="eastAsia" w:hAnsi="Calibri"/>
                <w:sz w:val="24"/>
              </w:rPr>
              <w:t>台</w:t>
            </w:r>
            <w:r>
              <w:rPr>
                <w:rFonts w:hint="eastAsia" w:hAnsi="Calibri"/>
                <w:sz w:val="24"/>
                <w:lang w:val="en-US" w:eastAsia="zh-CN"/>
              </w:rPr>
              <w:t>码坯机、1台包装机、</w:t>
            </w:r>
            <w:r>
              <w:rPr>
                <w:rFonts w:hint="eastAsia" w:hAnsi="Calibri"/>
                <w:sz w:val="24"/>
              </w:rPr>
              <w:t>废气处理设施风机</w:t>
            </w:r>
            <w:r>
              <w:rPr>
                <w:rFonts w:hint="eastAsia" w:hAnsi="Calibri"/>
                <w:sz w:val="24"/>
                <w:lang w:val="en-US" w:eastAsia="zh-CN"/>
              </w:rPr>
              <w:t>等</w:t>
            </w:r>
            <w:r>
              <w:rPr>
                <w:rFonts w:hint="eastAsia"/>
                <w:sz w:val="24"/>
              </w:rPr>
              <w:t>，</w:t>
            </w:r>
            <w:r>
              <w:rPr>
                <w:sz w:val="24"/>
              </w:rPr>
              <w:t>项目采用减振、隔声措施后，能有效减低噪声环境影响。具体新增设备噪声源强见下表</w:t>
            </w:r>
            <w:r>
              <w:rPr>
                <w:rFonts w:hint="eastAsia"/>
                <w:sz w:val="24"/>
              </w:rPr>
              <w:t>，</w:t>
            </w:r>
            <w:r>
              <w:rPr>
                <w:sz w:val="24"/>
              </w:rPr>
              <w:t>本次噪声核算</w:t>
            </w:r>
            <w:r>
              <w:rPr>
                <w:rFonts w:hint="eastAsia"/>
                <w:sz w:val="24"/>
              </w:rPr>
              <w:t>，</w:t>
            </w:r>
            <w:r>
              <w:rPr>
                <w:sz w:val="24"/>
              </w:rPr>
              <w:t>通过核算改扩建新增设备贡献值，叠加现有工程噪声现状值预测全厂噪声贡献值</w:t>
            </w:r>
            <w:r>
              <w:rPr>
                <w:rFonts w:hint="eastAsia"/>
                <w:sz w:val="24"/>
              </w:rPr>
              <w:t>。</w:t>
            </w:r>
          </w:p>
          <w:p w14:paraId="351E4313">
            <w:pPr>
              <w:spacing w:line="480" w:lineRule="exact"/>
              <w:jc w:val="center"/>
              <w:rPr>
                <w:rFonts w:hint="eastAsia" w:ascii="黑体" w:hAnsi="黑体" w:eastAsia="黑体" w:cs="黑体"/>
                <w:sz w:val="24"/>
              </w:rPr>
            </w:pPr>
            <w:r>
              <w:rPr>
                <w:rFonts w:hint="eastAsia" w:ascii="黑体" w:hAnsi="黑体" w:eastAsia="黑体" w:cs="黑体"/>
                <w:sz w:val="24"/>
              </w:rPr>
              <w:t>表4-9  工业企业噪声源强调查清单(室</w:t>
            </w:r>
            <w:r>
              <w:rPr>
                <w:rFonts w:hint="eastAsia" w:ascii="黑体" w:hAnsi="黑体" w:eastAsia="黑体" w:cs="黑体"/>
                <w:color w:val="0000FF"/>
                <w:sz w:val="24"/>
                <w:lang w:val="en-US" w:eastAsia="zh-CN"/>
              </w:rPr>
              <w:t>外</w:t>
            </w:r>
            <w:r>
              <w:rPr>
                <w:rFonts w:hint="eastAsia" w:ascii="黑体" w:hAnsi="黑体" w:eastAsia="黑体" w:cs="黑体"/>
                <w:sz w:val="24"/>
              </w:rPr>
              <w:t>声源)</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021"/>
              <w:gridCol w:w="687"/>
              <w:gridCol w:w="808"/>
              <w:gridCol w:w="779"/>
              <w:gridCol w:w="1738"/>
              <w:gridCol w:w="1039"/>
              <w:gridCol w:w="1705"/>
            </w:tblGrid>
            <w:tr w14:paraId="0D5F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680" w:type="dxa"/>
                  <w:vMerge w:val="restart"/>
                  <w:noWrap w:val="0"/>
                  <w:vAlign w:val="center"/>
                </w:tcPr>
                <w:p w14:paraId="66E110CA">
                  <w:pPr>
                    <w:spacing w:before="100" w:beforeAutospacing="1" w:after="100" w:afterAutospacing="1" w:line="276" w:lineRule="auto"/>
                    <w:jc w:val="center"/>
                    <w:rPr>
                      <w:bCs/>
                      <w:szCs w:val="21"/>
                    </w:rPr>
                  </w:pPr>
                  <w:r>
                    <w:rPr>
                      <w:bCs/>
                      <w:szCs w:val="21"/>
                    </w:rPr>
                    <w:t>序号</w:t>
                  </w:r>
                </w:p>
              </w:tc>
              <w:tc>
                <w:tcPr>
                  <w:tcW w:w="1021" w:type="dxa"/>
                  <w:vMerge w:val="restart"/>
                  <w:noWrap w:val="0"/>
                  <w:vAlign w:val="center"/>
                </w:tcPr>
                <w:p w14:paraId="0A12AA7B">
                  <w:pPr>
                    <w:spacing w:before="100" w:beforeAutospacing="1" w:after="100" w:afterAutospacing="1" w:line="276" w:lineRule="auto"/>
                    <w:jc w:val="center"/>
                    <w:rPr>
                      <w:bCs/>
                      <w:szCs w:val="21"/>
                    </w:rPr>
                  </w:pPr>
                  <w:r>
                    <w:rPr>
                      <w:bCs/>
                      <w:szCs w:val="21"/>
                    </w:rPr>
                    <w:t>声源名称</w:t>
                  </w:r>
                </w:p>
              </w:tc>
              <w:tc>
                <w:tcPr>
                  <w:tcW w:w="2274" w:type="dxa"/>
                  <w:gridSpan w:val="3"/>
                  <w:noWrap w:val="0"/>
                  <w:vAlign w:val="center"/>
                </w:tcPr>
                <w:p w14:paraId="401F462B">
                  <w:pPr>
                    <w:spacing w:before="100" w:beforeAutospacing="1" w:after="100" w:afterAutospacing="1" w:line="276" w:lineRule="auto"/>
                    <w:jc w:val="center"/>
                    <w:rPr>
                      <w:bCs/>
                      <w:szCs w:val="21"/>
                    </w:rPr>
                  </w:pPr>
                  <w:r>
                    <w:rPr>
                      <w:bCs/>
                      <w:szCs w:val="21"/>
                    </w:rPr>
                    <w:t>空间相对位置</w:t>
                  </w:r>
                  <w:r>
                    <w:rPr>
                      <w:rFonts w:hint="eastAsia"/>
                      <w:bCs/>
                      <w:szCs w:val="21"/>
                    </w:rPr>
                    <w:t>(m)</w:t>
                  </w:r>
                </w:p>
              </w:tc>
              <w:tc>
                <w:tcPr>
                  <w:tcW w:w="1738" w:type="dxa"/>
                  <w:noWrap w:val="0"/>
                  <w:vAlign w:val="center"/>
                </w:tcPr>
                <w:p w14:paraId="76E5BC39">
                  <w:pPr>
                    <w:spacing w:before="100" w:beforeAutospacing="1" w:after="100" w:afterAutospacing="1" w:line="276" w:lineRule="auto"/>
                    <w:jc w:val="center"/>
                    <w:rPr>
                      <w:bCs/>
                      <w:szCs w:val="21"/>
                    </w:rPr>
                  </w:pPr>
                  <w:r>
                    <w:rPr>
                      <w:bCs/>
                      <w:szCs w:val="21"/>
                    </w:rPr>
                    <w:t>声源源强</w:t>
                  </w:r>
                </w:p>
              </w:tc>
              <w:tc>
                <w:tcPr>
                  <w:tcW w:w="1039" w:type="dxa"/>
                  <w:vMerge w:val="restart"/>
                  <w:noWrap w:val="0"/>
                  <w:vAlign w:val="center"/>
                </w:tcPr>
                <w:p w14:paraId="3240CD36">
                  <w:pPr>
                    <w:spacing w:before="100" w:beforeAutospacing="1" w:after="100" w:afterAutospacing="1" w:line="276" w:lineRule="auto"/>
                    <w:jc w:val="center"/>
                    <w:rPr>
                      <w:bCs/>
                      <w:szCs w:val="21"/>
                    </w:rPr>
                  </w:pPr>
                  <w:r>
                    <w:rPr>
                      <w:bCs/>
                      <w:szCs w:val="21"/>
                    </w:rPr>
                    <w:t>声源控制措施</w:t>
                  </w:r>
                </w:p>
              </w:tc>
              <w:tc>
                <w:tcPr>
                  <w:tcW w:w="1705" w:type="dxa"/>
                  <w:vMerge w:val="restart"/>
                  <w:noWrap w:val="0"/>
                  <w:vAlign w:val="center"/>
                </w:tcPr>
                <w:p w14:paraId="08C0444E">
                  <w:pPr>
                    <w:spacing w:before="100" w:beforeAutospacing="1" w:after="100" w:afterAutospacing="1" w:line="276" w:lineRule="auto"/>
                    <w:jc w:val="center"/>
                    <w:rPr>
                      <w:bCs/>
                      <w:szCs w:val="21"/>
                    </w:rPr>
                  </w:pPr>
                  <w:r>
                    <w:rPr>
                      <w:bCs/>
                      <w:szCs w:val="21"/>
                    </w:rPr>
                    <w:t>运行时段</w:t>
                  </w:r>
                </w:p>
              </w:tc>
            </w:tr>
            <w:tr w14:paraId="725C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vMerge w:val="continue"/>
                  <w:noWrap w:val="0"/>
                  <w:vAlign w:val="center"/>
                </w:tcPr>
                <w:p w14:paraId="29F00EB3">
                  <w:pPr>
                    <w:spacing w:before="100" w:beforeAutospacing="1" w:after="100" w:afterAutospacing="1" w:line="276" w:lineRule="auto"/>
                    <w:jc w:val="center"/>
                    <w:rPr>
                      <w:bCs/>
                      <w:szCs w:val="21"/>
                    </w:rPr>
                  </w:pPr>
                </w:p>
              </w:tc>
              <w:tc>
                <w:tcPr>
                  <w:tcW w:w="1021" w:type="dxa"/>
                  <w:vMerge w:val="continue"/>
                  <w:noWrap w:val="0"/>
                  <w:vAlign w:val="center"/>
                </w:tcPr>
                <w:p w14:paraId="60A23436">
                  <w:pPr>
                    <w:spacing w:before="100" w:beforeAutospacing="1" w:after="100" w:afterAutospacing="1" w:line="276" w:lineRule="auto"/>
                    <w:jc w:val="center"/>
                    <w:rPr>
                      <w:bCs/>
                      <w:szCs w:val="21"/>
                    </w:rPr>
                  </w:pPr>
                </w:p>
              </w:tc>
              <w:tc>
                <w:tcPr>
                  <w:tcW w:w="687" w:type="dxa"/>
                  <w:noWrap w:val="0"/>
                  <w:vAlign w:val="center"/>
                </w:tcPr>
                <w:p w14:paraId="386CCD3F">
                  <w:pPr>
                    <w:spacing w:before="100" w:beforeAutospacing="1" w:after="100" w:afterAutospacing="1" w:line="276" w:lineRule="auto"/>
                    <w:jc w:val="center"/>
                    <w:rPr>
                      <w:bCs/>
                      <w:szCs w:val="21"/>
                    </w:rPr>
                  </w:pPr>
                  <w:r>
                    <w:rPr>
                      <w:rFonts w:hint="eastAsia"/>
                      <w:bCs/>
                      <w:szCs w:val="21"/>
                    </w:rPr>
                    <w:t>X</w:t>
                  </w:r>
                </w:p>
              </w:tc>
              <w:tc>
                <w:tcPr>
                  <w:tcW w:w="808" w:type="dxa"/>
                  <w:noWrap w:val="0"/>
                  <w:vAlign w:val="center"/>
                </w:tcPr>
                <w:p w14:paraId="5F317032">
                  <w:pPr>
                    <w:spacing w:before="100" w:beforeAutospacing="1" w:after="100" w:afterAutospacing="1" w:line="276" w:lineRule="auto"/>
                    <w:jc w:val="center"/>
                    <w:rPr>
                      <w:bCs/>
                      <w:szCs w:val="21"/>
                    </w:rPr>
                  </w:pPr>
                  <w:r>
                    <w:rPr>
                      <w:rFonts w:hint="eastAsia"/>
                      <w:bCs/>
                      <w:szCs w:val="21"/>
                    </w:rPr>
                    <w:t>Y</w:t>
                  </w:r>
                </w:p>
              </w:tc>
              <w:tc>
                <w:tcPr>
                  <w:tcW w:w="779" w:type="dxa"/>
                  <w:noWrap w:val="0"/>
                  <w:vAlign w:val="center"/>
                </w:tcPr>
                <w:p w14:paraId="60DB26DE">
                  <w:pPr>
                    <w:spacing w:before="100" w:beforeAutospacing="1" w:after="100" w:afterAutospacing="1" w:line="276" w:lineRule="auto"/>
                    <w:jc w:val="center"/>
                    <w:rPr>
                      <w:bCs/>
                      <w:szCs w:val="21"/>
                    </w:rPr>
                  </w:pPr>
                  <w:r>
                    <w:rPr>
                      <w:rFonts w:hint="eastAsia"/>
                      <w:bCs/>
                      <w:szCs w:val="21"/>
                    </w:rPr>
                    <w:t>Z</w:t>
                  </w:r>
                </w:p>
              </w:tc>
              <w:tc>
                <w:tcPr>
                  <w:tcW w:w="1738" w:type="dxa"/>
                  <w:noWrap w:val="0"/>
                  <w:vAlign w:val="center"/>
                </w:tcPr>
                <w:p w14:paraId="6D5C9571">
                  <w:pPr>
                    <w:spacing w:before="100" w:beforeAutospacing="1" w:after="100" w:afterAutospacing="1" w:line="276" w:lineRule="auto"/>
                    <w:jc w:val="center"/>
                    <w:rPr>
                      <w:bCs/>
                      <w:szCs w:val="21"/>
                    </w:rPr>
                  </w:pPr>
                  <w:r>
                    <w:rPr>
                      <w:bCs/>
                      <w:szCs w:val="21"/>
                    </w:rPr>
                    <w:t>声压级/dB(A)</w:t>
                  </w:r>
                  <w:r>
                    <w:rPr>
                      <w:rFonts w:hint="eastAsia"/>
                      <w:bCs/>
                      <w:szCs w:val="21"/>
                    </w:rPr>
                    <w:t>/1m</w:t>
                  </w:r>
                </w:p>
              </w:tc>
              <w:tc>
                <w:tcPr>
                  <w:tcW w:w="1039" w:type="dxa"/>
                  <w:vMerge w:val="continue"/>
                  <w:noWrap w:val="0"/>
                  <w:vAlign w:val="center"/>
                </w:tcPr>
                <w:p w14:paraId="31C6DBCF">
                  <w:pPr>
                    <w:spacing w:before="100" w:beforeAutospacing="1" w:after="100" w:afterAutospacing="1" w:line="276" w:lineRule="auto"/>
                    <w:jc w:val="center"/>
                    <w:rPr>
                      <w:bCs/>
                      <w:szCs w:val="21"/>
                    </w:rPr>
                  </w:pPr>
                </w:p>
              </w:tc>
              <w:tc>
                <w:tcPr>
                  <w:tcW w:w="1705" w:type="dxa"/>
                  <w:vMerge w:val="continue"/>
                  <w:noWrap w:val="0"/>
                  <w:vAlign w:val="center"/>
                </w:tcPr>
                <w:p w14:paraId="4D8D7BCB">
                  <w:pPr>
                    <w:spacing w:before="100" w:beforeAutospacing="1" w:after="100" w:afterAutospacing="1" w:line="276" w:lineRule="auto"/>
                    <w:jc w:val="center"/>
                    <w:rPr>
                      <w:bCs/>
                      <w:szCs w:val="21"/>
                    </w:rPr>
                  </w:pPr>
                </w:p>
              </w:tc>
            </w:tr>
            <w:tr w14:paraId="3BE5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0" w:type="dxa"/>
                  <w:noWrap w:val="0"/>
                  <w:vAlign w:val="center"/>
                </w:tcPr>
                <w:p w14:paraId="1BB67173">
                  <w:pPr>
                    <w:spacing w:before="100" w:beforeAutospacing="1" w:after="100" w:afterAutospacing="1" w:line="276" w:lineRule="auto"/>
                    <w:jc w:val="center"/>
                    <w:rPr>
                      <w:bCs/>
                      <w:szCs w:val="21"/>
                    </w:rPr>
                  </w:pPr>
                  <w:r>
                    <w:rPr>
                      <w:bCs/>
                      <w:szCs w:val="21"/>
                    </w:rPr>
                    <w:t>1</w:t>
                  </w:r>
                </w:p>
              </w:tc>
              <w:tc>
                <w:tcPr>
                  <w:tcW w:w="1021" w:type="dxa"/>
                  <w:noWrap w:val="0"/>
                  <w:vAlign w:val="center"/>
                </w:tcPr>
                <w:p w14:paraId="6C5A5094">
                  <w:pPr>
                    <w:spacing w:before="100" w:beforeAutospacing="1" w:after="100" w:afterAutospacing="1" w:line="276" w:lineRule="auto"/>
                    <w:jc w:val="center"/>
                    <w:rPr>
                      <w:bCs/>
                      <w:szCs w:val="21"/>
                    </w:rPr>
                  </w:pPr>
                  <w:r>
                    <w:rPr>
                      <w:rFonts w:hint="eastAsia"/>
                      <w:bCs/>
                      <w:szCs w:val="21"/>
                      <w:lang w:val="en-US" w:eastAsia="zh-CN"/>
                    </w:rPr>
                    <w:t>上料筛分破碎</w:t>
                  </w:r>
                  <w:r>
                    <w:rPr>
                      <w:bCs/>
                      <w:szCs w:val="21"/>
                    </w:rPr>
                    <w:t>风机</w:t>
                  </w:r>
                </w:p>
              </w:tc>
              <w:tc>
                <w:tcPr>
                  <w:tcW w:w="687" w:type="dxa"/>
                  <w:noWrap w:val="0"/>
                  <w:vAlign w:val="center"/>
                </w:tcPr>
                <w:p w14:paraId="7EC64925">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56</w:t>
                  </w:r>
                </w:p>
              </w:tc>
              <w:tc>
                <w:tcPr>
                  <w:tcW w:w="808" w:type="dxa"/>
                  <w:noWrap w:val="0"/>
                  <w:vAlign w:val="center"/>
                </w:tcPr>
                <w:p w14:paraId="4CC92FF9">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63</w:t>
                  </w:r>
                </w:p>
              </w:tc>
              <w:tc>
                <w:tcPr>
                  <w:tcW w:w="779" w:type="dxa"/>
                  <w:noWrap w:val="0"/>
                  <w:vAlign w:val="center"/>
                </w:tcPr>
                <w:p w14:paraId="4FC7FA3C">
                  <w:pPr>
                    <w:spacing w:before="100" w:beforeAutospacing="1" w:after="100" w:afterAutospacing="1" w:line="276" w:lineRule="auto"/>
                    <w:jc w:val="center"/>
                    <w:rPr>
                      <w:bCs/>
                      <w:szCs w:val="21"/>
                    </w:rPr>
                  </w:pPr>
                  <w:r>
                    <w:rPr>
                      <w:rFonts w:hint="eastAsia"/>
                      <w:bCs/>
                      <w:szCs w:val="21"/>
                    </w:rPr>
                    <w:t>1.2</w:t>
                  </w:r>
                </w:p>
              </w:tc>
              <w:tc>
                <w:tcPr>
                  <w:tcW w:w="1738" w:type="dxa"/>
                  <w:noWrap w:val="0"/>
                  <w:vAlign w:val="center"/>
                </w:tcPr>
                <w:p w14:paraId="7BAD0793">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90</w:t>
                  </w:r>
                </w:p>
              </w:tc>
              <w:tc>
                <w:tcPr>
                  <w:tcW w:w="1039" w:type="dxa"/>
                  <w:vMerge w:val="restart"/>
                  <w:noWrap w:val="0"/>
                  <w:vAlign w:val="center"/>
                </w:tcPr>
                <w:p w14:paraId="3272E48D">
                  <w:pPr>
                    <w:spacing w:before="100" w:beforeAutospacing="1" w:after="100" w:afterAutospacing="1" w:line="276" w:lineRule="auto"/>
                    <w:jc w:val="center"/>
                    <w:rPr>
                      <w:bCs/>
                      <w:szCs w:val="21"/>
                    </w:rPr>
                  </w:pPr>
                  <w:r>
                    <w:rPr>
                      <w:bCs/>
                      <w:szCs w:val="21"/>
                    </w:rPr>
                    <w:t>减振、消声、设置隔声罩</w:t>
                  </w:r>
                </w:p>
              </w:tc>
              <w:tc>
                <w:tcPr>
                  <w:tcW w:w="1705" w:type="dxa"/>
                  <w:noWrap w:val="0"/>
                  <w:vAlign w:val="center"/>
                </w:tcPr>
                <w:p w14:paraId="28B05EFC">
                  <w:pPr>
                    <w:spacing w:line="276" w:lineRule="auto"/>
                    <w:jc w:val="center"/>
                    <w:rPr>
                      <w:bCs/>
                      <w:szCs w:val="21"/>
                    </w:rPr>
                  </w:pPr>
                  <w:r>
                    <w:rPr>
                      <w:rFonts w:hint="eastAsia"/>
                      <w:bCs/>
                      <w:szCs w:val="21"/>
                    </w:rPr>
                    <w:t>昼间</w:t>
                  </w:r>
                </w:p>
              </w:tc>
            </w:tr>
            <w:tr w14:paraId="68C2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80" w:type="dxa"/>
                  <w:noWrap w:val="0"/>
                  <w:vAlign w:val="center"/>
                </w:tcPr>
                <w:p w14:paraId="0FB2DFDD">
                  <w:pPr>
                    <w:spacing w:before="100" w:beforeAutospacing="1" w:after="100" w:afterAutospacing="1" w:line="276" w:lineRule="auto"/>
                    <w:jc w:val="center"/>
                    <w:rPr>
                      <w:rFonts w:hint="eastAsia" w:eastAsia="宋体"/>
                      <w:bCs/>
                      <w:szCs w:val="21"/>
                      <w:lang w:val="en-US" w:eastAsia="zh-CN"/>
                    </w:rPr>
                  </w:pPr>
                  <w:r>
                    <w:rPr>
                      <w:rFonts w:hint="eastAsia"/>
                      <w:bCs/>
                      <w:szCs w:val="21"/>
                      <w:lang w:val="en-US" w:eastAsia="zh-CN"/>
                    </w:rPr>
                    <w:t>2</w:t>
                  </w:r>
                </w:p>
              </w:tc>
              <w:tc>
                <w:tcPr>
                  <w:tcW w:w="1021" w:type="dxa"/>
                  <w:noWrap w:val="0"/>
                  <w:vAlign w:val="center"/>
                </w:tcPr>
                <w:p w14:paraId="73570677">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窑炉风机</w:t>
                  </w:r>
                </w:p>
              </w:tc>
              <w:tc>
                <w:tcPr>
                  <w:tcW w:w="687" w:type="dxa"/>
                  <w:noWrap w:val="0"/>
                  <w:vAlign w:val="center"/>
                </w:tcPr>
                <w:p w14:paraId="630FF5D1">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130</w:t>
                  </w:r>
                </w:p>
              </w:tc>
              <w:tc>
                <w:tcPr>
                  <w:tcW w:w="808" w:type="dxa"/>
                  <w:noWrap w:val="0"/>
                  <w:vAlign w:val="center"/>
                </w:tcPr>
                <w:p w14:paraId="3DC3F738">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98</w:t>
                  </w:r>
                </w:p>
              </w:tc>
              <w:tc>
                <w:tcPr>
                  <w:tcW w:w="779" w:type="dxa"/>
                  <w:noWrap w:val="0"/>
                  <w:vAlign w:val="center"/>
                </w:tcPr>
                <w:p w14:paraId="7D9EB06B">
                  <w:pPr>
                    <w:spacing w:before="100" w:beforeAutospacing="1" w:after="100" w:afterAutospacing="1" w:line="276" w:lineRule="auto"/>
                    <w:jc w:val="center"/>
                    <w:rPr>
                      <w:rFonts w:hint="eastAsia"/>
                      <w:bCs/>
                      <w:szCs w:val="21"/>
                    </w:rPr>
                  </w:pPr>
                  <w:r>
                    <w:rPr>
                      <w:rFonts w:hint="eastAsia"/>
                      <w:bCs/>
                      <w:szCs w:val="21"/>
                    </w:rPr>
                    <w:t>1.2</w:t>
                  </w:r>
                </w:p>
              </w:tc>
              <w:tc>
                <w:tcPr>
                  <w:tcW w:w="1738" w:type="dxa"/>
                  <w:noWrap w:val="0"/>
                  <w:vAlign w:val="center"/>
                </w:tcPr>
                <w:p w14:paraId="51DF2A41">
                  <w:pPr>
                    <w:spacing w:before="100" w:beforeAutospacing="1" w:after="100" w:afterAutospacing="1" w:line="276" w:lineRule="auto"/>
                    <w:jc w:val="center"/>
                    <w:rPr>
                      <w:rFonts w:hint="eastAsia"/>
                      <w:bCs/>
                      <w:szCs w:val="21"/>
                    </w:rPr>
                  </w:pPr>
                  <w:r>
                    <w:rPr>
                      <w:rFonts w:hint="eastAsia"/>
                      <w:bCs/>
                      <w:szCs w:val="21"/>
                    </w:rPr>
                    <w:t>110</w:t>
                  </w:r>
                </w:p>
              </w:tc>
              <w:tc>
                <w:tcPr>
                  <w:tcW w:w="1039" w:type="dxa"/>
                  <w:vMerge w:val="continue"/>
                  <w:noWrap w:val="0"/>
                  <w:vAlign w:val="center"/>
                </w:tcPr>
                <w:p w14:paraId="3402F7B1">
                  <w:pPr>
                    <w:spacing w:before="100" w:beforeAutospacing="1" w:after="100" w:afterAutospacing="1" w:line="276" w:lineRule="auto"/>
                    <w:jc w:val="center"/>
                    <w:rPr>
                      <w:bCs/>
                      <w:szCs w:val="21"/>
                    </w:rPr>
                  </w:pPr>
                </w:p>
              </w:tc>
              <w:tc>
                <w:tcPr>
                  <w:tcW w:w="1705" w:type="dxa"/>
                  <w:noWrap w:val="0"/>
                  <w:vAlign w:val="center"/>
                </w:tcPr>
                <w:p w14:paraId="656BF21C">
                  <w:pPr>
                    <w:spacing w:line="276" w:lineRule="auto"/>
                    <w:jc w:val="center"/>
                    <w:rPr>
                      <w:rFonts w:hint="eastAsia"/>
                      <w:bCs/>
                      <w:szCs w:val="21"/>
                    </w:rPr>
                  </w:pPr>
                  <w:r>
                    <w:rPr>
                      <w:rFonts w:hint="eastAsia"/>
                      <w:bCs/>
                      <w:szCs w:val="21"/>
                    </w:rPr>
                    <w:t>昼间、夜间</w:t>
                  </w:r>
                </w:p>
              </w:tc>
            </w:tr>
            <w:tr w14:paraId="5FFF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80" w:type="dxa"/>
                  <w:noWrap w:val="0"/>
                  <w:vAlign w:val="center"/>
                </w:tcPr>
                <w:p w14:paraId="134D7839">
                  <w:pPr>
                    <w:spacing w:before="100" w:beforeAutospacing="1" w:after="100" w:afterAutospacing="1" w:line="276" w:lineRule="auto"/>
                    <w:jc w:val="center"/>
                    <w:rPr>
                      <w:rFonts w:hint="default"/>
                      <w:bCs/>
                      <w:szCs w:val="21"/>
                      <w:lang w:val="en-US" w:eastAsia="zh-CN"/>
                    </w:rPr>
                  </w:pPr>
                  <w:r>
                    <w:rPr>
                      <w:rFonts w:hint="eastAsia"/>
                      <w:bCs/>
                      <w:szCs w:val="21"/>
                      <w:lang w:val="en-US" w:eastAsia="zh-CN"/>
                    </w:rPr>
                    <w:t>3</w:t>
                  </w:r>
                </w:p>
              </w:tc>
              <w:tc>
                <w:tcPr>
                  <w:tcW w:w="1021" w:type="dxa"/>
                  <w:noWrap w:val="0"/>
                  <w:vAlign w:val="center"/>
                </w:tcPr>
                <w:p w14:paraId="315358DE">
                  <w:pPr>
                    <w:spacing w:before="100" w:beforeAutospacing="1" w:after="100" w:afterAutospacing="1" w:line="276" w:lineRule="auto"/>
                    <w:jc w:val="center"/>
                    <w:rPr>
                      <w:rFonts w:hint="default"/>
                      <w:bCs/>
                      <w:szCs w:val="21"/>
                      <w:lang w:val="en-US" w:eastAsia="zh-CN"/>
                    </w:rPr>
                  </w:pPr>
                  <w:r>
                    <w:rPr>
                      <w:rFonts w:hint="eastAsia"/>
                      <w:bCs/>
                      <w:szCs w:val="21"/>
                      <w:lang w:val="en-US" w:eastAsia="zh-CN"/>
                    </w:rPr>
                    <w:t>水泵</w:t>
                  </w:r>
                </w:p>
              </w:tc>
              <w:tc>
                <w:tcPr>
                  <w:tcW w:w="687" w:type="dxa"/>
                  <w:noWrap w:val="0"/>
                  <w:vAlign w:val="center"/>
                </w:tcPr>
                <w:p w14:paraId="266B004B">
                  <w:pPr>
                    <w:spacing w:before="100" w:beforeAutospacing="1" w:after="100" w:afterAutospacing="1" w:line="276" w:lineRule="auto"/>
                    <w:jc w:val="center"/>
                    <w:rPr>
                      <w:rFonts w:hint="default"/>
                      <w:bCs/>
                      <w:szCs w:val="21"/>
                      <w:lang w:val="en-US" w:eastAsia="zh-CN"/>
                    </w:rPr>
                  </w:pPr>
                  <w:r>
                    <w:rPr>
                      <w:rFonts w:hint="eastAsia"/>
                      <w:bCs/>
                      <w:szCs w:val="21"/>
                      <w:lang w:val="en-US" w:eastAsia="zh-CN"/>
                    </w:rPr>
                    <w:t>120</w:t>
                  </w:r>
                </w:p>
              </w:tc>
              <w:tc>
                <w:tcPr>
                  <w:tcW w:w="808" w:type="dxa"/>
                  <w:noWrap w:val="0"/>
                  <w:vAlign w:val="center"/>
                </w:tcPr>
                <w:p w14:paraId="1A587738">
                  <w:pPr>
                    <w:spacing w:before="100" w:beforeAutospacing="1" w:after="100" w:afterAutospacing="1" w:line="276" w:lineRule="auto"/>
                    <w:jc w:val="center"/>
                    <w:rPr>
                      <w:rFonts w:hint="default"/>
                      <w:bCs/>
                      <w:szCs w:val="21"/>
                      <w:lang w:val="en-US" w:eastAsia="zh-CN"/>
                    </w:rPr>
                  </w:pPr>
                  <w:r>
                    <w:rPr>
                      <w:rFonts w:hint="eastAsia"/>
                      <w:bCs/>
                      <w:szCs w:val="21"/>
                      <w:lang w:val="en-US" w:eastAsia="zh-CN"/>
                    </w:rPr>
                    <w:t>90</w:t>
                  </w:r>
                </w:p>
              </w:tc>
              <w:tc>
                <w:tcPr>
                  <w:tcW w:w="779" w:type="dxa"/>
                  <w:noWrap w:val="0"/>
                  <w:vAlign w:val="center"/>
                </w:tcPr>
                <w:p w14:paraId="0FF02EA2">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0.2</w:t>
                  </w:r>
                </w:p>
              </w:tc>
              <w:tc>
                <w:tcPr>
                  <w:tcW w:w="1738" w:type="dxa"/>
                  <w:noWrap w:val="0"/>
                  <w:vAlign w:val="center"/>
                </w:tcPr>
                <w:p w14:paraId="6180DFD5">
                  <w:pPr>
                    <w:spacing w:before="100" w:beforeAutospacing="1" w:after="100" w:afterAutospacing="1" w:line="276" w:lineRule="auto"/>
                    <w:jc w:val="center"/>
                    <w:rPr>
                      <w:rFonts w:hint="default" w:eastAsia="宋体"/>
                      <w:bCs/>
                      <w:szCs w:val="21"/>
                      <w:lang w:val="en-US" w:eastAsia="zh-CN"/>
                    </w:rPr>
                  </w:pPr>
                  <w:r>
                    <w:rPr>
                      <w:rFonts w:hint="eastAsia"/>
                      <w:bCs/>
                      <w:szCs w:val="21"/>
                      <w:lang w:val="en-US" w:eastAsia="zh-CN"/>
                    </w:rPr>
                    <w:t>75</w:t>
                  </w:r>
                </w:p>
              </w:tc>
              <w:tc>
                <w:tcPr>
                  <w:tcW w:w="1039" w:type="dxa"/>
                  <w:noWrap w:val="0"/>
                  <w:vAlign w:val="center"/>
                </w:tcPr>
                <w:p w14:paraId="14201856">
                  <w:pPr>
                    <w:spacing w:before="100" w:beforeAutospacing="1" w:after="100" w:afterAutospacing="1" w:line="276" w:lineRule="auto"/>
                    <w:jc w:val="center"/>
                    <w:rPr>
                      <w:rFonts w:hint="eastAsia" w:eastAsia="宋体"/>
                      <w:bCs/>
                      <w:szCs w:val="21"/>
                      <w:lang w:val="en-US" w:eastAsia="zh-CN"/>
                    </w:rPr>
                  </w:pPr>
                  <w:r>
                    <w:rPr>
                      <w:rFonts w:hint="eastAsia"/>
                      <w:bCs/>
                      <w:szCs w:val="21"/>
                      <w:lang w:val="en-US" w:eastAsia="zh-CN"/>
                    </w:rPr>
                    <w:t>/</w:t>
                  </w:r>
                </w:p>
              </w:tc>
              <w:tc>
                <w:tcPr>
                  <w:tcW w:w="1705" w:type="dxa"/>
                  <w:noWrap w:val="0"/>
                  <w:vAlign w:val="center"/>
                </w:tcPr>
                <w:p w14:paraId="6E1FB55A">
                  <w:pPr>
                    <w:spacing w:line="276" w:lineRule="auto"/>
                    <w:jc w:val="center"/>
                    <w:rPr>
                      <w:rFonts w:hint="eastAsia"/>
                      <w:bCs/>
                      <w:szCs w:val="21"/>
                    </w:rPr>
                  </w:pPr>
                  <w:r>
                    <w:rPr>
                      <w:rFonts w:hint="eastAsia"/>
                      <w:bCs/>
                      <w:szCs w:val="21"/>
                    </w:rPr>
                    <w:t>昼间</w:t>
                  </w:r>
                </w:p>
              </w:tc>
            </w:tr>
          </w:tbl>
          <w:p w14:paraId="4E00ECFC">
            <w:pPr>
              <w:pStyle w:val="34"/>
              <w:spacing w:before="120" w:beforeLines="50" w:beforeAutospacing="0" w:after="0" w:afterAutospacing="0" w:line="360" w:lineRule="auto"/>
              <w:ind w:firstLine="420" w:firstLineChars="200"/>
              <w:jc w:val="both"/>
              <w:outlineLvl w:val="0"/>
              <w:rPr>
                <w:rFonts w:hint="eastAsia" w:ascii="Times New Roman" w:hAnsi="Times New Roman"/>
                <w:kern w:val="2"/>
                <w:sz w:val="21"/>
                <w:szCs w:val="21"/>
              </w:rPr>
            </w:pPr>
            <w:r>
              <w:rPr>
                <w:rFonts w:hint="eastAsia" w:ascii="Times New Roman" w:hAnsi="Times New Roman"/>
                <w:kern w:val="2"/>
                <w:sz w:val="21"/>
                <w:szCs w:val="21"/>
              </w:rPr>
              <w:t>注：以厂区西南角为坐标原点，正东为X轴正方向，正北为Y轴正方向。</w:t>
            </w:r>
          </w:p>
          <w:p w14:paraId="6BECC0F2">
            <w:pPr>
              <w:spacing w:line="460" w:lineRule="exact"/>
              <w:rPr>
                <w:rFonts w:hint="eastAsia"/>
                <w:sz w:val="24"/>
              </w:rPr>
            </w:pPr>
          </w:p>
          <w:p w14:paraId="179945E0">
            <w:pPr>
              <w:spacing w:line="460" w:lineRule="exact"/>
              <w:rPr>
                <w:rFonts w:hint="eastAsia"/>
                <w:sz w:val="24"/>
              </w:rPr>
            </w:pPr>
          </w:p>
          <w:p w14:paraId="083ADAD6">
            <w:pPr>
              <w:spacing w:line="460" w:lineRule="exact"/>
              <w:rPr>
                <w:rFonts w:hint="eastAsia"/>
                <w:sz w:val="24"/>
              </w:rPr>
            </w:pPr>
          </w:p>
        </w:tc>
      </w:tr>
    </w:tbl>
    <w:p w14:paraId="2622B346">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sectPr>
          <w:pgSz w:w="11906" w:h="16838"/>
          <w:pgMar w:top="1440" w:right="1440" w:bottom="1440" w:left="1440" w:header="851" w:footer="851" w:gutter="0"/>
          <w:pgNumType w:fmt="numberInDash"/>
          <w:cols w:space="720" w:num="1"/>
          <w:docGrid w:linePitch="312" w:charSpace="0"/>
        </w:sect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12955"/>
      </w:tblGrid>
      <w:tr w14:paraId="2A8B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noWrap w:val="0"/>
            <w:vAlign w:val="top"/>
          </w:tcPr>
          <w:p w14:paraId="2F1EC29C">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pPr>
          </w:p>
        </w:tc>
        <w:tc>
          <w:tcPr>
            <w:tcW w:w="12955" w:type="dxa"/>
            <w:noWrap w:val="0"/>
            <w:vAlign w:val="top"/>
          </w:tcPr>
          <w:p w14:paraId="52676BAC">
            <w:pPr>
              <w:spacing w:line="480" w:lineRule="exact"/>
              <w:jc w:val="center"/>
              <w:rPr>
                <w:rFonts w:hint="eastAsia" w:ascii="黑体" w:hAnsi="黑体" w:eastAsia="黑体" w:cs="黑体"/>
                <w:sz w:val="24"/>
                <w:szCs w:val="32"/>
              </w:rPr>
            </w:pPr>
            <w:r>
              <w:rPr>
                <w:rFonts w:hint="eastAsia" w:ascii="黑体" w:hAnsi="黑体" w:eastAsia="黑体" w:cs="黑体"/>
                <w:sz w:val="24"/>
                <w:szCs w:val="32"/>
              </w:rPr>
              <w:t>表4-12  工业企业噪声源强调查清单(室内声源)</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97"/>
              <w:gridCol w:w="720"/>
              <w:gridCol w:w="735"/>
              <w:gridCol w:w="622"/>
              <w:gridCol w:w="426"/>
              <w:gridCol w:w="496"/>
              <w:gridCol w:w="479"/>
              <w:gridCol w:w="426"/>
              <w:gridCol w:w="426"/>
              <w:gridCol w:w="426"/>
              <w:gridCol w:w="426"/>
              <w:gridCol w:w="584"/>
              <w:gridCol w:w="584"/>
              <w:gridCol w:w="584"/>
              <w:gridCol w:w="584"/>
              <w:gridCol w:w="426"/>
              <w:gridCol w:w="788"/>
              <w:gridCol w:w="584"/>
              <w:gridCol w:w="584"/>
              <w:gridCol w:w="584"/>
              <w:gridCol w:w="584"/>
              <w:gridCol w:w="438"/>
            </w:tblGrid>
            <w:tr w14:paraId="419D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6" w:type="dxa"/>
                  <w:vMerge w:val="restart"/>
                  <w:noWrap w:val="0"/>
                  <w:vAlign w:val="center"/>
                </w:tcPr>
                <w:p w14:paraId="4E717643">
                  <w:pPr>
                    <w:spacing w:line="276" w:lineRule="auto"/>
                    <w:jc w:val="center"/>
                    <w:rPr>
                      <w:bCs/>
                      <w:szCs w:val="21"/>
                    </w:rPr>
                  </w:pPr>
                  <w:r>
                    <w:rPr>
                      <w:bCs/>
                      <w:szCs w:val="21"/>
                    </w:rPr>
                    <w:t>序号</w:t>
                  </w:r>
                </w:p>
              </w:tc>
              <w:tc>
                <w:tcPr>
                  <w:tcW w:w="797" w:type="dxa"/>
                  <w:vMerge w:val="restart"/>
                  <w:noWrap w:val="0"/>
                  <w:vAlign w:val="center"/>
                </w:tcPr>
                <w:p w14:paraId="5AFE0D11">
                  <w:pPr>
                    <w:spacing w:line="276" w:lineRule="auto"/>
                    <w:jc w:val="center"/>
                    <w:rPr>
                      <w:bCs/>
                      <w:szCs w:val="21"/>
                    </w:rPr>
                  </w:pPr>
                  <w:r>
                    <w:rPr>
                      <w:rFonts w:hint="eastAsia"/>
                      <w:bCs/>
                      <w:szCs w:val="21"/>
                    </w:rPr>
                    <w:t>建筑物名称</w:t>
                  </w:r>
                </w:p>
              </w:tc>
              <w:tc>
                <w:tcPr>
                  <w:tcW w:w="720" w:type="dxa"/>
                  <w:vMerge w:val="restart"/>
                  <w:noWrap w:val="0"/>
                  <w:vAlign w:val="center"/>
                </w:tcPr>
                <w:p w14:paraId="455FCCAF">
                  <w:pPr>
                    <w:spacing w:line="276" w:lineRule="auto"/>
                    <w:jc w:val="center"/>
                    <w:rPr>
                      <w:bCs/>
                      <w:szCs w:val="21"/>
                    </w:rPr>
                  </w:pPr>
                  <w:r>
                    <w:rPr>
                      <w:bCs/>
                      <w:szCs w:val="21"/>
                    </w:rPr>
                    <w:t>声源名称</w:t>
                  </w:r>
                </w:p>
              </w:tc>
              <w:tc>
                <w:tcPr>
                  <w:tcW w:w="735" w:type="dxa"/>
                  <w:noWrap w:val="0"/>
                  <w:vAlign w:val="center"/>
                </w:tcPr>
                <w:p w14:paraId="55D6AFF3">
                  <w:pPr>
                    <w:spacing w:line="276" w:lineRule="auto"/>
                    <w:jc w:val="center"/>
                    <w:rPr>
                      <w:bCs/>
                      <w:szCs w:val="21"/>
                    </w:rPr>
                  </w:pPr>
                  <w:r>
                    <w:rPr>
                      <w:bCs/>
                      <w:szCs w:val="21"/>
                    </w:rPr>
                    <w:t>声源源强</w:t>
                  </w:r>
                </w:p>
              </w:tc>
              <w:tc>
                <w:tcPr>
                  <w:tcW w:w="622" w:type="dxa"/>
                  <w:vMerge w:val="restart"/>
                  <w:noWrap w:val="0"/>
                  <w:vAlign w:val="center"/>
                </w:tcPr>
                <w:p w14:paraId="5C3CC76B">
                  <w:pPr>
                    <w:spacing w:before="100" w:beforeAutospacing="1" w:after="100" w:afterAutospacing="1" w:line="276" w:lineRule="auto"/>
                    <w:jc w:val="center"/>
                    <w:rPr>
                      <w:bCs/>
                      <w:szCs w:val="21"/>
                    </w:rPr>
                  </w:pPr>
                  <w:r>
                    <w:rPr>
                      <w:rFonts w:hint="eastAsia"/>
                      <w:bCs/>
                      <w:szCs w:val="21"/>
                    </w:rPr>
                    <w:t>声源控制措施</w:t>
                  </w:r>
                </w:p>
              </w:tc>
              <w:tc>
                <w:tcPr>
                  <w:tcW w:w="1401" w:type="dxa"/>
                  <w:gridSpan w:val="3"/>
                  <w:noWrap w:val="0"/>
                  <w:vAlign w:val="center"/>
                </w:tcPr>
                <w:p w14:paraId="78D35C16">
                  <w:pPr>
                    <w:spacing w:before="100" w:beforeAutospacing="1" w:after="100" w:afterAutospacing="1" w:line="276" w:lineRule="auto"/>
                    <w:jc w:val="center"/>
                    <w:rPr>
                      <w:bCs/>
                      <w:szCs w:val="21"/>
                    </w:rPr>
                  </w:pPr>
                  <w:r>
                    <w:rPr>
                      <w:bCs/>
                      <w:szCs w:val="21"/>
                    </w:rPr>
                    <w:t>空间相对位置</w:t>
                  </w:r>
                  <w:r>
                    <w:rPr>
                      <w:rFonts w:hint="eastAsia"/>
                      <w:bCs/>
                      <w:szCs w:val="21"/>
                    </w:rPr>
                    <w:t>(m)</w:t>
                  </w:r>
                </w:p>
              </w:tc>
              <w:tc>
                <w:tcPr>
                  <w:tcW w:w="1704" w:type="dxa"/>
                  <w:gridSpan w:val="4"/>
                  <w:noWrap w:val="0"/>
                  <w:vAlign w:val="center"/>
                </w:tcPr>
                <w:p w14:paraId="153FF12C">
                  <w:pPr>
                    <w:spacing w:line="276" w:lineRule="auto"/>
                    <w:jc w:val="center"/>
                    <w:rPr>
                      <w:bCs/>
                      <w:szCs w:val="21"/>
                    </w:rPr>
                  </w:pPr>
                  <w:r>
                    <w:rPr>
                      <w:rFonts w:hint="eastAsia"/>
                      <w:bCs/>
                      <w:szCs w:val="21"/>
                    </w:rPr>
                    <w:t>距室内边界距离/m</w:t>
                  </w:r>
                </w:p>
              </w:tc>
              <w:tc>
                <w:tcPr>
                  <w:tcW w:w="2336" w:type="dxa"/>
                  <w:gridSpan w:val="4"/>
                  <w:noWrap w:val="0"/>
                  <w:vAlign w:val="center"/>
                </w:tcPr>
                <w:p w14:paraId="54BBDD7F">
                  <w:pPr>
                    <w:jc w:val="center"/>
                    <w:rPr>
                      <w:bCs/>
                      <w:szCs w:val="21"/>
                    </w:rPr>
                  </w:pPr>
                  <w:r>
                    <w:rPr>
                      <w:bCs/>
                      <w:szCs w:val="21"/>
                    </w:rPr>
                    <w:t>室内边界声级/dB(A)</w:t>
                  </w:r>
                </w:p>
              </w:tc>
              <w:tc>
                <w:tcPr>
                  <w:tcW w:w="426" w:type="dxa"/>
                  <w:vMerge w:val="restart"/>
                  <w:noWrap w:val="0"/>
                  <w:vAlign w:val="center"/>
                </w:tcPr>
                <w:p w14:paraId="3F1B53D5">
                  <w:pPr>
                    <w:jc w:val="center"/>
                    <w:rPr>
                      <w:bCs/>
                      <w:szCs w:val="21"/>
                    </w:rPr>
                  </w:pPr>
                  <w:r>
                    <w:rPr>
                      <w:rFonts w:hint="eastAsia"/>
                      <w:bCs/>
                      <w:szCs w:val="21"/>
                    </w:rPr>
                    <w:t>运行时段</w:t>
                  </w:r>
                </w:p>
              </w:tc>
              <w:tc>
                <w:tcPr>
                  <w:tcW w:w="788" w:type="dxa"/>
                  <w:vMerge w:val="restart"/>
                  <w:noWrap w:val="0"/>
                  <w:vAlign w:val="center"/>
                </w:tcPr>
                <w:p w14:paraId="0ECC0E14">
                  <w:pPr>
                    <w:spacing w:line="276" w:lineRule="auto"/>
                    <w:jc w:val="center"/>
                    <w:rPr>
                      <w:bCs/>
                      <w:szCs w:val="21"/>
                    </w:rPr>
                  </w:pPr>
                  <w:r>
                    <w:rPr>
                      <w:bCs/>
                      <w:szCs w:val="21"/>
                    </w:rPr>
                    <w:t>建筑物插</w:t>
                  </w:r>
                  <w:r>
                    <w:rPr>
                      <w:rFonts w:hint="eastAsia"/>
                      <w:bCs/>
                      <w:szCs w:val="21"/>
                    </w:rPr>
                    <w:t>入</w:t>
                  </w:r>
                  <w:r>
                    <w:rPr>
                      <w:bCs/>
                      <w:szCs w:val="21"/>
                    </w:rPr>
                    <w:t>损失/dB(A)</w:t>
                  </w:r>
                </w:p>
              </w:tc>
              <w:tc>
                <w:tcPr>
                  <w:tcW w:w="2774" w:type="dxa"/>
                  <w:gridSpan w:val="5"/>
                  <w:noWrap w:val="0"/>
                  <w:vAlign w:val="center"/>
                </w:tcPr>
                <w:p w14:paraId="4FA85B3F">
                  <w:pPr>
                    <w:spacing w:line="276" w:lineRule="auto"/>
                    <w:jc w:val="center"/>
                    <w:rPr>
                      <w:bCs/>
                      <w:szCs w:val="21"/>
                    </w:rPr>
                  </w:pPr>
                  <w:r>
                    <w:rPr>
                      <w:bCs/>
                      <w:szCs w:val="21"/>
                    </w:rPr>
                    <w:t>建筑物外噪声</w:t>
                  </w:r>
                  <w:r>
                    <w:rPr>
                      <w:rFonts w:hint="eastAsia"/>
                      <w:bCs/>
                      <w:szCs w:val="21"/>
                    </w:rPr>
                    <w:t>声压级</w:t>
                  </w:r>
                  <w:r>
                    <w:rPr>
                      <w:bCs/>
                      <w:szCs w:val="21"/>
                    </w:rPr>
                    <w:t>/dB(A)</w:t>
                  </w:r>
                </w:p>
              </w:tc>
            </w:tr>
            <w:tr w14:paraId="513F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4" w:hRule="atLeast"/>
                <w:jc w:val="center"/>
              </w:trPr>
              <w:tc>
                <w:tcPr>
                  <w:tcW w:w="426" w:type="dxa"/>
                  <w:vMerge w:val="continue"/>
                  <w:noWrap w:val="0"/>
                  <w:vAlign w:val="center"/>
                </w:tcPr>
                <w:p w14:paraId="652C3BD2">
                  <w:pPr>
                    <w:spacing w:line="276" w:lineRule="auto"/>
                    <w:jc w:val="center"/>
                    <w:rPr>
                      <w:bCs/>
                      <w:szCs w:val="21"/>
                    </w:rPr>
                  </w:pPr>
                </w:p>
              </w:tc>
              <w:tc>
                <w:tcPr>
                  <w:tcW w:w="797" w:type="dxa"/>
                  <w:vMerge w:val="continue"/>
                  <w:noWrap w:val="0"/>
                  <w:vAlign w:val="center"/>
                </w:tcPr>
                <w:p w14:paraId="3EC3633D">
                  <w:pPr>
                    <w:spacing w:line="276" w:lineRule="auto"/>
                    <w:jc w:val="center"/>
                    <w:rPr>
                      <w:bCs/>
                      <w:szCs w:val="21"/>
                    </w:rPr>
                  </w:pPr>
                </w:p>
              </w:tc>
              <w:tc>
                <w:tcPr>
                  <w:tcW w:w="720" w:type="dxa"/>
                  <w:vMerge w:val="continue"/>
                  <w:noWrap w:val="0"/>
                  <w:vAlign w:val="center"/>
                </w:tcPr>
                <w:p w14:paraId="6C5A6007">
                  <w:pPr>
                    <w:spacing w:line="276" w:lineRule="auto"/>
                    <w:jc w:val="center"/>
                    <w:rPr>
                      <w:bCs/>
                      <w:szCs w:val="21"/>
                    </w:rPr>
                  </w:pPr>
                </w:p>
              </w:tc>
              <w:tc>
                <w:tcPr>
                  <w:tcW w:w="735" w:type="dxa"/>
                  <w:noWrap w:val="0"/>
                  <w:vAlign w:val="center"/>
                </w:tcPr>
                <w:p w14:paraId="7C4CB6D0">
                  <w:pPr>
                    <w:spacing w:line="276" w:lineRule="auto"/>
                    <w:jc w:val="center"/>
                    <w:rPr>
                      <w:bCs/>
                      <w:szCs w:val="21"/>
                    </w:rPr>
                  </w:pPr>
                  <w:r>
                    <w:rPr>
                      <w:rFonts w:hint="eastAsia"/>
                      <w:bCs/>
                      <w:szCs w:val="21"/>
                    </w:rPr>
                    <w:t>声</w:t>
                  </w:r>
                  <w:r>
                    <w:rPr>
                      <w:rFonts w:hint="eastAsia"/>
                      <w:bCs/>
                      <w:szCs w:val="21"/>
                      <w:lang w:val="en-US" w:eastAsia="zh-CN"/>
                    </w:rPr>
                    <w:t>功率</w:t>
                  </w:r>
                  <w:r>
                    <w:rPr>
                      <w:rFonts w:hint="eastAsia"/>
                      <w:bCs/>
                      <w:szCs w:val="21"/>
                    </w:rPr>
                    <w:t>级</w:t>
                  </w:r>
                  <w:r>
                    <w:rPr>
                      <w:bCs/>
                      <w:szCs w:val="21"/>
                    </w:rPr>
                    <w:t>/dB(A)</w:t>
                  </w:r>
                </w:p>
              </w:tc>
              <w:tc>
                <w:tcPr>
                  <w:tcW w:w="622" w:type="dxa"/>
                  <w:vMerge w:val="continue"/>
                  <w:noWrap w:val="0"/>
                  <w:vAlign w:val="center"/>
                </w:tcPr>
                <w:p w14:paraId="0ABFE136">
                  <w:pPr>
                    <w:spacing w:before="100" w:beforeAutospacing="1" w:after="100" w:afterAutospacing="1" w:line="276" w:lineRule="auto"/>
                    <w:jc w:val="center"/>
                    <w:rPr>
                      <w:bCs/>
                      <w:szCs w:val="21"/>
                    </w:rPr>
                  </w:pPr>
                </w:p>
              </w:tc>
              <w:tc>
                <w:tcPr>
                  <w:tcW w:w="426" w:type="dxa"/>
                  <w:noWrap w:val="0"/>
                  <w:vAlign w:val="center"/>
                </w:tcPr>
                <w:p w14:paraId="010340DC">
                  <w:pPr>
                    <w:spacing w:before="100" w:beforeAutospacing="1" w:after="100" w:afterAutospacing="1" w:line="276" w:lineRule="auto"/>
                    <w:jc w:val="center"/>
                    <w:rPr>
                      <w:bCs/>
                      <w:szCs w:val="21"/>
                    </w:rPr>
                  </w:pPr>
                  <w:r>
                    <w:rPr>
                      <w:rFonts w:hint="eastAsia"/>
                      <w:bCs/>
                      <w:szCs w:val="21"/>
                    </w:rPr>
                    <w:t>X</w:t>
                  </w:r>
                </w:p>
              </w:tc>
              <w:tc>
                <w:tcPr>
                  <w:tcW w:w="496" w:type="dxa"/>
                  <w:noWrap w:val="0"/>
                  <w:vAlign w:val="center"/>
                </w:tcPr>
                <w:p w14:paraId="7B810B7F">
                  <w:pPr>
                    <w:spacing w:before="100" w:beforeAutospacing="1" w:after="100" w:afterAutospacing="1" w:line="276" w:lineRule="auto"/>
                    <w:jc w:val="center"/>
                    <w:rPr>
                      <w:bCs/>
                      <w:szCs w:val="21"/>
                    </w:rPr>
                  </w:pPr>
                  <w:r>
                    <w:rPr>
                      <w:rFonts w:hint="eastAsia"/>
                      <w:bCs/>
                      <w:szCs w:val="21"/>
                    </w:rPr>
                    <w:t>Y</w:t>
                  </w:r>
                </w:p>
              </w:tc>
              <w:tc>
                <w:tcPr>
                  <w:tcW w:w="479" w:type="dxa"/>
                  <w:noWrap w:val="0"/>
                  <w:vAlign w:val="center"/>
                </w:tcPr>
                <w:p w14:paraId="0ED2C434">
                  <w:pPr>
                    <w:spacing w:before="100" w:beforeAutospacing="1" w:after="100" w:afterAutospacing="1" w:line="276" w:lineRule="auto"/>
                    <w:jc w:val="center"/>
                    <w:rPr>
                      <w:bCs/>
                      <w:szCs w:val="21"/>
                    </w:rPr>
                  </w:pPr>
                  <w:r>
                    <w:rPr>
                      <w:rFonts w:hint="eastAsia"/>
                      <w:bCs/>
                      <w:szCs w:val="21"/>
                    </w:rPr>
                    <w:t>Z</w:t>
                  </w:r>
                </w:p>
              </w:tc>
              <w:tc>
                <w:tcPr>
                  <w:tcW w:w="426" w:type="dxa"/>
                  <w:noWrap w:val="0"/>
                  <w:vAlign w:val="center"/>
                </w:tcPr>
                <w:p w14:paraId="39F7DB2C">
                  <w:pPr>
                    <w:spacing w:line="276" w:lineRule="auto"/>
                    <w:jc w:val="center"/>
                    <w:rPr>
                      <w:bCs/>
                      <w:szCs w:val="21"/>
                    </w:rPr>
                  </w:pPr>
                  <w:r>
                    <w:rPr>
                      <w:bCs/>
                      <w:szCs w:val="21"/>
                    </w:rPr>
                    <w:t>东</w:t>
                  </w:r>
                </w:p>
              </w:tc>
              <w:tc>
                <w:tcPr>
                  <w:tcW w:w="426" w:type="dxa"/>
                  <w:noWrap w:val="0"/>
                  <w:vAlign w:val="center"/>
                </w:tcPr>
                <w:p w14:paraId="7D521B10">
                  <w:pPr>
                    <w:spacing w:line="276" w:lineRule="auto"/>
                    <w:jc w:val="center"/>
                    <w:rPr>
                      <w:bCs/>
                      <w:szCs w:val="21"/>
                    </w:rPr>
                  </w:pPr>
                  <w:r>
                    <w:rPr>
                      <w:bCs/>
                      <w:szCs w:val="21"/>
                    </w:rPr>
                    <w:t>南</w:t>
                  </w:r>
                </w:p>
              </w:tc>
              <w:tc>
                <w:tcPr>
                  <w:tcW w:w="426" w:type="dxa"/>
                  <w:noWrap w:val="0"/>
                  <w:vAlign w:val="center"/>
                </w:tcPr>
                <w:p w14:paraId="323390FE">
                  <w:pPr>
                    <w:spacing w:line="276" w:lineRule="auto"/>
                    <w:jc w:val="center"/>
                    <w:rPr>
                      <w:bCs/>
                      <w:szCs w:val="21"/>
                    </w:rPr>
                  </w:pPr>
                  <w:r>
                    <w:rPr>
                      <w:bCs/>
                      <w:szCs w:val="21"/>
                    </w:rPr>
                    <w:t>西</w:t>
                  </w:r>
                </w:p>
              </w:tc>
              <w:tc>
                <w:tcPr>
                  <w:tcW w:w="426" w:type="dxa"/>
                  <w:noWrap w:val="0"/>
                  <w:vAlign w:val="center"/>
                </w:tcPr>
                <w:p w14:paraId="750C5F21">
                  <w:pPr>
                    <w:spacing w:line="276" w:lineRule="auto"/>
                    <w:jc w:val="center"/>
                    <w:rPr>
                      <w:bCs/>
                      <w:szCs w:val="21"/>
                    </w:rPr>
                  </w:pPr>
                  <w:r>
                    <w:rPr>
                      <w:bCs/>
                      <w:szCs w:val="21"/>
                    </w:rPr>
                    <w:t>北</w:t>
                  </w:r>
                </w:p>
              </w:tc>
              <w:tc>
                <w:tcPr>
                  <w:tcW w:w="584" w:type="dxa"/>
                  <w:noWrap w:val="0"/>
                  <w:vAlign w:val="center"/>
                </w:tcPr>
                <w:p w14:paraId="57C5BFD7">
                  <w:pPr>
                    <w:spacing w:line="276" w:lineRule="auto"/>
                    <w:jc w:val="center"/>
                    <w:rPr>
                      <w:bCs/>
                      <w:szCs w:val="21"/>
                    </w:rPr>
                  </w:pPr>
                  <w:r>
                    <w:rPr>
                      <w:bCs/>
                      <w:szCs w:val="21"/>
                    </w:rPr>
                    <w:t>东</w:t>
                  </w:r>
                </w:p>
              </w:tc>
              <w:tc>
                <w:tcPr>
                  <w:tcW w:w="584" w:type="dxa"/>
                  <w:noWrap w:val="0"/>
                  <w:vAlign w:val="center"/>
                </w:tcPr>
                <w:p w14:paraId="0A637FBF">
                  <w:pPr>
                    <w:spacing w:line="276" w:lineRule="auto"/>
                    <w:jc w:val="center"/>
                    <w:rPr>
                      <w:bCs/>
                      <w:szCs w:val="21"/>
                    </w:rPr>
                  </w:pPr>
                  <w:r>
                    <w:rPr>
                      <w:bCs/>
                      <w:szCs w:val="21"/>
                    </w:rPr>
                    <w:t>南</w:t>
                  </w:r>
                </w:p>
              </w:tc>
              <w:tc>
                <w:tcPr>
                  <w:tcW w:w="584" w:type="dxa"/>
                  <w:noWrap w:val="0"/>
                  <w:vAlign w:val="center"/>
                </w:tcPr>
                <w:p w14:paraId="6E932FCC">
                  <w:pPr>
                    <w:spacing w:line="276" w:lineRule="auto"/>
                    <w:jc w:val="center"/>
                    <w:rPr>
                      <w:bCs/>
                      <w:szCs w:val="21"/>
                    </w:rPr>
                  </w:pPr>
                  <w:r>
                    <w:rPr>
                      <w:bCs/>
                      <w:szCs w:val="21"/>
                    </w:rPr>
                    <w:t>西</w:t>
                  </w:r>
                </w:p>
              </w:tc>
              <w:tc>
                <w:tcPr>
                  <w:tcW w:w="584" w:type="dxa"/>
                  <w:noWrap w:val="0"/>
                  <w:vAlign w:val="center"/>
                </w:tcPr>
                <w:p w14:paraId="0B88CD61">
                  <w:pPr>
                    <w:spacing w:line="276" w:lineRule="auto"/>
                    <w:jc w:val="center"/>
                    <w:rPr>
                      <w:bCs/>
                      <w:szCs w:val="21"/>
                    </w:rPr>
                  </w:pPr>
                  <w:r>
                    <w:rPr>
                      <w:bCs/>
                      <w:szCs w:val="21"/>
                    </w:rPr>
                    <w:t>北</w:t>
                  </w:r>
                </w:p>
              </w:tc>
              <w:tc>
                <w:tcPr>
                  <w:tcW w:w="426" w:type="dxa"/>
                  <w:vMerge w:val="continue"/>
                  <w:noWrap w:val="0"/>
                  <w:vAlign w:val="center"/>
                </w:tcPr>
                <w:p w14:paraId="2B315A8D">
                  <w:pPr>
                    <w:spacing w:line="276" w:lineRule="auto"/>
                    <w:jc w:val="center"/>
                    <w:rPr>
                      <w:bCs/>
                      <w:szCs w:val="21"/>
                    </w:rPr>
                  </w:pPr>
                </w:p>
              </w:tc>
              <w:tc>
                <w:tcPr>
                  <w:tcW w:w="788" w:type="dxa"/>
                  <w:vMerge w:val="continue"/>
                  <w:noWrap w:val="0"/>
                  <w:vAlign w:val="center"/>
                </w:tcPr>
                <w:p w14:paraId="4461A674">
                  <w:pPr>
                    <w:spacing w:line="276" w:lineRule="auto"/>
                    <w:jc w:val="center"/>
                    <w:rPr>
                      <w:bCs/>
                      <w:szCs w:val="21"/>
                    </w:rPr>
                  </w:pPr>
                </w:p>
              </w:tc>
              <w:tc>
                <w:tcPr>
                  <w:tcW w:w="584" w:type="dxa"/>
                  <w:noWrap w:val="0"/>
                  <w:vAlign w:val="center"/>
                </w:tcPr>
                <w:p w14:paraId="2A9038B5">
                  <w:pPr>
                    <w:spacing w:line="276" w:lineRule="auto"/>
                    <w:jc w:val="center"/>
                    <w:rPr>
                      <w:bCs/>
                      <w:szCs w:val="21"/>
                    </w:rPr>
                  </w:pPr>
                  <w:r>
                    <w:rPr>
                      <w:bCs/>
                      <w:szCs w:val="21"/>
                    </w:rPr>
                    <w:t>东</w:t>
                  </w:r>
                </w:p>
              </w:tc>
              <w:tc>
                <w:tcPr>
                  <w:tcW w:w="584" w:type="dxa"/>
                  <w:noWrap w:val="0"/>
                  <w:vAlign w:val="center"/>
                </w:tcPr>
                <w:p w14:paraId="62D0C9B0">
                  <w:pPr>
                    <w:spacing w:line="276" w:lineRule="auto"/>
                    <w:jc w:val="center"/>
                    <w:rPr>
                      <w:bCs/>
                      <w:szCs w:val="21"/>
                    </w:rPr>
                  </w:pPr>
                  <w:r>
                    <w:rPr>
                      <w:bCs/>
                      <w:szCs w:val="21"/>
                    </w:rPr>
                    <w:t>南</w:t>
                  </w:r>
                </w:p>
              </w:tc>
              <w:tc>
                <w:tcPr>
                  <w:tcW w:w="584" w:type="dxa"/>
                  <w:noWrap w:val="0"/>
                  <w:vAlign w:val="center"/>
                </w:tcPr>
                <w:p w14:paraId="24367B74">
                  <w:pPr>
                    <w:spacing w:line="276" w:lineRule="auto"/>
                    <w:jc w:val="center"/>
                    <w:rPr>
                      <w:bCs/>
                      <w:szCs w:val="21"/>
                    </w:rPr>
                  </w:pPr>
                  <w:r>
                    <w:rPr>
                      <w:bCs/>
                      <w:szCs w:val="21"/>
                    </w:rPr>
                    <w:t>西</w:t>
                  </w:r>
                </w:p>
              </w:tc>
              <w:tc>
                <w:tcPr>
                  <w:tcW w:w="584" w:type="dxa"/>
                  <w:noWrap w:val="0"/>
                  <w:vAlign w:val="center"/>
                </w:tcPr>
                <w:p w14:paraId="6273A644">
                  <w:pPr>
                    <w:spacing w:line="276" w:lineRule="auto"/>
                    <w:jc w:val="center"/>
                    <w:rPr>
                      <w:bCs/>
                      <w:szCs w:val="21"/>
                    </w:rPr>
                  </w:pPr>
                  <w:r>
                    <w:rPr>
                      <w:bCs/>
                      <w:szCs w:val="21"/>
                    </w:rPr>
                    <w:t>北</w:t>
                  </w:r>
                </w:p>
              </w:tc>
              <w:tc>
                <w:tcPr>
                  <w:tcW w:w="438" w:type="dxa"/>
                  <w:noWrap w:val="0"/>
                  <w:vAlign w:val="center"/>
                </w:tcPr>
                <w:p w14:paraId="001E6DB2">
                  <w:pPr>
                    <w:spacing w:line="276" w:lineRule="auto"/>
                    <w:jc w:val="center"/>
                    <w:rPr>
                      <w:bCs/>
                      <w:szCs w:val="21"/>
                    </w:rPr>
                  </w:pPr>
                  <w:r>
                    <w:rPr>
                      <w:bCs/>
                      <w:szCs w:val="21"/>
                    </w:rPr>
                    <w:t>建筑物外距离</w:t>
                  </w:r>
                  <w:r>
                    <w:rPr>
                      <w:rFonts w:hint="eastAsia"/>
                      <w:bCs/>
                      <w:szCs w:val="21"/>
                    </w:rPr>
                    <w:t>/m</w:t>
                  </w:r>
                </w:p>
              </w:tc>
            </w:tr>
            <w:tr w14:paraId="389E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6" w:type="dxa"/>
                  <w:noWrap w:val="0"/>
                  <w:vAlign w:val="center"/>
                </w:tcPr>
                <w:p w14:paraId="2380BF0B">
                  <w:pPr>
                    <w:spacing w:line="276" w:lineRule="auto"/>
                    <w:jc w:val="center"/>
                    <w:rPr>
                      <w:rFonts w:hAnsi="Calibri"/>
                      <w:bCs/>
                      <w:szCs w:val="21"/>
                    </w:rPr>
                  </w:pPr>
                  <w:r>
                    <w:rPr>
                      <w:rFonts w:hint="eastAsia" w:hAnsi="Calibri"/>
                      <w:bCs/>
                      <w:szCs w:val="21"/>
                    </w:rPr>
                    <w:t>1</w:t>
                  </w:r>
                </w:p>
              </w:tc>
              <w:tc>
                <w:tcPr>
                  <w:tcW w:w="797" w:type="dxa"/>
                  <w:noWrap w:val="0"/>
                  <w:vAlign w:val="center"/>
                </w:tcPr>
                <w:p w14:paraId="01F63238">
                  <w:pPr>
                    <w:spacing w:line="276" w:lineRule="auto"/>
                    <w:jc w:val="center"/>
                    <w:rPr>
                      <w:rFonts w:hAnsi="Calibri"/>
                      <w:bCs/>
                      <w:szCs w:val="21"/>
                    </w:rPr>
                  </w:pPr>
                  <w:r>
                    <w:rPr>
                      <w:bCs/>
                      <w:szCs w:val="21"/>
                    </w:rPr>
                    <w:t>破碎筛分</w:t>
                  </w:r>
                  <w:r>
                    <w:rPr>
                      <w:rFonts w:hint="eastAsia"/>
                      <w:bCs/>
                      <w:szCs w:val="21"/>
                    </w:rPr>
                    <w:t>、搅拌对辊车间</w:t>
                  </w:r>
                </w:p>
              </w:tc>
              <w:tc>
                <w:tcPr>
                  <w:tcW w:w="720" w:type="dxa"/>
                  <w:noWrap w:val="0"/>
                  <w:vAlign w:val="center"/>
                </w:tcPr>
                <w:p w14:paraId="5F953228">
                  <w:pPr>
                    <w:spacing w:line="271" w:lineRule="auto"/>
                    <w:jc w:val="center"/>
                    <w:rPr>
                      <w:rFonts w:hint="eastAsia"/>
                      <w:bCs/>
                      <w:szCs w:val="21"/>
                    </w:rPr>
                  </w:pPr>
                  <w:r>
                    <w:rPr>
                      <w:rFonts w:hint="eastAsia"/>
                      <w:bCs/>
                      <w:szCs w:val="21"/>
                    </w:rPr>
                    <w:t>破碎机</w:t>
                  </w:r>
                </w:p>
              </w:tc>
              <w:tc>
                <w:tcPr>
                  <w:tcW w:w="735" w:type="dxa"/>
                  <w:noWrap w:val="0"/>
                  <w:vAlign w:val="center"/>
                </w:tcPr>
                <w:p w14:paraId="3B2BF95D">
                  <w:pPr>
                    <w:spacing w:before="100" w:beforeAutospacing="1" w:after="100" w:afterAutospacing="1" w:line="271" w:lineRule="auto"/>
                    <w:jc w:val="center"/>
                    <w:rPr>
                      <w:bCs/>
                      <w:szCs w:val="21"/>
                    </w:rPr>
                  </w:pPr>
                  <w:r>
                    <w:rPr>
                      <w:rFonts w:hint="eastAsia"/>
                      <w:bCs/>
                      <w:szCs w:val="21"/>
                    </w:rPr>
                    <w:t>90</w:t>
                  </w:r>
                </w:p>
              </w:tc>
              <w:tc>
                <w:tcPr>
                  <w:tcW w:w="622" w:type="dxa"/>
                  <w:vMerge w:val="restart"/>
                  <w:noWrap w:val="0"/>
                  <w:vAlign w:val="center"/>
                </w:tcPr>
                <w:p w14:paraId="5B38F64B">
                  <w:pPr>
                    <w:spacing w:line="276" w:lineRule="auto"/>
                    <w:jc w:val="center"/>
                    <w:rPr>
                      <w:bCs/>
                      <w:szCs w:val="21"/>
                    </w:rPr>
                  </w:pPr>
                  <w:r>
                    <w:rPr>
                      <w:bCs/>
                      <w:szCs w:val="21"/>
                    </w:rPr>
                    <w:t>基础减振</w:t>
                  </w:r>
                  <w:r>
                    <w:rPr>
                      <w:rFonts w:hint="eastAsia"/>
                      <w:bCs/>
                      <w:szCs w:val="21"/>
                    </w:rPr>
                    <w:t>、</w:t>
                  </w:r>
                  <w:r>
                    <w:rPr>
                      <w:bCs/>
                      <w:szCs w:val="21"/>
                    </w:rPr>
                    <w:t>加装消声器</w:t>
                  </w:r>
                  <w:r>
                    <w:rPr>
                      <w:rFonts w:hint="eastAsia"/>
                      <w:bCs/>
                      <w:szCs w:val="21"/>
                    </w:rPr>
                    <w:t>、</w:t>
                  </w:r>
                  <w:r>
                    <w:rPr>
                      <w:bCs/>
                      <w:szCs w:val="21"/>
                    </w:rPr>
                    <w:t>隔声</w:t>
                  </w:r>
                </w:p>
              </w:tc>
              <w:tc>
                <w:tcPr>
                  <w:tcW w:w="426" w:type="dxa"/>
                  <w:noWrap w:val="0"/>
                  <w:vAlign w:val="center"/>
                </w:tcPr>
                <w:p w14:paraId="466F281C">
                  <w:pPr>
                    <w:spacing w:line="276" w:lineRule="auto"/>
                    <w:jc w:val="center"/>
                    <w:rPr>
                      <w:rFonts w:hint="default" w:eastAsia="宋体"/>
                      <w:bCs/>
                      <w:szCs w:val="21"/>
                      <w:lang w:val="en-US" w:eastAsia="zh-CN"/>
                    </w:rPr>
                  </w:pPr>
                  <w:r>
                    <w:rPr>
                      <w:rFonts w:hint="eastAsia"/>
                      <w:bCs/>
                      <w:szCs w:val="21"/>
                      <w:lang w:val="en-US" w:eastAsia="zh-CN"/>
                    </w:rPr>
                    <w:t>35</w:t>
                  </w:r>
                </w:p>
              </w:tc>
              <w:tc>
                <w:tcPr>
                  <w:tcW w:w="496" w:type="dxa"/>
                  <w:noWrap w:val="0"/>
                  <w:vAlign w:val="center"/>
                </w:tcPr>
                <w:p w14:paraId="05BA8983">
                  <w:pPr>
                    <w:spacing w:line="276" w:lineRule="auto"/>
                    <w:jc w:val="center"/>
                    <w:rPr>
                      <w:bCs/>
                      <w:szCs w:val="21"/>
                    </w:rPr>
                  </w:pPr>
                  <w:r>
                    <w:rPr>
                      <w:rFonts w:hint="eastAsia"/>
                      <w:bCs/>
                      <w:szCs w:val="21"/>
                    </w:rPr>
                    <w:t>95</w:t>
                  </w:r>
                </w:p>
              </w:tc>
              <w:tc>
                <w:tcPr>
                  <w:tcW w:w="479" w:type="dxa"/>
                  <w:noWrap w:val="0"/>
                  <w:vAlign w:val="center"/>
                </w:tcPr>
                <w:p w14:paraId="3E4FFEAC">
                  <w:pPr>
                    <w:spacing w:line="276" w:lineRule="auto"/>
                    <w:jc w:val="center"/>
                    <w:rPr>
                      <w:rFonts w:hint="eastAsia"/>
                      <w:bCs/>
                      <w:szCs w:val="21"/>
                    </w:rPr>
                  </w:pPr>
                  <w:r>
                    <w:rPr>
                      <w:rFonts w:hint="eastAsia"/>
                      <w:bCs/>
                      <w:szCs w:val="21"/>
                    </w:rPr>
                    <w:t>1</w:t>
                  </w:r>
                </w:p>
              </w:tc>
              <w:tc>
                <w:tcPr>
                  <w:tcW w:w="426" w:type="dxa"/>
                  <w:noWrap w:val="0"/>
                  <w:vAlign w:val="center"/>
                </w:tcPr>
                <w:p w14:paraId="69BCB65F">
                  <w:pPr>
                    <w:jc w:val="center"/>
                    <w:rPr>
                      <w:rFonts w:hAnsi="Calibri"/>
                      <w:bCs/>
                      <w:szCs w:val="21"/>
                    </w:rPr>
                  </w:pPr>
                  <w:r>
                    <w:rPr>
                      <w:rFonts w:hint="eastAsia" w:hAnsi="Calibri"/>
                      <w:bCs/>
                      <w:szCs w:val="21"/>
                    </w:rPr>
                    <w:t>50</w:t>
                  </w:r>
                </w:p>
              </w:tc>
              <w:tc>
                <w:tcPr>
                  <w:tcW w:w="426" w:type="dxa"/>
                  <w:noWrap w:val="0"/>
                  <w:vAlign w:val="center"/>
                </w:tcPr>
                <w:p w14:paraId="3BA011F2">
                  <w:pPr>
                    <w:jc w:val="center"/>
                    <w:rPr>
                      <w:rFonts w:hAnsi="Calibri"/>
                      <w:bCs/>
                      <w:szCs w:val="21"/>
                    </w:rPr>
                  </w:pPr>
                  <w:r>
                    <w:rPr>
                      <w:rFonts w:hint="eastAsia" w:hAnsi="Calibri"/>
                      <w:bCs/>
                      <w:szCs w:val="21"/>
                    </w:rPr>
                    <w:t>40</w:t>
                  </w:r>
                </w:p>
              </w:tc>
              <w:tc>
                <w:tcPr>
                  <w:tcW w:w="426" w:type="dxa"/>
                  <w:noWrap w:val="0"/>
                  <w:vAlign w:val="center"/>
                </w:tcPr>
                <w:p w14:paraId="4C06577C">
                  <w:pPr>
                    <w:jc w:val="center"/>
                    <w:rPr>
                      <w:rFonts w:hAnsi="Calibri"/>
                      <w:bCs/>
                      <w:szCs w:val="21"/>
                    </w:rPr>
                  </w:pPr>
                  <w:r>
                    <w:rPr>
                      <w:rFonts w:hint="eastAsia" w:hAnsi="Calibri"/>
                      <w:bCs/>
                      <w:szCs w:val="21"/>
                    </w:rPr>
                    <w:t>43</w:t>
                  </w:r>
                </w:p>
              </w:tc>
              <w:tc>
                <w:tcPr>
                  <w:tcW w:w="426" w:type="dxa"/>
                  <w:noWrap w:val="0"/>
                  <w:vAlign w:val="center"/>
                </w:tcPr>
                <w:p w14:paraId="3569EA90">
                  <w:pPr>
                    <w:jc w:val="center"/>
                    <w:rPr>
                      <w:rFonts w:hAnsi="Calibri"/>
                      <w:bCs/>
                      <w:szCs w:val="21"/>
                    </w:rPr>
                  </w:pPr>
                  <w:r>
                    <w:rPr>
                      <w:rFonts w:hint="eastAsia" w:hAnsi="Calibri"/>
                      <w:bCs/>
                      <w:szCs w:val="21"/>
                    </w:rPr>
                    <w:t>71</w:t>
                  </w:r>
                </w:p>
              </w:tc>
              <w:tc>
                <w:tcPr>
                  <w:tcW w:w="584" w:type="dxa"/>
                  <w:noWrap w:val="0"/>
                  <w:vAlign w:val="center"/>
                </w:tcPr>
                <w:p w14:paraId="7F636F03">
                  <w:pPr>
                    <w:jc w:val="center"/>
                    <w:rPr>
                      <w:bCs/>
                      <w:szCs w:val="21"/>
                    </w:rPr>
                  </w:pPr>
                  <w:r>
                    <w:rPr>
                      <w:rFonts w:hint="eastAsia"/>
                      <w:bCs/>
                      <w:szCs w:val="21"/>
                    </w:rPr>
                    <w:t>4</w:t>
                  </w:r>
                  <w:r>
                    <w:rPr>
                      <w:bCs/>
                      <w:szCs w:val="21"/>
                    </w:rPr>
                    <w:t xml:space="preserve">6.0 </w:t>
                  </w:r>
                </w:p>
              </w:tc>
              <w:tc>
                <w:tcPr>
                  <w:tcW w:w="584" w:type="dxa"/>
                  <w:noWrap w:val="0"/>
                  <w:vAlign w:val="center"/>
                </w:tcPr>
                <w:p w14:paraId="6CC86409">
                  <w:pPr>
                    <w:jc w:val="center"/>
                    <w:rPr>
                      <w:bCs/>
                      <w:szCs w:val="21"/>
                    </w:rPr>
                  </w:pPr>
                  <w:r>
                    <w:rPr>
                      <w:rFonts w:hint="eastAsia"/>
                      <w:bCs/>
                      <w:szCs w:val="21"/>
                    </w:rPr>
                    <w:t>4</w:t>
                  </w:r>
                  <w:r>
                    <w:rPr>
                      <w:bCs/>
                      <w:szCs w:val="21"/>
                    </w:rPr>
                    <w:t xml:space="preserve">8.0 </w:t>
                  </w:r>
                </w:p>
              </w:tc>
              <w:tc>
                <w:tcPr>
                  <w:tcW w:w="584" w:type="dxa"/>
                  <w:noWrap w:val="0"/>
                  <w:vAlign w:val="center"/>
                </w:tcPr>
                <w:p w14:paraId="5F199A5C">
                  <w:pPr>
                    <w:jc w:val="center"/>
                    <w:rPr>
                      <w:bCs/>
                      <w:szCs w:val="21"/>
                    </w:rPr>
                  </w:pPr>
                  <w:r>
                    <w:rPr>
                      <w:rFonts w:hint="eastAsia"/>
                      <w:bCs/>
                      <w:szCs w:val="21"/>
                    </w:rPr>
                    <w:t>4</w:t>
                  </w:r>
                  <w:r>
                    <w:rPr>
                      <w:bCs/>
                      <w:szCs w:val="21"/>
                    </w:rPr>
                    <w:t xml:space="preserve">7.3 </w:t>
                  </w:r>
                </w:p>
              </w:tc>
              <w:tc>
                <w:tcPr>
                  <w:tcW w:w="584" w:type="dxa"/>
                  <w:noWrap w:val="0"/>
                  <w:vAlign w:val="center"/>
                </w:tcPr>
                <w:p w14:paraId="7E9232DF">
                  <w:pPr>
                    <w:jc w:val="center"/>
                    <w:rPr>
                      <w:bCs/>
                      <w:szCs w:val="21"/>
                    </w:rPr>
                  </w:pPr>
                  <w:r>
                    <w:rPr>
                      <w:rFonts w:hint="eastAsia"/>
                      <w:bCs/>
                      <w:szCs w:val="21"/>
                    </w:rPr>
                    <w:t>4</w:t>
                  </w:r>
                  <w:r>
                    <w:rPr>
                      <w:bCs/>
                      <w:szCs w:val="21"/>
                    </w:rPr>
                    <w:t xml:space="preserve">3.0 </w:t>
                  </w:r>
                </w:p>
              </w:tc>
              <w:tc>
                <w:tcPr>
                  <w:tcW w:w="426" w:type="dxa"/>
                  <w:vMerge w:val="restart"/>
                  <w:noWrap w:val="0"/>
                  <w:vAlign w:val="center"/>
                </w:tcPr>
                <w:p w14:paraId="025C606C">
                  <w:pPr>
                    <w:jc w:val="center"/>
                    <w:rPr>
                      <w:rFonts w:hint="eastAsia" w:hAnsi="Calibri" w:eastAsia="宋体"/>
                      <w:bCs/>
                      <w:szCs w:val="21"/>
                      <w:lang w:eastAsia="zh-CN"/>
                    </w:rPr>
                  </w:pPr>
                  <w:r>
                    <w:rPr>
                      <w:rFonts w:hint="eastAsia" w:hAnsi="Calibri"/>
                      <w:bCs/>
                      <w:szCs w:val="21"/>
                      <w:lang w:val="en-US" w:eastAsia="zh-CN"/>
                    </w:rPr>
                    <w:t>昼间</w:t>
                  </w:r>
                </w:p>
              </w:tc>
              <w:tc>
                <w:tcPr>
                  <w:tcW w:w="788" w:type="dxa"/>
                  <w:noWrap w:val="0"/>
                  <w:vAlign w:val="center"/>
                </w:tcPr>
                <w:p w14:paraId="33A5EA23">
                  <w:pPr>
                    <w:jc w:val="center"/>
                    <w:rPr>
                      <w:rFonts w:hAnsi="Calibri"/>
                      <w:bCs/>
                      <w:szCs w:val="21"/>
                    </w:rPr>
                  </w:pPr>
                  <w:r>
                    <w:rPr>
                      <w:rFonts w:hint="eastAsia" w:hAnsi="Calibri"/>
                      <w:bCs/>
                      <w:szCs w:val="21"/>
                    </w:rPr>
                    <w:t>10</w:t>
                  </w:r>
                </w:p>
              </w:tc>
              <w:tc>
                <w:tcPr>
                  <w:tcW w:w="584" w:type="dxa"/>
                  <w:noWrap w:val="0"/>
                  <w:vAlign w:val="center"/>
                </w:tcPr>
                <w:p w14:paraId="56D7301D">
                  <w:pPr>
                    <w:widowControl/>
                    <w:jc w:val="center"/>
                    <w:textAlignment w:val="center"/>
                    <w:rPr>
                      <w:bCs/>
                      <w:szCs w:val="21"/>
                    </w:rPr>
                  </w:pPr>
                  <w:r>
                    <w:rPr>
                      <w:color w:val="000000"/>
                      <w:kern w:val="0"/>
                      <w:szCs w:val="21"/>
                      <w:lang w:bidi="ar"/>
                    </w:rPr>
                    <w:t>36</w:t>
                  </w:r>
                </w:p>
              </w:tc>
              <w:tc>
                <w:tcPr>
                  <w:tcW w:w="584" w:type="dxa"/>
                  <w:noWrap w:val="0"/>
                  <w:vAlign w:val="center"/>
                </w:tcPr>
                <w:p w14:paraId="4A55601E">
                  <w:pPr>
                    <w:widowControl/>
                    <w:jc w:val="center"/>
                    <w:textAlignment w:val="center"/>
                    <w:rPr>
                      <w:bCs/>
                      <w:szCs w:val="21"/>
                    </w:rPr>
                  </w:pPr>
                  <w:r>
                    <w:rPr>
                      <w:color w:val="000000"/>
                      <w:kern w:val="0"/>
                      <w:szCs w:val="21"/>
                      <w:lang w:bidi="ar"/>
                    </w:rPr>
                    <w:t>38</w:t>
                  </w:r>
                </w:p>
              </w:tc>
              <w:tc>
                <w:tcPr>
                  <w:tcW w:w="584" w:type="dxa"/>
                  <w:noWrap w:val="0"/>
                  <w:vAlign w:val="center"/>
                </w:tcPr>
                <w:p w14:paraId="09ACC91B">
                  <w:pPr>
                    <w:widowControl/>
                    <w:jc w:val="center"/>
                    <w:textAlignment w:val="center"/>
                    <w:rPr>
                      <w:bCs/>
                      <w:szCs w:val="21"/>
                    </w:rPr>
                  </w:pPr>
                  <w:r>
                    <w:rPr>
                      <w:color w:val="000000"/>
                      <w:kern w:val="0"/>
                      <w:szCs w:val="21"/>
                      <w:lang w:bidi="ar"/>
                    </w:rPr>
                    <w:t>37.3</w:t>
                  </w:r>
                </w:p>
              </w:tc>
              <w:tc>
                <w:tcPr>
                  <w:tcW w:w="584" w:type="dxa"/>
                  <w:noWrap w:val="0"/>
                  <w:vAlign w:val="center"/>
                </w:tcPr>
                <w:p w14:paraId="1BF61AF5">
                  <w:pPr>
                    <w:widowControl/>
                    <w:jc w:val="center"/>
                    <w:textAlignment w:val="center"/>
                    <w:rPr>
                      <w:bCs/>
                      <w:szCs w:val="21"/>
                    </w:rPr>
                  </w:pPr>
                  <w:r>
                    <w:rPr>
                      <w:color w:val="000000"/>
                      <w:kern w:val="0"/>
                      <w:szCs w:val="21"/>
                      <w:lang w:bidi="ar"/>
                    </w:rPr>
                    <w:t>33</w:t>
                  </w:r>
                </w:p>
              </w:tc>
              <w:tc>
                <w:tcPr>
                  <w:tcW w:w="438" w:type="dxa"/>
                  <w:noWrap w:val="0"/>
                  <w:vAlign w:val="center"/>
                </w:tcPr>
                <w:p w14:paraId="30207A48">
                  <w:pPr>
                    <w:jc w:val="center"/>
                    <w:rPr>
                      <w:rFonts w:hAnsi="Calibri"/>
                      <w:bCs/>
                      <w:szCs w:val="21"/>
                    </w:rPr>
                  </w:pPr>
                  <w:r>
                    <w:rPr>
                      <w:rFonts w:hint="eastAsia" w:hAnsi="Calibri"/>
                      <w:bCs/>
                      <w:szCs w:val="21"/>
                    </w:rPr>
                    <w:t>1</w:t>
                  </w:r>
                </w:p>
              </w:tc>
            </w:tr>
            <w:tr w14:paraId="0DE0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6" w:type="dxa"/>
                  <w:noWrap w:val="0"/>
                  <w:vAlign w:val="center"/>
                </w:tcPr>
                <w:p w14:paraId="4BE072E0">
                  <w:pPr>
                    <w:spacing w:line="276" w:lineRule="auto"/>
                    <w:jc w:val="center"/>
                    <w:rPr>
                      <w:rFonts w:hAnsi="Calibri"/>
                      <w:bCs/>
                      <w:szCs w:val="21"/>
                    </w:rPr>
                  </w:pPr>
                  <w:r>
                    <w:rPr>
                      <w:rFonts w:hint="eastAsia" w:hAnsi="Calibri"/>
                      <w:bCs/>
                      <w:szCs w:val="21"/>
                    </w:rPr>
                    <w:t>2</w:t>
                  </w:r>
                </w:p>
              </w:tc>
              <w:tc>
                <w:tcPr>
                  <w:tcW w:w="797" w:type="dxa"/>
                  <w:vMerge w:val="restart"/>
                  <w:noWrap w:val="0"/>
                  <w:vAlign w:val="center"/>
                </w:tcPr>
                <w:p w14:paraId="72CAF228">
                  <w:pPr>
                    <w:spacing w:line="276" w:lineRule="auto"/>
                    <w:jc w:val="center"/>
                    <w:rPr>
                      <w:rFonts w:hAnsi="Calibri"/>
                      <w:bCs/>
                      <w:szCs w:val="21"/>
                    </w:rPr>
                  </w:pPr>
                  <w:r>
                    <w:rPr>
                      <w:rFonts w:hint="eastAsia"/>
                      <w:bCs/>
                      <w:szCs w:val="21"/>
                    </w:rPr>
                    <w:t>旋转窑</w:t>
                  </w:r>
                </w:p>
              </w:tc>
              <w:tc>
                <w:tcPr>
                  <w:tcW w:w="720" w:type="dxa"/>
                  <w:noWrap w:val="0"/>
                  <w:vAlign w:val="center"/>
                </w:tcPr>
                <w:p w14:paraId="752E7BC1">
                  <w:pPr>
                    <w:spacing w:line="271" w:lineRule="auto"/>
                    <w:jc w:val="center"/>
                    <w:rPr>
                      <w:bCs/>
                      <w:szCs w:val="21"/>
                    </w:rPr>
                  </w:pPr>
                  <w:r>
                    <w:rPr>
                      <w:rFonts w:hint="eastAsia"/>
                      <w:bCs/>
                      <w:szCs w:val="21"/>
                    </w:rPr>
                    <w:t>码胚机1</w:t>
                  </w:r>
                </w:p>
              </w:tc>
              <w:tc>
                <w:tcPr>
                  <w:tcW w:w="735" w:type="dxa"/>
                  <w:noWrap w:val="0"/>
                  <w:vAlign w:val="center"/>
                </w:tcPr>
                <w:p w14:paraId="1B4D1DEC">
                  <w:pPr>
                    <w:spacing w:before="100" w:beforeAutospacing="1" w:after="100" w:afterAutospacing="1" w:line="271" w:lineRule="auto"/>
                    <w:jc w:val="center"/>
                    <w:rPr>
                      <w:bCs/>
                      <w:szCs w:val="21"/>
                    </w:rPr>
                  </w:pPr>
                  <w:r>
                    <w:rPr>
                      <w:rFonts w:hint="eastAsia"/>
                      <w:bCs/>
                      <w:szCs w:val="21"/>
                    </w:rPr>
                    <w:t>80</w:t>
                  </w:r>
                </w:p>
              </w:tc>
              <w:tc>
                <w:tcPr>
                  <w:tcW w:w="622" w:type="dxa"/>
                  <w:vMerge w:val="continue"/>
                  <w:noWrap w:val="0"/>
                  <w:vAlign w:val="center"/>
                </w:tcPr>
                <w:p w14:paraId="17E66132">
                  <w:pPr>
                    <w:spacing w:line="276" w:lineRule="auto"/>
                    <w:jc w:val="center"/>
                    <w:rPr>
                      <w:bCs/>
                      <w:szCs w:val="21"/>
                    </w:rPr>
                  </w:pPr>
                </w:p>
              </w:tc>
              <w:tc>
                <w:tcPr>
                  <w:tcW w:w="426" w:type="dxa"/>
                  <w:noWrap w:val="0"/>
                  <w:vAlign w:val="center"/>
                </w:tcPr>
                <w:p w14:paraId="7CE6421D">
                  <w:pPr>
                    <w:spacing w:line="276" w:lineRule="auto"/>
                    <w:jc w:val="center"/>
                    <w:rPr>
                      <w:bCs/>
                      <w:szCs w:val="21"/>
                    </w:rPr>
                  </w:pPr>
                  <w:r>
                    <w:rPr>
                      <w:rFonts w:hint="eastAsia"/>
                      <w:bCs/>
                      <w:szCs w:val="21"/>
                    </w:rPr>
                    <w:t>77</w:t>
                  </w:r>
                </w:p>
              </w:tc>
              <w:tc>
                <w:tcPr>
                  <w:tcW w:w="496" w:type="dxa"/>
                  <w:noWrap w:val="0"/>
                  <w:vAlign w:val="center"/>
                </w:tcPr>
                <w:p w14:paraId="32B40338">
                  <w:pPr>
                    <w:spacing w:line="276" w:lineRule="auto"/>
                    <w:jc w:val="center"/>
                    <w:rPr>
                      <w:bCs/>
                      <w:szCs w:val="21"/>
                    </w:rPr>
                  </w:pPr>
                  <w:r>
                    <w:rPr>
                      <w:rFonts w:hint="eastAsia"/>
                      <w:bCs/>
                      <w:szCs w:val="21"/>
                    </w:rPr>
                    <w:t>110</w:t>
                  </w:r>
                </w:p>
              </w:tc>
              <w:tc>
                <w:tcPr>
                  <w:tcW w:w="479" w:type="dxa"/>
                  <w:noWrap w:val="0"/>
                  <w:vAlign w:val="center"/>
                </w:tcPr>
                <w:p w14:paraId="58C15B7A">
                  <w:pPr>
                    <w:spacing w:line="276" w:lineRule="auto"/>
                    <w:jc w:val="center"/>
                    <w:rPr>
                      <w:bCs/>
                      <w:szCs w:val="21"/>
                    </w:rPr>
                  </w:pPr>
                  <w:r>
                    <w:rPr>
                      <w:rFonts w:hint="eastAsia"/>
                      <w:bCs/>
                      <w:szCs w:val="21"/>
                    </w:rPr>
                    <w:t>1</w:t>
                  </w:r>
                </w:p>
              </w:tc>
              <w:tc>
                <w:tcPr>
                  <w:tcW w:w="426" w:type="dxa"/>
                  <w:noWrap w:val="0"/>
                  <w:vAlign w:val="center"/>
                </w:tcPr>
                <w:p w14:paraId="67CD5F4B">
                  <w:pPr>
                    <w:jc w:val="center"/>
                    <w:rPr>
                      <w:rFonts w:hAnsi="Calibri"/>
                      <w:bCs/>
                      <w:szCs w:val="21"/>
                    </w:rPr>
                  </w:pPr>
                  <w:r>
                    <w:rPr>
                      <w:rFonts w:hint="eastAsia" w:hAnsi="Calibri"/>
                      <w:bCs/>
                      <w:szCs w:val="21"/>
                    </w:rPr>
                    <w:t>53</w:t>
                  </w:r>
                </w:p>
              </w:tc>
              <w:tc>
                <w:tcPr>
                  <w:tcW w:w="426" w:type="dxa"/>
                  <w:noWrap w:val="0"/>
                  <w:vAlign w:val="center"/>
                </w:tcPr>
                <w:p w14:paraId="21BC3487">
                  <w:pPr>
                    <w:jc w:val="center"/>
                    <w:rPr>
                      <w:rFonts w:hAnsi="Calibri"/>
                      <w:bCs/>
                      <w:szCs w:val="21"/>
                    </w:rPr>
                  </w:pPr>
                  <w:r>
                    <w:rPr>
                      <w:rFonts w:hint="eastAsia" w:hAnsi="Calibri"/>
                      <w:bCs/>
                      <w:szCs w:val="21"/>
                    </w:rPr>
                    <w:t>43</w:t>
                  </w:r>
                </w:p>
              </w:tc>
              <w:tc>
                <w:tcPr>
                  <w:tcW w:w="426" w:type="dxa"/>
                  <w:noWrap w:val="0"/>
                  <w:vAlign w:val="center"/>
                </w:tcPr>
                <w:p w14:paraId="2EE01541">
                  <w:pPr>
                    <w:jc w:val="center"/>
                    <w:rPr>
                      <w:rFonts w:hAnsi="Calibri"/>
                      <w:bCs/>
                      <w:szCs w:val="21"/>
                    </w:rPr>
                  </w:pPr>
                  <w:r>
                    <w:rPr>
                      <w:rFonts w:hint="eastAsia" w:hAnsi="Calibri"/>
                      <w:bCs/>
                      <w:szCs w:val="21"/>
                    </w:rPr>
                    <w:t>40</w:t>
                  </w:r>
                </w:p>
              </w:tc>
              <w:tc>
                <w:tcPr>
                  <w:tcW w:w="426" w:type="dxa"/>
                  <w:noWrap w:val="0"/>
                  <w:vAlign w:val="center"/>
                </w:tcPr>
                <w:p w14:paraId="65298DBC">
                  <w:pPr>
                    <w:jc w:val="center"/>
                    <w:rPr>
                      <w:rFonts w:hAnsi="Calibri"/>
                      <w:bCs/>
                      <w:szCs w:val="21"/>
                    </w:rPr>
                  </w:pPr>
                  <w:r>
                    <w:rPr>
                      <w:rFonts w:hint="eastAsia" w:hAnsi="Calibri"/>
                      <w:bCs/>
                      <w:szCs w:val="21"/>
                    </w:rPr>
                    <w:t>67</w:t>
                  </w:r>
                </w:p>
              </w:tc>
              <w:tc>
                <w:tcPr>
                  <w:tcW w:w="584" w:type="dxa"/>
                  <w:noWrap w:val="0"/>
                  <w:vAlign w:val="center"/>
                </w:tcPr>
                <w:p w14:paraId="77AABF60">
                  <w:pPr>
                    <w:jc w:val="center"/>
                    <w:rPr>
                      <w:bCs/>
                      <w:szCs w:val="21"/>
                    </w:rPr>
                  </w:pPr>
                  <w:r>
                    <w:rPr>
                      <w:rFonts w:hint="eastAsia"/>
                      <w:bCs/>
                      <w:szCs w:val="21"/>
                    </w:rPr>
                    <w:t>4</w:t>
                  </w:r>
                  <w:r>
                    <w:rPr>
                      <w:bCs/>
                      <w:szCs w:val="21"/>
                    </w:rPr>
                    <w:t xml:space="preserve">5.5 </w:t>
                  </w:r>
                </w:p>
              </w:tc>
              <w:tc>
                <w:tcPr>
                  <w:tcW w:w="584" w:type="dxa"/>
                  <w:noWrap w:val="0"/>
                  <w:vAlign w:val="center"/>
                </w:tcPr>
                <w:p w14:paraId="6B616222">
                  <w:pPr>
                    <w:jc w:val="center"/>
                    <w:rPr>
                      <w:bCs/>
                      <w:szCs w:val="21"/>
                    </w:rPr>
                  </w:pPr>
                  <w:r>
                    <w:rPr>
                      <w:rFonts w:hint="eastAsia"/>
                      <w:bCs/>
                      <w:szCs w:val="21"/>
                    </w:rPr>
                    <w:t>4</w:t>
                  </w:r>
                  <w:r>
                    <w:rPr>
                      <w:bCs/>
                      <w:szCs w:val="21"/>
                    </w:rPr>
                    <w:t xml:space="preserve">7.3 </w:t>
                  </w:r>
                </w:p>
              </w:tc>
              <w:tc>
                <w:tcPr>
                  <w:tcW w:w="584" w:type="dxa"/>
                  <w:noWrap w:val="0"/>
                  <w:vAlign w:val="center"/>
                </w:tcPr>
                <w:p w14:paraId="649D0772">
                  <w:pPr>
                    <w:jc w:val="center"/>
                    <w:rPr>
                      <w:bCs/>
                      <w:szCs w:val="21"/>
                    </w:rPr>
                  </w:pPr>
                  <w:r>
                    <w:rPr>
                      <w:rFonts w:hint="eastAsia"/>
                      <w:bCs/>
                      <w:szCs w:val="21"/>
                    </w:rPr>
                    <w:t>4</w:t>
                  </w:r>
                  <w:r>
                    <w:rPr>
                      <w:bCs/>
                      <w:szCs w:val="21"/>
                    </w:rPr>
                    <w:t xml:space="preserve">8.0 </w:t>
                  </w:r>
                </w:p>
              </w:tc>
              <w:tc>
                <w:tcPr>
                  <w:tcW w:w="584" w:type="dxa"/>
                  <w:noWrap w:val="0"/>
                  <w:vAlign w:val="center"/>
                </w:tcPr>
                <w:p w14:paraId="6BA4EE54">
                  <w:pPr>
                    <w:jc w:val="center"/>
                    <w:rPr>
                      <w:bCs/>
                      <w:szCs w:val="21"/>
                    </w:rPr>
                  </w:pPr>
                  <w:r>
                    <w:rPr>
                      <w:rFonts w:hint="eastAsia"/>
                      <w:bCs/>
                      <w:szCs w:val="21"/>
                    </w:rPr>
                    <w:t>4</w:t>
                  </w:r>
                  <w:r>
                    <w:rPr>
                      <w:bCs/>
                      <w:szCs w:val="21"/>
                    </w:rPr>
                    <w:t xml:space="preserve">3.5 </w:t>
                  </w:r>
                </w:p>
              </w:tc>
              <w:tc>
                <w:tcPr>
                  <w:tcW w:w="426" w:type="dxa"/>
                  <w:vMerge w:val="continue"/>
                  <w:noWrap w:val="0"/>
                  <w:vAlign w:val="center"/>
                </w:tcPr>
                <w:p w14:paraId="208F18B0">
                  <w:pPr>
                    <w:jc w:val="center"/>
                    <w:rPr>
                      <w:rFonts w:hAnsi="Calibri"/>
                      <w:bCs/>
                      <w:szCs w:val="21"/>
                    </w:rPr>
                  </w:pPr>
                </w:p>
              </w:tc>
              <w:tc>
                <w:tcPr>
                  <w:tcW w:w="788" w:type="dxa"/>
                  <w:noWrap w:val="0"/>
                  <w:vAlign w:val="center"/>
                </w:tcPr>
                <w:p w14:paraId="0B94BEBE">
                  <w:pPr>
                    <w:jc w:val="center"/>
                    <w:rPr>
                      <w:rFonts w:hAnsi="Calibri"/>
                      <w:bCs/>
                      <w:szCs w:val="21"/>
                    </w:rPr>
                  </w:pPr>
                  <w:r>
                    <w:rPr>
                      <w:rFonts w:hint="eastAsia" w:hAnsi="Calibri"/>
                      <w:bCs/>
                      <w:szCs w:val="21"/>
                    </w:rPr>
                    <w:t>10</w:t>
                  </w:r>
                </w:p>
              </w:tc>
              <w:tc>
                <w:tcPr>
                  <w:tcW w:w="584" w:type="dxa"/>
                  <w:noWrap w:val="0"/>
                  <w:vAlign w:val="center"/>
                </w:tcPr>
                <w:p w14:paraId="760EA737">
                  <w:pPr>
                    <w:widowControl/>
                    <w:jc w:val="center"/>
                    <w:textAlignment w:val="center"/>
                    <w:rPr>
                      <w:bCs/>
                      <w:szCs w:val="21"/>
                    </w:rPr>
                  </w:pPr>
                  <w:r>
                    <w:rPr>
                      <w:color w:val="000000"/>
                      <w:kern w:val="0"/>
                      <w:szCs w:val="21"/>
                      <w:lang w:bidi="ar"/>
                    </w:rPr>
                    <w:t>35.5</w:t>
                  </w:r>
                </w:p>
              </w:tc>
              <w:tc>
                <w:tcPr>
                  <w:tcW w:w="584" w:type="dxa"/>
                  <w:noWrap w:val="0"/>
                  <w:vAlign w:val="center"/>
                </w:tcPr>
                <w:p w14:paraId="760752D6">
                  <w:pPr>
                    <w:widowControl/>
                    <w:jc w:val="center"/>
                    <w:textAlignment w:val="center"/>
                    <w:rPr>
                      <w:bCs/>
                      <w:szCs w:val="21"/>
                    </w:rPr>
                  </w:pPr>
                  <w:r>
                    <w:rPr>
                      <w:color w:val="000000"/>
                      <w:kern w:val="0"/>
                      <w:szCs w:val="21"/>
                      <w:lang w:bidi="ar"/>
                    </w:rPr>
                    <w:t>37.3</w:t>
                  </w:r>
                </w:p>
              </w:tc>
              <w:tc>
                <w:tcPr>
                  <w:tcW w:w="584" w:type="dxa"/>
                  <w:noWrap w:val="0"/>
                  <w:vAlign w:val="center"/>
                </w:tcPr>
                <w:p w14:paraId="14DE673F">
                  <w:pPr>
                    <w:widowControl/>
                    <w:jc w:val="center"/>
                    <w:textAlignment w:val="center"/>
                    <w:rPr>
                      <w:bCs/>
                      <w:szCs w:val="21"/>
                    </w:rPr>
                  </w:pPr>
                  <w:r>
                    <w:rPr>
                      <w:color w:val="000000"/>
                      <w:kern w:val="0"/>
                      <w:szCs w:val="21"/>
                      <w:lang w:bidi="ar"/>
                    </w:rPr>
                    <w:t>38</w:t>
                  </w:r>
                </w:p>
              </w:tc>
              <w:tc>
                <w:tcPr>
                  <w:tcW w:w="584" w:type="dxa"/>
                  <w:noWrap w:val="0"/>
                  <w:vAlign w:val="center"/>
                </w:tcPr>
                <w:p w14:paraId="57C856D1">
                  <w:pPr>
                    <w:widowControl/>
                    <w:jc w:val="center"/>
                    <w:textAlignment w:val="center"/>
                    <w:rPr>
                      <w:bCs/>
                      <w:szCs w:val="21"/>
                    </w:rPr>
                  </w:pPr>
                  <w:r>
                    <w:rPr>
                      <w:color w:val="000000"/>
                      <w:kern w:val="0"/>
                      <w:szCs w:val="21"/>
                      <w:lang w:bidi="ar"/>
                    </w:rPr>
                    <w:t>33.5</w:t>
                  </w:r>
                </w:p>
              </w:tc>
              <w:tc>
                <w:tcPr>
                  <w:tcW w:w="438" w:type="dxa"/>
                  <w:noWrap w:val="0"/>
                  <w:vAlign w:val="center"/>
                </w:tcPr>
                <w:p w14:paraId="56F3F2B6">
                  <w:pPr>
                    <w:jc w:val="center"/>
                    <w:rPr>
                      <w:rFonts w:hAnsi="Calibri"/>
                      <w:bCs/>
                      <w:szCs w:val="21"/>
                    </w:rPr>
                  </w:pPr>
                  <w:r>
                    <w:rPr>
                      <w:rFonts w:hint="eastAsia" w:hAnsi="Calibri"/>
                      <w:bCs/>
                      <w:szCs w:val="21"/>
                    </w:rPr>
                    <w:t>1</w:t>
                  </w:r>
                </w:p>
              </w:tc>
            </w:tr>
            <w:tr w14:paraId="01E8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6" w:type="dxa"/>
                  <w:noWrap w:val="0"/>
                  <w:vAlign w:val="center"/>
                </w:tcPr>
                <w:p w14:paraId="664FE502">
                  <w:pPr>
                    <w:spacing w:line="276" w:lineRule="auto"/>
                    <w:jc w:val="center"/>
                    <w:rPr>
                      <w:rFonts w:hAnsi="Calibri"/>
                      <w:bCs/>
                      <w:szCs w:val="21"/>
                    </w:rPr>
                  </w:pPr>
                  <w:r>
                    <w:rPr>
                      <w:rFonts w:hint="eastAsia" w:hAnsi="Calibri"/>
                      <w:bCs/>
                      <w:szCs w:val="21"/>
                    </w:rPr>
                    <w:t>3</w:t>
                  </w:r>
                </w:p>
              </w:tc>
              <w:tc>
                <w:tcPr>
                  <w:tcW w:w="797" w:type="dxa"/>
                  <w:vMerge w:val="continue"/>
                  <w:noWrap w:val="0"/>
                  <w:vAlign w:val="center"/>
                </w:tcPr>
                <w:p w14:paraId="1B1D8534">
                  <w:pPr>
                    <w:spacing w:line="276" w:lineRule="auto"/>
                    <w:jc w:val="center"/>
                    <w:rPr>
                      <w:rFonts w:hAnsi="Calibri"/>
                      <w:bCs/>
                      <w:szCs w:val="21"/>
                    </w:rPr>
                  </w:pPr>
                </w:p>
              </w:tc>
              <w:tc>
                <w:tcPr>
                  <w:tcW w:w="720" w:type="dxa"/>
                  <w:noWrap w:val="0"/>
                  <w:vAlign w:val="center"/>
                </w:tcPr>
                <w:p w14:paraId="4D864DA4">
                  <w:pPr>
                    <w:spacing w:line="271" w:lineRule="auto"/>
                    <w:jc w:val="center"/>
                    <w:rPr>
                      <w:rFonts w:hint="eastAsia"/>
                      <w:bCs/>
                      <w:szCs w:val="21"/>
                    </w:rPr>
                  </w:pPr>
                  <w:r>
                    <w:rPr>
                      <w:rFonts w:hint="eastAsia"/>
                      <w:bCs/>
                      <w:szCs w:val="21"/>
                    </w:rPr>
                    <w:t>码胚机2</w:t>
                  </w:r>
                </w:p>
              </w:tc>
              <w:tc>
                <w:tcPr>
                  <w:tcW w:w="735" w:type="dxa"/>
                  <w:noWrap w:val="0"/>
                  <w:vAlign w:val="center"/>
                </w:tcPr>
                <w:p w14:paraId="0E4ED442">
                  <w:pPr>
                    <w:spacing w:before="100" w:beforeAutospacing="1" w:after="100" w:afterAutospacing="1" w:line="271" w:lineRule="auto"/>
                    <w:jc w:val="center"/>
                    <w:rPr>
                      <w:rFonts w:hint="eastAsia"/>
                      <w:bCs/>
                      <w:szCs w:val="21"/>
                    </w:rPr>
                  </w:pPr>
                  <w:r>
                    <w:rPr>
                      <w:rFonts w:hint="eastAsia"/>
                      <w:bCs/>
                      <w:szCs w:val="21"/>
                    </w:rPr>
                    <w:t>80</w:t>
                  </w:r>
                </w:p>
              </w:tc>
              <w:tc>
                <w:tcPr>
                  <w:tcW w:w="622" w:type="dxa"/>
                  <w:vMerge w:val="continue"/>
                  <w:noWrap w:val="0"/>
                  <w:vAlign w:val="center"/>
                </w:tcPr>
                <w:p w14:paraId="31BB1B6E">
                  <w:pPr>
                    <w:spacing w:line="276" w:lineRule="auto"/>
                    <w:jc w:val="center"/>
                    <w:rPr>
                      <w:bCs/>
                      <w:szCs w:val="21"/>
                    </w:rPr>
                  </w:pPr>
                </w:p>
              </w:tc>
              <w:tc>
                <w:tcPr>
                  <w:tcW w:w="426" w:type="dxa"/>
                  <w:noWrap w:val="0"/>
                  <w:vAlign w:val="center"/>
                </w:tcPr>
                <w:p w14:paraId="12216595">
                  <w:pPr>
                    <w:spacing w:line="276" w:lineRule="auto"/>
                    <w:jc w:val="center"/>
                    <w:rPr>
                      <w:bCs/>
                      <w:szCs w:val="21"/>
                    </w:rPr>
                  </w:pPr>
                  <w:r>
                    <w:rPr>
                      <w:rFonts w:hint="eastAsia"/>
                      <w:bCs/>
                      <w:szCs w:val="21"/>
                    </w:rPr>
                    <w:t>75</w:t>
                  </w:r>
                </w:p>
              </w:tc>
              <w:tc>
                <w:tcPr>
                  <w:tcW w:w="496" w:type="dxa"/>
                  <w:noWrap w:val="0"/>
                  <w:vAlign w:val="center"/>
                </w:tcPr>
                <w:p w14:paraId="2C62610E">
                  <w:pPr>
                    <w:spacing w:line="276" w:lineRule="auto"/>
                    <w:jc w:val="center"/>
                    <w:rPr>
                      <w:bCs/>
                      <w:szCs w:val="21"/>
                    </w:rPr>
                  </w:pPr>
                  <w:r>
                    <w:rPr>
                      <w:rFonts w:hint="eastAsia"/>
                      <w:bCs/>
                      <w:szCs w:val="21"/>
                    </w:rPr>
                    <w:t>110</w:t>
                  </w:r>
                </w:p>
              </w:tc>
              <w:tc>
                <w:tcPr>
                  <w:tcW w:w="479" w:type="dxa"/>
                  <w:noWrap w:val="0"/>
                  <w:vAlign w:val="center"/>
                </w:tcPr>
                <w:p w14:paraId="0311F4B3">
                  <w:pPr>
                    <w:spacing w:line="276" w:lineRule="auto"/>
                    <w:jc w:val="center"/>
                    <w:rPr>
                      <w:rFonts w:hint="eastAsia"/>
                      <w:bCs/>
                      <w:szCs w:val="21"/>
                    </w:rPr>
                  </w:pPr>
                  <w:r>
                    <w:rPr>
                      <w:rFonts w:hint="eastAsia"/>
                      <w:bCs/>
                      <w:szCs w:val="21"/>
                    </w:rPr>
                    <w:t>1</w:t>
                  </w:r>
                </w:p>
              </w:tc>
              <w:tc>
                <w:tcPr>
                  <w:tcW w:w="426" w:type="dxa"/>
                  <w:noWrap w:val="0"/>
                  <w:vAlign w:val="center"/>
                </w:tcPr>
                <w:p w14:paraId="076FC30B">
                  <w:pPr>
                    <w:jc w:val="center"/>
                    <w:rPr>
                      <w:rFonts w:hint="eastAsia" w:hAnsi="Calibri"/>
                      <w:bCs/>
                      <w:szCs w:val="21"/>
                    </w:rPr>
                  </w:pPr>
                  <w:r>
                    <w:rPr>
                      <w:rFonts w:hint="eastAsia" w:hAnsi="Calibri"/>
                      <w:bCs/>
                      <w:szCs w:val="21"/>
                    </w:rPr>
                    <w:t>53</w:t>
                  </w:r>
                </w:p>
              </w:tc>
              <w:tc>
                <w:tcPr>
                  <w:tcW w:w="426" w:type="dxa"/>
                  <w:noWrap w:val="0"/>
                  <w:vAlign w:val="center"/>
                </w:tcPr>
                <w:p w14:paraId="3753235E">
                  <w:pPr>
                    <w:jc w:val="center"/>
                    <w:rPr>
                      <w:rFonts w:hint="eastAsia" w:hAnsi="Calibri"/>
                      <w:bCs/>
                      <w:szCs w:val="21"/>
                    </w:rPr>
                  </w:pPr>
                  <w:r>
                    <w:rPr>
                      <w:rFonts w:hint="eastAsia" w:hAnsi="Calibri"/>
                      <w:bCs/>
                      <w:szCs w:val="21"/>
                    </w:rPr>
                    <w:t>45</w:t>
                  </w:r>
                </w:p>
              </w:tc>
              <w:tc>
                <w:tcPr>
                  <w:tcW w:w="426" w:type="dxa"/>
                  <w:noWrap w:val="0"/>
                  <w:vAlign w:val="center"/>
                </w:tcPr>
                <w:p w14:paraId="4B1B5238">
                  <w:pPr>
                    <w:jc w:val="center"/>
                    <w:rPr>
                      <w:rFonts w:hint="eastAsia" w:hAnsi="Calibri"/>
                      <w:bCs/>
                      <w:szCs w:val="21"/>
                    </w:rPr>
                  </w:pPr>
                  <w:r>
                    <w:rPr>
                      <w:rFonts w:hint="eastAsia" w:hAnsi="Calibri"/>
                      <w:bCs/>
                      <w:szCs w:val="21"/>
                    </w:rPr>
                    <w:t>40</w:t>
                  </w:r>
                </w:p>
              </w:tc>
              <w:tc>
                <w:tcPr>
                  <w:tcW w:w="426" w:type="dxa"/>
                  <w:noWrap w:val="0"/>
                  <w:vAlign w:val="center"/>
                </w:tcPr>
                <w:p w14:paraId="61C5CF89">
                  <w:pPr>
                    <w:jc w:val="center"/>
                    <w:rPr>
                      <w:rFonts w:hint="eastAsia" w:hAnsi="Calibri"/>
                      <w:bCs/>
                      <w:szCs w:val="21"/>
                    </w:rPr>
                  </w:pPr>
                  <w:r>
                    <w:rPr>
                      <w:rFonts w:hint="eastAsia" w:hAnsi="Calibri"/>
                      <w:bCs/>
                      <w:szCs w:val="21"/>
                    </w:rPr>
                    <w:t>62</w:t>
                  </w:r>
                </w:p>
              </w:tc>
              <w:tc>
                <w:tcPr>
                  <w:tcW w:w="584" w:type="dxa"/>
                  <w:noWrap w:val="0"/>
                  <w:vAlign w:val="center"/>
                </w:tcPr>
                <w:p w14:paraId="099CE209">
                  <w:pPr>
                    <w:jc w:val="center"/>
                    <w:rPr>
                      <w:bCs/>
                      <w:szCs w:val="21"/>
                    </w:rPr>
                  </w:pPr>
                  <w:r>
                    <w:rPr>
                      <w:rFonts w:hint="eastAsia"/>
                      <w:bCs/>
                      <w:szCs w:val="21"/>
                    </w:rPr>
                    <w:t>4</w:t>
                  </w:r>
                  <w:r>
                    <w:rPr>
                      <w:bCs/>
                      <w:szCs w:val="21"/>
                    </w:rPr>
                    <w:t xml:space="preserve">5.5 </w:t>
                  </w:r>
                </w:p>
              </w:tc>
              <w:tc>
                <w:tcPr>
                  <w:tcW w:w="584" w:type="dxa"/>
                  <w:noWrap w:val="0"/>
                  <w:vAlign w:val="center"/>
                </w:tcPr>
                <w:p w14:paraId="60D15E0D">
                  <w:pPr>
                    <w:jc w:val="center"/>
                    <w:rPr>
                      <w:bCs/>
                      <w:szCs w:val="21"/>
                    </w:rPr>
                  </w:pPr>
                  <w:r>
                    <w:rPr>
                      <w:rFonts w:hint="eastAsia"/>
                      <w:bCs/>
                      <w:szCs w:val="21"/>
                    </w:rPr>
                    <w:t>4</w:t>
                  </w:r>
                  <w:r>
                    <w:rPr>
                      <w:bCs/>
                      <w:szCs w:val="21"/>
                    </w:rPr>
                    <w:t>7.</w:t>
                  </w:r>
                  <w:r>
                    <w:rPr>
                      <w:rFonts w:hint="eastAsia"/>
                      <w:bCs/>
                      <w:szCs w:val="21"/>
                    </w:rPr>
                    <w:t>1</w:t>
                  </w:r>
                  <w:r>
                    <w:rPr>
                      <w:bCs/>
                      <w:szCs w:val="21"/>
                    </w:rPr>
                    <w:t xml:space="preserve"> </w:t>
                  </w:r>
                </w:p>
              </w:tc>
              <w:tc>
                <w:tcPr>
                  <w:tcW w:w="584" w:type="dxa"/>
                  <w:noWrap w:val="0"/>
                  <w:vAlign w:val="center"/>
                </w:tcPr>
                <w:p w14:paraId="10148EED">
                  <w:pPr>
                    <w:jc w:val="center"/>
                    <w:rPr>
                      <w:bCs/>
                      <w:szCs w:val="21"/>
                    </w:rPr>
                  </w:pPr>
                  <w:r>
                    <w:rPr>
                      <w:rFonts w:hint="eastAsia"/>
                      <w:bCs/>
                      <w:szCs w:val="21"/>
                    </w:rPr>
                    <w:t>4</w:t>
                  </w:r>
                  <w:r>
                    <w:rPr>
                      <w:bCs/>
                      <w:szCs w:val="21"/>
                    </w:rPr>
                    <w:t xml:space="preserve">8.0 </w:t>
                  </w:r>
                </w:p>
              </w:tc>
              <w:tc>
                <w:tcPr>
                  <w:tcW w:w="584" w:type="dxa"/>
                  <w:noWrap w:val="0"/>
                  <w:vAlign w:val="center"/>
                </w:tcPr>
                <w:p w14:paraId="7AA74D20">
                  <w:pPr>
                    <w:jc w:val="center"/>
                    <w:rPr>
                      <w:bCs/>
                      <w:szCs w:val="21"/>
                    </w:rPr>
                  </w:pPr>
                  <w:r>
                    <w:rPr>
                      <w:bCs/>
                      <w:szCs w:val="21"/>
                    </w:rPr>
                    <w:t>33.</w:t>
                  </w:r>
                  <w:r>
                    <w:rPr>
                      <w:rFonts w:hint="eastAsia"/>
                      <w:bCs/>
                      <w:szCs w:val="21"/>
                    </w:rPr>
                    <w:t>2</w:t>
                  </w:r>
                  <w:r>
                    <w:rPr>
                      <w:bCs/>
                      <w:szCs w:val="21"/>
                    </w:rPr>
                    <w:t xml:space="preserve"> </w:t>
                  </w:r>
                </w:p>
              </w:tc>
              <w:tc>
                <w:tcPr>
                  <w:tcW w:w="426" w:type="dxa"/>
                  <w:vMerge w:val="continue"/>
                  <w:noWrap w:val="0"/>
                  <w:vAlign w:val="center"/>
                </w:tcPr>
                <w:p w14:paraId="2EF00763">
                  <w:pPr>
                    <w:jc w:val="center"/>
                    <w:rPr>
                      <w:rFonts w:hAnsi="Calibri"/>
                      <w:bCs/>
                      <w:szCs w:val="21"/>
                    </w:rPr>
                  </w:pPr>
                </w:p>
              </w:tc>
              <w:tc>
                <w:tcPr>
                  <w:tcW w:w="788" w:type="dxa"/>
                  <w:noWrap w:val="0"/>
                  <w:vAlign w:val="center"/>
                </w:tcPr>
                <w:p w14:paraId="024EEC06">
                  <w:pPr>
                    <w:jc w:val="center"/>
                    <w:rPr>
                      <w:rFonts w:hint="eastAsia" w:hAnsi="Calibri"/>
                      <w:bCs/>
                      <w:szCs w:val="21"/>
                    </w:rPr>
                  </w:pPr>
                  <w:r>
                    <w:rPr>
                      <w:rFonts w:hint="eastAsia" w:hAnsi="Calibri"/>
                      <w:bCs/>
                      <w:szCs w:val="21"/>
                    </w:rPr>
                    <w:t>10</w:t>
                  </w:r>
                </w:p>
              </w:tc>
              <w:tc>
                <w:tcPr>
                  <w:tcW w:w="584" w:type="dxa"/>
                  <w:noWrap w:val="0"/>
                  <w:vAlign w:val="center"/>
                </w:tcPr>
                <w:p w14:paraId="3E8D2132">
                  <w:pPr>
                    <w:widowControl/>
                    <w:jc w:val="center"/>
                    <w:textAlignment w:val="center"/>
                    <w:rPr>
                      <w:bCs/>
                      <w:szCs w:val="21"/>
                    </w:rPr>
                  </w:pPr>
                  <w:r>
                    <w:rPr>
                      <w:color w:val="000000"/>
                      <w:kern w:val="0"/>
                      <w:szCs w:val="21"/>
                      <w:lang w:bidi="ar"/>
                    </w:rPr>
                    <w:t>35.5</w:t>
                  </w:r>
                </w:p>
              </w:tc>
              <w:tc>
                <w:tcPr>
                  <w:tcW w:w="584" w:type="dxa"/>
                  <w:noWrap w:val="0"/>
                  <w:vAlign w:val="center"/>
                </w:tcPr>
                <w:p w14:paraId="54738C6B">
                  <w:pPr>
                    <w:widowControl/>
                    <w:jc w:val="center"/>
                    <w:textAlignment w:val="center"/>
                    <w:rPr>
                      <w:bCs/>
                      <w:szCs w:val="21"/>
                    </w:rPr>
                  </w:pPr>
                  <w:r>
                    <w:rPr>
                      <w:color w:val="000000"/>
                      <w:kern w:val="0"/>
                      <w:szCs w:val="21"/>
                      <w:lang w:bidi="ar"/>
                    </w:rPr>
                    <w:t>37.1</w:t>
                  </w:r>
                </w:p>
              </w:tc>
              <w:tc>
                <w:tcPr>
                  <w:tcW w:w="584" w:type="dxa"/>
                  <w:noWrap w:val="0"/>
                  <w:vAlign w:val="center"/>
                </w:tcPr>
                <w:p w14:paraId="0035E1A2">
                  <w:pPr>
                    <w:widowControl/>
                    <w:jc w:val="center"/>
                    <w:textAlignment w:val="center"/>
                    <w:rPr>
                      <w:bCs/>
                      <w:szCs w:val="21"/>
                    </w:rPr>
                  </w:pPr>
                  <w:r>
                    <w:rPr>
                      <w:color w:val="000000"/>
                      <w:kern w:val="0"/>
                      <w:szCs w:val="21"/>
                      <w:lang w:bidi="ar"/>
                    </w:rPr>
                    <w:t>38</w:t>
                  </w:r>
                </w:p>
              </w:tc>
              <w:tc>
                <w:tcPr>
                  <w:tcW w:w="584" w:type="dxa"/>
                  <w:noWrap w:val="0"/>
                  <w:vAlign w:val="center"/>
                </w:tcPr>
                <w:p w14:paraId="516C8122">
                  <w:pPr>
                    <w:widowControl/>
                    <w:jc w:val="center"/>
                    <w:textAlignment w:val="center"/>
                    <w:rPr>
                      <w:bCs/>
                      <w:szCs w:val="21"/>
                    </w:rPr>
                  </w:pPr>
                  <w:r>
                    <w:rPr>
                      <w:color w:val="000000"/>
                      <w:kern w:val="0"/>
                      <w:szCs w:val="21"/>
                      <w:lang w:bidi="ar"/>
                    </w:rPr>
                    <w:t>23.2</w:t>
                  </w:r>
                </w:p>
              </w:tc>
              <w:tc>
                <w:tcPr>
                  <w:tcW w:w="438" w:type="dxa"/>
                  <w:noWrap w:val="0"/>
                  <w:vAlign w:val="center"/>
                </w:tcPr>
                <w:p w14:paraId="72EC6657">
                  <w:pPr>
                    <w:jc w:val="center"/>
                    <w:rPr>
                      <w:rFonts w:hint="eastAsia" w:hAnsi="Calibri"/>
                      <w:bCs/>
                      <w:szCs w:val="21"/>
                    </w:rPr>
                  </w:pPr>
                </w:p>
              </w:tc>
            </w:tr>
            <w:tr w14:paraId="3834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6" w:type="dxa"/>
                  <w:noWrap w:val="0"/>
                  <w:vAlign w:val="center"/>
                </w:tcPr>
                <w:p w14:paraId="211168E0">
                  <w:pPr>
                    <w:spacing w:line="276" w:lineRule="auto"/>
                    <w:jc w:val="center"/>
                    <w:rPr>
                      <w:rFonts w:hint="eastAsia" w:hAnsi="Calibri"/>
                      <w:bCs/>
                      <w:szCs w:val="21"/>
                    </w:rPr>
                  </w:pPr>
                  <w:r>
                    <w:rPr>
                      <w:rFonts w:hint="eastAsia" w:hAnsi="Calibri"/>
                      <w:bCs/>
                      <w:szCs w:val="21"/>
                    </w:rPr>
                    <w:t>4</w:t>
                  </w:r>
                </w:p>
              </w:tc>
              <w:tc>
                <w:tcPr>
                  <w:tcW w:w="797" w:type="dxa"/>
                  <w:vMerge w:val="continue"/>
                  <w:noWrap w:val="0"/>
                  <w:vAlign w:val="center"/>
                </w:tcPr>
                <w:p w14:paraId="6891AFC7">
                  <w:pPr>
                    <w:spacing w:line="276" w:lineRule="auto"/>
                    <w:jc w:val="center"/>
                    <w:rPr>
                      <w:rFonts w:hAnsi="Calibri"/>
                      <w:bCs/>
                      <w:szCs w:val="21"/>
                    </w:rPr>
                  </w:pPr>
                </w:p>
              </w:tc>
              <w:tc>
                <w:tcPr>
                  <w:tcW w:w="720" w:type="dxa"/>
                  <w:noWrap w:val="0"/>
                  <w:vAlign w:val="center"/>
                </w:tcPr>
                <w:p w14:paraId="30AC787B">
                  <w:pPr>
                    <w:spacing w:line="271" w:lineRule="auto"/>
                    <w:jc w:val="center"/>
                    <w:rPr>
                      <w:rFonts w:hint="eastAsia"/>
                      <w:bCs/>
                      <w:szCs w:val="21"/>
                    </w:rPr>
                  </w:pPr>
                  <w:r>
                    <w:rPr>
                      <w:rFonts w:hint="eastAsia"/>
                      <w:bCs/>
                      <w:szCs w:val="21"/>
                    </w:rPr>
                    <w:t>包装机</w:t>
                  </w:r>
                </w:p>
              </w:tc>
              <w:tc>
                <w:tcPr>
                  <w:tcW w:w="735" w:type="dxa"/>
                  <w:noWrap w:val="0"/>
                  <w:vAlign w:val="center"/>
                </w:tcPr>
                <w:p w14:paraId="3620CC60">
                  <w:pPr>
                    <w:spacing w:before="100" w:beforeAutospacing="1" w:after="100" w:afterAutospacing="1" w:line="271" w:lineRule="auto"/>
                    <w:jc w:val="center"/>
                    <w:rPr>
                      <w:rFonts w:hint="eastAsia"/>
                      <w:bCs/>
                      <w:szCs w:val="21"/>
                    </w:rPr>
                  </w:pPr>
                  <w:r>
                    <w:rPr>
                      <w:rFonts w:hint="eastAsia"/>
                      <w:bCs/>
                      <w:szCs w:val="21"/>
                    </w:rPr>
                    <w:t>80</w:t>
                  </w:r>
                </w:p>
              </w:tc>
              <w:tc>
                <w:tcPr>
                  <w:tcW w:w="622" w:type="dxa"/>
                  <w:vMerge w:val="continue"/>
                  <w:noWrap w:val="0"/>
                  <w:vAlign w:val="center"/>
                </w:tcPr>
                <w:p w14:paraId="1D0DA98B">
                  <w:pPr>
                    <w:spacing w:line="276" w:lineRule="auto"/>
                    <w:jc w:val="center"/>
                    <w:rPr>
                      <w:bCs/>
                      <w:szCs w:val="21"/>
                    </w:rPr>
                  </w:pPr>
                </w:p>
              </w:tc>
              <w:tc>
                <w:tcPr>
                  <w:tcW w:w="426" w:type="dxa"/>
                  <w:noWrap w:val="0"/>
                  <w:vAlign w:val="center"/>
                </w:tcPr>
                <w:p w14:paraId="76EDA88E">
                  <w:pPr>
                    <w:spacing w:line="276" w:lineRule="auto"/>
                    <w:jc w:val="center"/>
                    <w:rPr>
                      <w:bCs/>
                      <w:szCs w:val="21"/>
                    </w:rPr>
                  </w:pPr>
                  <w:r>
                    <w:rPr>
                      <w:rFonts w:hint="eastAsia"/>
                      <w:bCs/>
                      <w:szCs w:val="21"/>
                    </w:rPr>
                    <w:t>64</w:t>
                  </w:r>
                </w:p>
              </w:tc>
              <w:tc>
                <w:tcPr>
                  <w:tcW w:w="496" w:type="dxa"/>
                  <w:noWrap w:val="0"/>
                  <w:vAlign w:val="center"/>
                </w:tcPr>
                <w:p w14:paraId="10F9725A">
                  <w:pPr>
                    <w:spacing w:line="276" w:lineRule="auto"/>
                    <w:jc w:val="center"/>
                    <w:rPr>
                      <w:bCs/>
                      <w:szCs w:val="21"/>
                    </w:rPr>
                  </w:pPr>
                  <w:r>
                    <w:rPr>
                      <w:rFonts w:hint="eastAsia"/>
                      <w:bCs/>
                      <w:szCs w:val="21"/>
                    </w:rPr>
                    <w:t>115</w:t>
                  </w:r>
                </w:p>
              </w:tc>
              <w:tc>
                <w:tcPr>
                  <w:tcW w:w="479" w:type="dxa"/>
                  <w:noWrap w:val="0"/>
                  <w:vAlign w:val="center"/>
                </w:tcPr>
                <w:p w14:paraId="333D7177">
                  <w:pPr>
                    <w:spacing w:line="276" w:lineRule="auto"/>
                    <w:jc w:val="center"/>
                    <w:rPr>
                      <w:rFonts w:hint="eastAsia"/>
                      <w:bCs/>
                      <w:szCs w:val="21"/>
                    </w:rPr>
                  </w:pPr>
                  <w:r>
                    <w:rPr>
                      <w:rFonts w:hint="eastAsia"/>
                      <w:bCs/>
                      <w:szCs w:val="21"/>
                    </w:rPr>
                    <w:t>1</w:t>
                  </w:r>
                </w:p>
              </w:tc>
              <w:tc>
                <w:tcPr>
                  <w:tcW w:w="426" w:type="dxa"/>
                  <w:noWrap w:val="0"/>
                  <w:vAlign w:val="center"/>
                </w:tcPr>
                <w:p w14:paraId="6E43EDC3">
                  <w:pPr>
                    <w:jc w:val="center"/>
                    <w:rPr>
                      <w:rFonts w:hint="eastAsia" w:hAnsi="Calibri"/>
                      <w:bCs/>
                      <w:szCs w:val="21"/>
                    </w:rPr>
                  </w:pPr>
                  <w:r>
                    <w:rPr>
                      <w:rFonts w:hint="eastAsia" w:hAnsi="Calibri"/>
                      <w:bCs/>
                      <w:szCs w:val="21"/>
                    </w:rPr>
                    <w:t>71</w:t>
                  </w:r>
                </w:p>
              </w:tc>
              <w:tc>
                <w:tcPr>
                  <w:tcW w:w="426" w:type="dxa"/>
                  <w:noWrap w:val="0"/>
                  <w:vAlign w:val="center"/>
                </w:tcPr>
                <w:p w14:paraId="0E8F8417">
                  <w:pPr>
                    <w:jc w:val="center"/>
                    <w:rPr>
                      <w:rFonts w:hint="eastAsia" w:hAnsi="Calibri"/>
                      <w:bCs/>
                      <w:szCs w:val="21"/>
                    </w:rPr>
                  </w:pPr>
                  <w:r>
                    <w:rPr>
                      <w:rFonts w:hint="eastAsia" w:hAnsi="Calibri"/>
                      <w:bCs/>
                      <w:szCs w:val="21"/>
                    </w:rPr>
                    <w:t>67</w:t>
                  </w:r>
                </w:p>
              </w:tc>
              <w:tc>
                <w:tcPr>
                  <w:tcW w:w="426" w:type="dxa"/>
                  <w:noWrap w:val="0"/>
                  <w:vAlign w:val="center"/>
                </w:tcPr>
                <w:p w14:paraId="00BCB3A9">
                  <w:pPr>
                    <w:jc w:val="center"/>
                    <w:rPr>
                      <w:rFonts w:hint="eastAsia" w:hAnsi="Calibri"/>
                      <w:bCs/>
                      <w:szCs w:val="21"/>
                    </w:rPr>
                  </w:pPr>
                  <w:r>
                    <w:rPr>
                      <w:rFonts w:hint="eastAsia" w:hAnsi="Calibri"/>
                      <w:bCs/>
                      <w:szCs w:val="21"/>
                    </w:rPr>
                    <w:t>73</w:t>
                  </w:r>
                </w:p>
              </w:tc>
              <w:tc>
                <w:tcPr>
                  <w:tcW w:w="426" w:type="dxa"/>
                  <w:noWrap w:val="0"/>
                  <w:vAlign w:val="center"/>
                </w:tcPr>
                <w:p w14:paraId="6839571A">
                  <w:pPr>
                    <w:jc w:val="center"/>
                    <w:rPr>
                      <w:rFonts w:hint="eastAsia" w:hAnsi="Calibri"/>
                      <w:bCs/>
                      <w:szCs w:val="21"/>
                    </w:rPr>
                  </w:pPr>
                  <w:r>
                    <w:rPr>
                      <w:rFonts w:hint="eastAsia" w:hAnsi="Calibri"/>
                      <w:bCs/>
                      <w:szCs w:val="21"/>
                    </w:rPr>
                    <w:t>49</w:t>
                  </w:r>
                </w:p>
              </w:tc>
              <w:tc>
                <w:tcPr>
                  <w:tcW w:w="584" w:type="dxa"/>
                  <w:noWrap w:val="0"/>
                  <w:vAlign w:val="center"/>
                </w:tcPr>
                <w:p w14:paraId="469FD524">
                  <w:pPr>
                    <w:jc w:val="center"/>
                    <w:rPr>
                      <w:bCs/>
                      <w:szCs w:val="21"/>
                    </w:rPr>
                  </w:pPr>
                  <w:r>
                    <w:rPr>
                      <w:rFonts w:hint="eastAsia"/>
                      <w:bCs/>
                      <w:szCs w:val="21"/>
                    </w:rPr>
                    <w:t>4</w:t>
                  </w:r>
                  <w:r>
                    <w:rPr>
                      <w:bCs/>
                      <w:szCs w:val="21"/>
                    </w:rPr>
                    <w:t xml:space="preserve">3.0 </w:t>
                  </w:r>
                </w:p>
              </w:tc>
              <w:tc>
                <w:tcPr>
                  <w:tcW w:w="584" w:type="dxa"/>
                  <w:noWrap w:val="0"/>
                  <w:vAlign w:val="center"/>
                </w:tcPr>
                <w:p w14:paraId="40E37C96">
                  <w:pPr>
                    <w:jc w:val="center"/>
                    <w:rPr>
                      <w:bCs/>
                      <w:szCs w:val="21"/>
                    </w:rPr>
                  </w:pPr>
                  <w:r>
                    <w:rPr>
                      <w:rFonts w:hint="eastAsia"/>
                      <w:bCs/>
                      <w:szCs w:val="21"/>
                    </w:rPr>
                    <w:t>4</w:t>
                  </w:r>
                  <w:r>
                    <w:rPr>
                      <w:bCs/>
                      <w:szCs w:val="21"/>
                    </w:rPr>
                    <w:t xml:space="preserve">3.5 </w:t>
                  </w:r>
                </w:p>
              </w:tc>
              <w:tc>
                <w:tcPr>
                  <w:tcW w:w="584" w:type="dxa"/>
                  <w:noWrap w:val="0"/>
                  <w:vAlign w:val="center"/>
                </w:tcPr>
                <w:p w14:paraId="25848442">
                  <w:pPr>
                    <w:jc w:val="center"/>
                    <w:rPr>
                      <w:bCs/>
                      <w:szCs w:val="21"/>
                    </w:rPr>
                  </w:pPr>
                  <w:r>
                    <w:rPr>
                      <w:rFonts w:hint="eastAsia"/>
                      <w:bCs/>
                      <w:szCs w:val="21"/>
                    </w:rPr>
                    <w:t>4</w:t>
                  </w:r>
                  <w:r>
                    <w:rPr>
                      <w:bCs/>
                      <w:szCs w:val="21"/>
                    </w:rPr>
                    <w:t xml:space="preserve">2.7 </w:t>
                  </w:r>
                </w:p>
              </w:tc>
              <w:tc>
                <w:tcPr>
                  <w:tcW w:w="584" w:type="dxa"/>
                  <w:noWrap w:val="0"/>
                  <w:vAlign w:val="center"/>
                </w:tcPr>
                <w:p w14:paraId="1E6BE4EE">
                  <w:pPr>
                    <w:jc w:val="center"/>
                    <w:rPr>
                      <w:bCs/>
                      <w:szCs w:val="21"/>
                    </w:rPr>
                  </w:pPr>
                  <w:r>
                    <w:rPr>
                      <w:rFonts w:hint="eastAsia"/>
                      <w:bCs/>
                      <w:szCs w:val="21"/>
                    </w:rPr>
                    <w:t>4</w:t>
                  </w:r>
                  <w:r>
                    <w:rPr>
                      <w:bCs/>
                      <w:szCs w:val="21"/>
                    </w:rPr>
                    <w:t xml:space="preserve">6.2 </w:t>
                  </w:r>
                </w:p>
              </w:tc>
              <w:tc>
                <w:tcPr>
                  <w:tcW w:w="426" w:type="dxa"/>
                  <w:vMerge w:val="continue"/>
                  <w:noWrap w:val="0"/>
                  <w:vAlign w:val="center"/>
                </w:tcPr>
                <w:p w14:paraId="53596C17">
                  <w:pPr>
                    <w:jc w:val="center"/>
                    <w:rPr>
                      <w:rFonts w:hAnsi="Calibri"/>
                      <w:bCs/>
                      <w:szCs w:val="21"/>
                    </w:rPr>
                  </w:pPr>
                </w:p>
              </w:tc>
              <w:tc>
                <w:tcPr>
                  <w:tcW w:w="788" w:type="dxa"/>
                  <w:noWrap w:val="0"/>
                  <w:vAlign w:val="center"/>
                </w:tcPr>
                <w:p w14:paraId="43E6137D">
                  <w:pPr>
                    <w:jc w:val="center"/>
                    <w:rPr>
                      <w:rFonts w:hint="eastAsia" w:hAnsi="Calibri"/>
                      <w:bCs/>
                      <w:szCs w:val="21"/>
                    </w:rPr>
                  </w:pPr>
                  <w:r>
                    <w:rPr>
                      <w:rFonts w:hint="eastAsia" w:hAnsi="Calibri"/>
                      <w:bCs/>
                      <w:szCs w:val="21"/>
                    </w:rPr>
                    <w:t>10</w:t>
                  </w:r>
                </w:p>
              </w:tc>
              <w:tc>
                <w:tcPr>
                  <w:tcW w:w="584" w:type="dxa"/>
                  <w:noWrap w:val="0"/>
                  <w:vAlign w:val="center"/>
                </w:tcPr>
                <w:p w14:paraId="5010889B">
                  <w:pPr>
                    <w:widowControl/>
                    <w:jc w:val="center"/>
                    <w:textAlignment w:val="center"/>
                    <w:rPr>
                      <w:bCs/>
                      <w:szCs w:val="21"/>
                    </w:rPr>
                  </w:pPr>
                  <w:r>
                    <w:rPr>
                      <w:color w:val="000000"/>
                      <w:kern w:val="0"/>
                      <w:szCs w:val="21"/>
                      <w:lang w:bidi="ar"/>
                    </w:rPr>
                    <w:t>33</w:t>
                  </w:r>
                </w:p>
              </w:tc>
              <w:tc>
                <w:tcPr>
                  <w:tcW w:w="584" w:type="dxa"/>
                  <w:noWrap w:val="0"/>
                  <w:vAlign w:val="center"/>
                </w:tcPr>
                <w:p w14:paraId="1F4FB05D">
                  <w:pPr>
                    <w:widowControl/>
                    <w:jc w:val="center"/>
                    <w:textAlignment w:val="center"/>
                    <w:rPr>
                      <w:bCs/>
                      <w:szCs w:val="21"/>
                    </w:rPr>
                  </w:pPr>
                  <w:r>
                    <w:rPr>
                      <w:color w:val="000000"/>
                      <w:kern w:val="0"/>
                      <w:szCs w:val="21"/>
                      <w:lang w:bidi="ar"/>
                    </w:rPr>
                    <w:t>33.5</w:t>
                  </w:r>
                </w:p>
              </w:tc>
              <w:tc>
                <w:tcPr>
                  <w:tcW w:w="584" w:type="dxa"/>
                  <w:noWrap w:val="0"/>
                  <w:vAlign w:val="center"/>
                </w:tcPr>
                <w:p w14:paraId="602119D9">
                  <w:pPr>
                    <w:widowControl/>
                    <w:jc w:val="center"/>
                    <w:textAlignment w:val="center"/>
                    <w:rPr>
                      <w:bCs/>
                      <w:szCs w:val="21"/>
                    </w:rPr>
                  </w:pPr>
                  <w:r>
                    <w:rPr>
                      <w:color w:val="000000"/>
                      <w:kern w:val="0"/>
                      <w:szCs w:val="21"/>
                      <w:lang w:bidi="ar"/>
                    </w:rPr>
                    <w:t>32.7</w:t>
                  </w:r>
                </w:p>
              </w:tc>
              <w:tc>
                <w:tcPr>
                  <w:tcW w:w="584" w:type="dxa"/>
                  <w:noWrap w:val="0"/>
                  <w:vAlign w:val="center"/>
                </w:tcPr>
                <w:p w14:paraId="1B7623B1">
                  <w:pPr>
                    <w:widowControl/>
                    <w:jc w:val="center"/>
                    <w:textAlignment w:val="center"/>
                    <w:rPr>
                      <w:bCs/>
                      <w:szCs w:val="21"/>
                    </w:rPr>
                  </w:pPr>
                  <w:r>
                    <w:rPr>
                      <w:color w:val="000000"/>
                      <w:kern w:val="0"/>
                      <w:szCs w:val="21"/>
                      <w:lang w:bidi="ar"/>
                    </w:rPr>
                    <w:t>36.2</w:t>
                  </w:r>
                </w:p>
              </w:tc>
              <w:tc>
                <w:tcPr>
                  <w:tcW w:w="438" w:type="dxa"/>
                  <w:noWrap w:val="0"/>
                  <w:vAlign w:val="center"/>
                </w:tcPr>
                <w:p w14:paraId="47DEFE7B">
                  <w:pPr>
                    <w:jc w:val="center"/>
                    <w:rPr>
                      <w:rFonts w:hint="eastAsia" w:hAnsi="Calibri"/>
                      <w:bCs/>
                      <w:szCs w:val="21"/>
                      <w:highlight w:val="red"/>
                    </w:rPr>
                  </w:pPr>
                  <w:r>
                    <w:rPr>
                      <w:rFonts w:hint="eastAsia" w:hAnsi="Calibri"/>
                      <w:bCs/>
                      <w:szCs w:val="21"/>
                    </w:rPr>
                    <w:t>1</w:t>
                  </w:r>
                </w:p>
              </w:tc>
            </w:tr>
          </w:tbl>
          <w:p w14:paraId="70F7ECDE">
            <w:pPr>
              <w:pStyle w:val="34"/>
              <w:spacing w:before="120" w:beforeLines="50" w:beforeAutospacing="0" w:after="0" w:afterAutospacing="0" w:line="360" w:lineRule="auto"/>
              <w:ind w:firstLine="420" w:firstLineChars="200"/>
              <w:jc w:val="both"/>
              <w:outlineLvl w:val="0"/>
              <w:rPr>
                <w:rFonts w:hint="eastAsia" w:ascii="Times New Roman" w:hAnsi="Times New Roman"/>
                <w:kern w:val="2"/>
                <w:sz w:val="21"/>
                <w:szCs w:val="21"/>
              </w:rPr>
            </w:pPr>
            <w:r>
              <w:rPr>
                <w:rFonts w:hint="eastAsia" w:ascii="Times New Roman" w:hAnsi="Times New Roman"/>
                <w:kern w:val="2"/>
                <w:sz w:val="21"/>
                <w:szCs w:val="21"/>
              </w:rPr>
              <w:t>注：以厂区西南角为坐标原点，正东为X轴正方向，正北为Y轴正方向。</w:t>
            </w:r>
          </w:p>
          <w:p w14:paraId="46F34C74">
            <w:pPr>
              <w:pStyle w:val="34"/>
              <w:spacing w:before="120" w:beforeLines="50" w:beforeAutospacing="0" w:after="0" w:afterAutospacing="0" w:line="360" w:lineRule="auto"/>
              <w:jc w:val="center"/>
              <w:outlineLvl w:val="0"/>
              <w:rPr>
                <w:rFonts w:hint="eastAsia" w:ascii="Times New Roman" w:hAnsi="Times New Roman"/>
                <w:kern w:val="2"/>
                <w:sz w:val="21"/>
                <w:szCs w:val="21"/>
              </w:rPr>
            </w:pPr>
          </w:p>
          <w:p w14:paraId="263A8155">
            <w:pPr>
              <w:pStyle w:val="34"/>
              <w:spacing w:before="120" w:beforeLines="50" w:beforeAutospacing="0" w:after="0" w:afterAutospacing="0" w:line="360" w:lineRule="auto"/>
              <w:jc w:val="center"/>
              <w:outlineLvl w:val="0"/>
              <w:rPr>
                <w:rFonts w:hint="eastAsia" w:ascii="Times New Roman" w:hAnsi="Times New Roman"/>
                <w:kern w:val="2"/>
                <w:sz w:val="21"/>
                <w:szCs w:val="21"/>
              </w:rPr>
            </w:pPr>
          </w:p>
          <w:p w14:paraId="721B541E">
            <w:pPr>
              <w:pStyle w:val="34"/>
              <w:spacing w:before="120" w:beforeLines="50" w:beforeAutospacing="0" w:after="0" w:afterAutospacing="0" w:line="360" w:lineRule="auto"/>
              <w:jc w:val="both"/>
              <w:outlineLvl w:val="0"/>
              <w:rPr>
                <w:rFonts w:hint="eastAsia" w:ascii="Times New Roman" w:hAnsi="Times New Roman"/>
                <w:snapToGrid w:val="0"/>
                <w:sz w:val="28"/>
                <w:szCs w:val="28"/>
              </w:rPr>
            </w:pPr>
          </w:p>
        </w:tc>
      </w:tr>
    </w:tbl>
    <w:p w14:paraId="10593EDC">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sectPr>
          <w:pgSz w:w="16838" w:h="11906" w:orient="landscape"/>
          <w:pgMar w:top="1440" w:right="1440" w:bottom="1440" w:left="1440" w:header="851" w:footer="851" w:gutter="0"/>
          <w:pgNumType w:fmt="numberInDash"/>
          <w:cols w:space="720" w:num="1"/>
          <w:docGrid w:linePitch="312" w:charSpace="0"/>
        </w:sect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8703"/>
      </w:tblGrid>
      <w:tr w14:paraId="2268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2" w:type="dxa"/>
            <w:noWrap w:val="0"/>
            <w:vAlign w:val="top"/>
          </w:tcPr>
          <w:p w14:paraId="3986AEBF">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pPr>
          </w:p>
        </w:tc>
        <w:tc>
          <w:tcPr>
            <w:tcW w:w="8050" w:type="dxa"/>
            <w:noWrap w:val="0"/>
            <w:vAlign w:val="top"/>
          </w:tcPr>
          <w:p w14:paraId="662A14F5">
            <w:pPr>
              <w:spacing w:line="480" w:lineRule="exact"/>
              <w:ind w:firstLine="480" w:firstLineChars="200"/>
              <w:rPr>
                <w:sz w:val="24"/>
              </w:rPr>
            </w:pPr>
            <w:r>
              <w:rPr>
                <w:rFonts w:hint="eastAsia"/>
                <w:sz w:val="24"/>
              </w:rPr>
              <w:t>(2)噪声预测</w:t>
            </w:r>
          </w:p>
          <w:p w14:paraId="1723FEA6">
            <w:pPr>
              <w:spacing w:line="480" w:lineRule="exact"/>
              <w:ind w:firstLine="480" w:firstLineChars="200"/>
              <w:rPr>
                <w:kern w:val="18"/>
                <w:sz w:val="24"/>
              </w:rPr>
            </w:pPr>
            <w:r>
              <w:rPr>
                <w:kern w:val="18"/>
                <w:sz w:val="24"/>
              </w:rPr>
              <w:t>预测计算选用《环境影响评价技术导则 声环境》(HJ2.4-2021)中推荐的工业噪声预测计算模式，模式如下：</w:t>
            </w:r>
          </w:p>
          <w:p w14:paraId="674C4FC5">
            <w:pPr>
              <w:spacing w:line="480" w:lineRule="exact"/>
              <w:ind w:firstLine="480" w:firstLineChars="200"/>
              <w:rPr>
                <w:kern w:val="18"/>
                <w:sz w:val="24"/>
              </w:rPr>
            </w:pPr>
            <w:r>
              <w:rPr>
                <w:rFonts w:hint="eastAsia"/>
                <w:kern w:val="18"/>
                <w:sz w:val="24"/>
              </w:rPr>
              <w:t>1)</w:t>
            </w:r>
            <w:r>
              <w:rPr>
                <w:kern w:val="18"/>
                <w:sz w:val="24"/>
              </w:rPr>
              <w:t>室内声源等效室外声源声功率级计算方法</w:t>
            </w:r>
          </w:p>
          <w:p w14:paraId="227E763C">
            <w:pPr>
              <w:spacing w:line="480" w:lineRule="exact"/>
              <w:ind w:firstLine="480" w:firstLineChars="200"/>
              <w:rPr>
                <w:kern w:val="18"/>
                <w:sz w:val="24"/>
              </w:rPr>
            </w:pPr>
            <w:r>
              <w:rPr>
                <w:kern w:val="18"/>
                <w:sz w:val="24"/>
              </w:rPr>
              <w:t>如图所示，声源位于室内，室内声源可采用等效室外声源声功率级法进行计算。设靠近开口处(或窗户)室内、室外某倍频带的声压级分别为L</w:t>
            </w:r>
            <w:r>
              <w:rPr>
                <w:kern w:val="18"/>
                <w:sz w:val="24"/>
                <w:vertAlign w:val="subscript"/>
              </w:rPr>
              <w:t>p1</w:t>
            </w:r>
            <w:r>
              <w:rPr>
                <w:kern w:val="18"/>
                <w:sz w:val="24"/>
              </w:rPr>
              <w:t>和L</w:t>
            </w:r>
            <w:r>
              <w:rPr>
                <w:kern w:val="18"/>
                <w:sz w:val="24"/>
                <w:vertAlign w:val="subscript"/>
              </w:rPr>
              <w:t>p2</w:t>
            </w:r>
            <w:r>
              <w:rPr>
                <w:kern w:val="18"/>
                <w:sz w:val="24"/>
              </w:rPr>
              <w:t>。若声源所在室内声场为近似扩散声场，则可按式1计算某一室内声源靠近围护结构处产生的倍频带声压级：</w:t>
            </w:r>
          </w:p>
          <w:p w14:paraId="38C0F47E">
            <w:pPr>
              <w:autoSpaceDE w:val="0"/>
              <w:autoSpaceDN w:val="0"/>
              <w:adjustRightInd w:val="0"/>
              <w:spacing w:line="360" w:lineRule="auto"/>
              <w:ind w:firstLine="2"/>
              <w:jc w:val="center"/>
              <w:rPr>
                <w:spacing w:val="-2"/>
                <w:sz w:val="24"/>
              </w:rPr>
            </w:pPr>
            <w:r>
              <w:rPr>
                <w:spacing w:val="-2"/>
                <w:sz w:val="24"/>
              </w:rPr>
              <w:drawing>
                <wp:inline distT="0" distB="0" distL="114300" distR="114300">
                  <wp:extent cx="2934335" cy="1383665"/>
                  <wp:effectExtent l="0" t="0" r="18415" b="6985"/>
                  <wp:docPr id="17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3"/>
                          <pic:cNvPicPr>
                            <a:picLocks noChangeAspect="1"/>
                          </pic:cNvPicPr>
                        </pic:nvPicPr>
                        <pic:blipFill>
                          <a:blip r:embed="rId17"/>
                          <a:srcRect t="7907" b="6047"/>
                          <a:stretch>
                            <a:fillRect/>
                          </a:stretch>
                        </pic:blipFill>
                        <pic:spPr>
                          <a:xfrm>
                            <a:off x="0" y="0"/>
                            <a:ext cx="2934335" cy="1383665"/>
                          </a:xfrm>
                          <a:prstGeom prst="rect">
                            <a:avLst/>
                          </a:prstGeom>
                          <a:noFill/>
                          <a:ln>
                            <a:noFill/>
                          </a:ln>
                        </pic:spPr>
                      </pic:pic>
                    </a:graphicData>
                  </a:graphic>
                </wp:inline>
              </w:drawing>
            </w:r>
          </w:p>
          <w:p w14:paraId="1F9AFFE5">
            <w:pPr>
              <w:spacing w:line="480" w:lineRule="exact"/>
              <w:jc w:val="center"/>
              <w:rPr>
                <w:rFonts w:eastAsia="黑体"/>
                <w:spacing w:val="-2"/>
                <w:sz w:val="24"/>
              </w:rPr>
            </w:pPr>
            <w:r>
              <w:rPr>
                <w:rFonts w:eastAsia="黑体"/>
                <w:spacing w:val="-2"/>
                <w:sz w:val="24"/>
              </w:rPr>
              <w:t>图</w:t>
            </w:r>
            <w:r>
              <w:rPr>
                <w:rFonts w:hint="eastAsia" w:eastAsia="黑体"/>
                <w:spacing w:val="-2"/>
                <w:sz w:val="24"/>
              </w:rPr>
              <w:t>4-1</w:t>
            </w:r>
            <w:r>
              <w:rPr>
                <w:rFonts w:eastAsia="黑体"/>
                <w:spacing w:val="-2"/>
                <w:sz w:val="24"/>
              </w:rPr>
              <w:t xml:space="preserve">  室内声源等效为室外声源图例</w:t>
            </w:r>
          </w:p>
          <w:p w14:paraId="0AA51C65">
            <w:pPr>
              <w:autoSpaceDE w:val="0"/>
              <w:autoSpaceDN w:val="0"/>
              <w:adjustRightInd w:val="0"/>
              <w:spacing w:line="480" w:lineRule="exact"/>
              <w:ind w:left="1440"/>
              <w:jc w:val="center"/>
              <w:rPr>
                <w:spacing w:val="-2"/>
                <w:sz w:val="24"/>
              </w:rPr>
            </w:pPr>
            <w:r>
              <w:rPr>
                <w:i/>
                <w:iCs/>
                <w:spacing w:val="-2"/>
                <w:sz w:val="24"/>
              </w:rPr>
              <w:t>L</w:t>
            </w:r>
            <w:r>
              <w:rPr>
                <w:i/>
                <w:iCs/>
                <w:spacing w:val="-2"/>
                <w:sz w:val="24"/>
                <w:vertAlign w:val="subscript"/>
              </w:rPr>
              <w:t>P</w:t>
            </w:r>
            <w:r>
              <w:rPr>
                <w:spacing w:val="-2"/>
                <w:sz w:val="24"/>
                <w:vertAlign w:val="subscript"/>
              </w:rPr>
              <w:t>1</w:t>
            </w:r>
            <w:r>
              <w:rPr>
                <w:spacing w:val="-2"/>
                <w:sz w:val="24"/>
                <w:vertAlign w:val="superscript"/>
              </w:rPr>
              <w:t>=</w:t>
            </w:r>
            <w:r>
              <w:rPr>
                <w:i/>
                <w:iCs/>
                <w:spacing w:val="-2"/>
                <w:sz w:val="24"/>
              </w:rPr>
              <w:t>Lw+10lg</w:t>
            </w:r>
            <w:r>
              <w:rPr>
                <w:iCs/>
                <w:spacing w:val="-2"/>
                <w:sz w:val="24"/>
              </w:rPr>
              <w:t>(</w:t>
            </w:r>
            <w:r>
              <w:rPr>
                <w:spacing w:val="-2"/>
                <w:position w:val="-14"/>
                <w:sz w:val="24"/>
              </w:rPr>
              <w:drawing>
                <wp:inline distT="0" distB="0" distL="114300" distR="114300">
                  <wp:extent cx="659765" cy="349885"/>
                  <wp:effectExtent l="0" t="0" r="0" b="12700"/>
                  <wp:docPr id="17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4"/>
                          <pic:cNvPicPr>
                            <a:picLocks noChangeAspect="1"/>
                          </pic:cNvPicPr>
                        </pic:nvPicPr>
                        <pic:blipFill>
                          <a:blip r:embed="rId18"/>
                          <a:stretch>
                            <a:fillRect/>
                          </a:stretch>
                        </pic:blipFill>
                        <pic:spPr>
                          <a:xfrm>
                            <a:off x="0" y="0"/>
                            <a:ext cx="659765" cy="349885"/>
                          </a:xfrm>
                          <a:prstGeom prst="rect">
                            <a:avLst/>
                          </a:prstGeom>
                          <a:noFill/>
                          <a:ln>
                            <a:noFill/>
                          </a:ln>
                        </pic:spPr>
                      </pic:pic>
                    </a:graphicData>
                  </a:graphic>
                </wp:inline>
              </w:drawing>
            </w:r>
            <w:r>
              <w:rPr>
                <w:iCs/>
                <w:spacing w:val="-2"/>
                <w:sz w:val="24"/>
              </w:rPr>
              <w:t>)</w:t>
            </w:r>
            <w:r>
              <w:rPr>
                <w:spacing w:val="-2"/>
                <w:sz w:val="24"/>
              </w:rPr>
              <w:t>(式1)</w:t>
            </w:r>
          </w:p>
          <w:p w14:paraId="00B88FA9">
            <w:pPr>
              <w:autoSpaceDE w:val="0"/>
              <w:autoSpaceDN w:val="0"/>
              <w:adjustRightInd w:val="0"/>
              <w:spacing w:line="480" w:lineRule="exact"/>
              <w:ind w:firstLine="472" w:firstLineChars="200"/>
              <w:rPr>
                <w:spacing w:val="-2"/>
                <w:sz w:val="24"/>
              </w:rPr>
            </w:pPr>
            <w:r>
              <w:rPr>
                <w:spacing w:val="-2"/>
                <w:sz w:val="24"/>
              </w:rPr>
              <w:t>式中：</w:t>
            </w:r>
            <w:r>
              <w:rPr>
                <w:i/>
                <w:iCs/>
                <w:spacing w:val="-2"/>
                <w:sz w:val="24"/>
              </w:rPr>
              <w:t>Q</w:t>
            </w:r>
            <w:r>
              <w:rPr>
                <w:spacing w:val="-2"/>
                <w:sz w:val="24"/>
              </w:rPr>
              <w:t xml:space="preserve"> —指向性因数；通常对无指向性声源：</w:t>
            </w:r>
          </w:p>
          <w:p w14:paraId="7F8D1B6F">
            <w:pPr>
              <w:autoSpaceDE w:val="0"/>
              <w:autoSpaceDN w:val="0"/>
              <w:adjustRightInd w:val="0"/>
              <w:spacing w:line="480" w:lineRule="exact"/>
              <w:ind w:firstLine="1180" w:firstLineChars="500"/>
              <w:rPr>
                <w:spacing w:val="-2"/>
                <w:sz w:val="24"/>
              </w:rPr>
            </w:pPr>
            <w:r>
              <w:rPr>
                <w:spacing w:val="-2"/>
                <w:sz w:val="24"/>
              </w:rPr>
              <w:t>当声源放在房间中心时，</w:t>
            </w:r>
            <w:r>
              <w:rPr>
                <w:i/>
                <w:iCs/>
                <w:spacing w:val="-2"/>
                <w:sz w:val="24"/>
              </w:rPr>
              <w:t>Q</w:t>
            </w:r>
            <w:r>
              <w:rPr>
                <w:spacing w:val="-2"/>
                <w:sz w:val="24"/>
              </w:rPr>
              <w:t xml:space="preserve"> =1；</w:t>
            </w:r>
          </w:p>
          <w:p w14:paraId="4988C358">
            <w:pPr>
              <w:autoSpaceDE w:val="0"/>
              <w:autoSpaceDN w:val="0"/>
              <w:adjustRightInd w:val="0"/>
              <w:spacing w:line="480" w:lineRule="exact"/>
              <w:ind w:firstLine="1180" w:firstLineChars="500"/>
              <w:rPr>
                <w:spacing w:val="-2"/>
                <w:sz w:val="24"/>
              </w:rPr>
            </w:pPr>
            <w:r>
              <w:rPr>
                <w:spacing w:val="-2"/>
                <w:sz w:val="24"/>
              </w:rPr>
              <w:t>当放在一面墙的中心时，</w:t>
            </w:r>
            <w:r>
              <w:rPr>
                <w:i/>
                <w:iCs/>
                <w:spacing w:val="-2"/>
                <w:sz w:val="24"/>
              </w:rPr>
              <w:t>Q</w:t>
            </w:r>
            <w:r>
              <w:rPr>
                <w:spacing w:val="-2"/>
                <w:sz w:val="24"/>
              </w:rPr>
              <w:t>=2；</w:t>
            </w:r>
          </w:p>
          <w:p w14:paraId="39C63D18">
            <w:pPr>
              <w:autoSpaceDE w:val="0"/>
              <w:autoSpaceDN w:val="0"/>
              <w:adjustRightInd w:val="0"/>
              <w:spacing w:line="480" w:lineRule="exact"/>
              <w:ind w:firstLine="1180" w:firstLineChars="500"/>
              <w:rPr>
                <w:spacing w:val="-2"/>
                <w:sz w:val="24"/>
              </w:rPr>
            </w:pPr>
            <w:r>
              <w:rPr>
                <w:spacing w:val="-2"/>
                <w:sz w:val="24"/>
              </w:rPr>
              <w:t>当放在两面墙夹角处时，Q =4；</w:t>
            </w:r>
          </w:p>
          <w:p w14:paraId="7CB70119">
            <w:pPr>
              <w:autoSpaceDE w:val="0"/>
              <w:autoSpaceDN w:val="0"/>
              <w:adjustRightInd w:val="0"/>
              <w:spacing w:line="480" w:lineRule="exact"/>
              <w:ind w:firstLine="1180" w:firstLineChars="500"/>
              <w:rPr>
                <w:spacing w:val="-2"/>
                <w:sz w:val="24"/>
              </w:rPr>
            </w:pPr>
            <w:r>
              <w:rPr>
                <w:spacing w:val="-2"/>
                <w:sz w:val="24"/>
              </w:rPr>
              <w:t>当放在三面墙夹角处时，Q=8。</w:t>
            </w:r>
          </w:p>
          <w:p w14:paraId="6F5A10B0">
            <w:pPr>
              <w:autoSpaceDE w:val="0"/>
              <w:autoSpaceDN w:val="0"/>
              <w:adjustRightInd w:val="0"/>
              <w:spacing w:line="480" w:lineRule="exact"/>
              <w:ind w:firstLine="1180" w:firstLineChars="500"/>
              <w:rPr>
                <w:spacing w:val="-2"/>
                <w:sz w:val="24"/>
              </w:rPr>
            </w:pPr>
            <w:r>
              <w:rPr>
                <w:spacing w:val="-2"/>
                <w:sz w:val="24"/>
              </w:rPr>
              <w:t>R—房间常数；</w:t>
            </w:r>
          </w:p>
          <w:p w14:paraId="49B06699">
            <w:pPr>
              <w:autoSpaceDE w:val="0"/>
              <w:autoSpaceDN w:val="0"/>
              <w:adjustRightInd w:val="0"/>
              <w:spacing w:line="480" w:lineRule="exact"/>
              <w:ind w:firstLine="472" w:firstLineChars="200"/>
              <w:jc w:val="center"/>
              <w:rPr>
                <w:spacing w:val="-2"/>
                <w:sz w:val="24"/>
              </w:rPr>
            </w:pPr>
            <w:r>
              <w:rPr>
                <w:i/>
                <w:iCs/>
                <w:spacing w:val="-2"/>
                <w:sz w:val="24"/>
              </w:rPr>
              <w:t>R</w:t>
            </w:r>
            <w:r>
              <w:rPr>
                <w:spacing w:val="-2"/>
                <w:sz w:val="24"/>
              </w:rPr>
              <w:t xml:space="preserve"> = </w:t>
            </w:r>
            <w:r>
              <w:rPr>
                <w:i/>
                <w:iCs/>
                <w:spacing w:val="-2"/>
                <w:sz w:val="24"/>
              </w:rPr>
              <w:t>S</w:t>
            </w:r>
            <w:r>
              <w:rPr>
                <w:spacing w:val="-2"/>
                <w:sz w:val="24"/>
              </w:rPr>
              <w:t>α /</w:t>
            </w:r>
            <w:r>
              <w:rPr>
                <w:rFonts w:hint="eastAsia"/>
                <w:spacing w:val="-2"/>
                <w:sz w:val="24"/>
              </w:rPr>
              <w:t>(</w:t>
            </w:r>
            <w:r>
              <w:rPr>
                <w:spacing w:val="-2"/>
                <w:sz w:val="24"/>
              </w:rPr>
              <w:t>1</w:t>
            </w:r>
            <w:r>
              <w:rPr>
                <w:rFonts w:eastAsia="MS Mincho"/>
                <w:spacing w:val="-2"/>
                <w:sz w:val="24"/>
              </w:rPr>
              <w:t>−</w:t>
            </w:r>
            <w:r>
              <w:rPr>
                <w:spacing w:val="-2"/>
                <w:sz w:val="24"/>
              </w:rPr>
              <w:t xml:space="preserve"> α</w:t>
            </w:r>
            <w:r>
              <w:rPr>
                <w:rFonts w:hint="eastAsia"/>
                <w:spacing w:val="-2"/>
                <w:sz w:val="24"/>
              </w:rPr>
              <w:t>)</w:t>
            </w:r>
          </w:p>
          <w:p w14:paraId="5EBCE19F">
            <w:pPr>
              <w:autoSpaceDE w:val="0"/>
              <w:autoSpaceDN w:val="0"/>
              <w:adjustRightInd w:val="0"/>
              <w:spacing w:line="480" w:lineRule="exact"/>
              <w:ind w:firstLine="1180" w:firstLineChars="500"/>
              <w:rPr>
                <w:spacing w:val="-2"/>
                <w:sz w:val="24"/>
              </w:rPr>
            </w:pPr>
            <w:r>
              <w:rPr>
                <w:spacing w:val="-2"/>
                <w:sz w:val="24"/>
              </w:rPr>
              <w:t>S为房间内表面面积，m</w:t>
            </w:r>
            <w:r>
              <w:rPr>
                <w:spacing w:val="-2"/>
                <w:sz w:val="24"/>
                <w:vertAlign w:val="superscript"/>
              </w:rPr>
              <w:t>2</w:t>
            </w:r>
            <w:r>
              <w:rPr>
                <w:spacing w:val="-2"/>
                <w:sz w:val="24"/>
              </w:rPr>
              <w:t>；</w:t>
            </w:r>
          </w:p>
          <w:p w14:paraId="1FDB31EC">
            <w:pPr>
              <w:autoSpaceDE w:val="0"/>
              <w:autoSpaceDN w:val="0"/>
              <w:adjustRightInd w:val="0"/>
              <w:spacing w:line="480" w:lineRule="exact"/>
              <w:ind w:firstLine="1180" w:firstLineChars="500"/>
              <w:rPr>
                <w:spacing w:val="-2"/>
                <w:sz w:val="24"/>
              </w:rPr>
            </w:pPr>
            <w:r>
              <w:rPr>
                <w:spacing w:val="-2"/>
                <w:sz w:val="24"/>
              </w:rPr>
              <w:t>α为平均吸声系数。</w:t>
            </w:r>
          </w:p>
          <w:p w14:paraId="3C9CF3D5">
            <w:pPr>
              <w:autoSpaceDE w:val="0"/>
              <w:autoSpaceDN w:val="0"/>
              <w:adjustRightInd w:val="0"/>
              <w:spacing w:line="480" w:lineRule="exact"/>
              <w:ind w:firstLine="1180" w:firstLineChars="500"/>
              <w:rPr>
                <w:spacing w:val="-2"/>
                <w:sz w:val="24"/>
              </w:rPr>
            </w:pPr>
            <w:r>
              <w:rPr>
                <w:spacing w:val="-2"/>
                <w:sz w:val="24"/>
              </w:rPr>
              <w:t>r—声源到靠近围护结构某点处的距离，m。</w:t>
            </w:r>
          </w:p>
          <w:p w14:paraId="3BAB34CB">
            <w:pPr>
              <w:autoSpaceDE w:val="0"/>
              <w:autoSpaceDN w:val="0"/>
              <w:adjustRightInd w:val="0"/>
              <w:spacing w:line="480" w:lineRule="exact"/>
              <w:ind w:firstLine="472" w:firstLineChars="200"/>
              <w:rPr>
                <w:spacing w:val="-2"/>
                <w:sz w:val="24"/>
              </w:rPr>
            </w:pPr>
            <w:r>
              <w:rPr>
                <w:spacing w:val="-2"/>
                <w:sz w:val="24"/>
              </w:rPr>
              <w:t>然后按式8-2计算出所有室内声源在围护结构处产生的</w:t>
            </w:r>
            <w:r>
              <w:rPr>
                <w:i/>
                <w:iCs/>
                <w:spacing w:val="-2"/>
                <w:sz w:val="24"/>
              </w:rPr>
              <w:t>i</w:t>
            </w:r>
            <w:r>
              <w:rPr>
                <w:spacing w:val="-2"/>
                <w:sz w:val="24"/>
              </w:rPr>
              <w:t>倍频带叠加声压级：</w:t>
            </w:r>
          </w:p>
          <w:p w14:paraId="30CF8EE2">
            <w:pPr>
              <w:autoSpaceDE w:val="0"/>
              <w:autoSpaceDN w:val="0"/>
              <w:adjustRightInd w:val="0"/>
              <w:spacing w:line="480" w:lineRule="exact"/>
              <w:ind w:firstLine="472" w:firstLineChars="200"/>
              <w:jc w:val="center"/>
              <w:rPr>
                <w:spacing w:val="-2"/>
                <w:sz w:val="24"/>
              </w:rPr>
            </w:pPr>
            <w:r>
              <w:rPr>
                <w:i/>
                <w:iCs/>
                <w:spacing w:val="-2"/>
                <w:sz w:val="24"/>
              </w:rPr>
              <w:t>L</w:t>
            </w:r>
            <w:r>
              <w:rPr>
                <w:i/>
                <w:iCs/>
                <w:spacing w:val="-2"/>
                <w:sz w:val="24"/>
                <w:vertAlign w:val="subscript"/>
              </w:rPr>
              <w:t>P</w:t>
            </w:r>
            <w:r>
              <w:rPr>
                <w:spacing w:val="-2"/>
                <w:sz w:val="24"/>
                <w:vertAlign w:val="subscript"/>
              </w:rPr>
              <w:t>1</w:t>
            </w:r>
            <w:r>
              <w:rPr>
                <w:i/>
                <w:iCs/>
                <w:spacing w:val="-2"/>
                <w:sz w:val="24"/>
                <w:vertAlign w:val="subscript"/>
              </w:rPr>
              <w:t>i</w:t>
            </w:r>
            <w:r>
              <w:rPr>
                <w:spacing w:val="-2"/>
                <w:sz w:val="24"/>
              </w:rPr>
              <w:t xml:space="preserve"> (T)</w:t>
            </w:r>
            <w:r>
              <w:rPr>
                <w:spacing w:val="-2"/>
                <w:position w:val="-15"/>
                <w:sz w:val="24"/>
              </w:rPr>
              <w:drawing>
                <wp:inline distT="0" distB="0" distL="114300" distR="114300">
                  <wp:extent cx="1169035" cy="286385"/>
                  <wp:effectExtent l="0" t="0" r="12065" b="18415"/>
                  <wp:docPr id="1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5"/>
                          <pic:cNvPicPr>
                            <a:picLocks noChangeAspect="1"/>
                          </pic:cNvPicPr>
                        </pic:nvPicPr>
                        <pic:blipFill>
                          <a:blip r:embed="rId19"/>
                          <a:stretch>
                            <a:fillRect/>
                          </a:stretch>
                        </pic:blipFill>
                        <pic:spPr>
                          <a:xfrm>
                            <a:off x="0" y="0"/>
                            <a:ext cx="1169035" cy="286385"/>
                          </a:xfrm>
                          <a:prstGeom prst="rect">
                            <a:avLst/>
                          </a:prstGeom>
                          <a:noFill/>
                          <a:ln>
                            <a:noFill/>
                          </a:ln>
                        </pic:spPr>
                      </pic:pic>
                    </a:graphicData>
                  </a:graphic>
                </wp:inline>
              </w:drawing>
            </w:r>
            <w:r>
              <w:rPr>
                <w:spacing w:val="-2"/>
                <w:sz w:val="24"/>
              </w:rPr>
              <w:t>(式2)</w:t>
            </w:r>
          </w:p>
          <w:p w14:paraId="5F539F62">
            <w:pPr>
              <w:autoSpaceDE w:val="0"/>
              <w:autoSpaceDN w:val="0"/>
              <w:adjustRightInd w:val="0"/>
              <w:spacing w:line="480" w:lineRule="exact"/>
              <w:ind w:firstLine="472" w:firstLineChars="200"/>
              <w:rPr>
                <w:spacing w:val="-2"/>
                <w:sz w:val="24"/>
              </w:rPr>
            </w:pPr>
            <w:r>
              <w:rPr>
                <w:spacing w:val="-2"/>
                <w:sz w:val="24"/>
              </w:rPr>
              <w:t>式中：</w:t>
            </w:r>
          </w:p>
          <w:p w14:paraId="4B0DD11A">
            <w:pPr>
              <w:autoSpaceDE w:val="0"/>
              <w:autoSpaceDN w:val="0"/>
              <w:adjustRightInd w:val="0"/>
              <w:spacing w:line="480" w:lineRule="exact"/>
              <w:ind w:firstLine="472" w:firstLineChars="200"/>
              <w:rPr>
                <w:spacing w:val="-2"/>
                <w:sz w:val="24"/>
              </w:rPr>
            </w:pPr>
            <w:r>
              <w:rPr>
                <w:i/>
                <w:iCs/>
                <w:spacing w:val="-2"/>
                <w:sz w:val="24"/>
              </w:rPr>
              <w:t>L</w:t>
            </w:r>
            <w:r>
              <w:rPr>
                <w:i/>
                <w:iCs/>
                <w:spacing w:val="-2"/>
                <w:sz w:val="24"/>
                <w:vertAlign w:val="subscript"/>
              </w:rPr>
              <w:t>P</w:t>
            </w:r>
            <w:r>
              <w:rPr>
                <w:spacing w:val="-2"/>
                <w:sz w:val="24"/>
                <w:vertAlign w:val="subscript"/>
              </w:rPr>
              <w:t>1</w:t>
            </w:r>
            <w:r>
              <w:rPr>
                <w:i/>
                <w:iCs/>
                <w:spacing w:val="-2"/>
                <w:sz w:val="24"/>
                <w:vertAlign w:val="subscript"/>
              </w:rPr>
              <w:t>i</w:t>
            </w:r>
            <w:r>
              <w:rPr>
                <w:spacing w:val="-2"/>
                <w:sz w:val="24"/>
              </w:rPr>
              <w:t xml:space="preserve"> (T)—靠近围护结构处室内N个声源</w:t>
            </w:r>
            <w:r>
              <w:rPr>
                <w:i/>
                <w:iCs/>
                <w:spacing w:val="-2"/>
                <w:sz w:val="24"/>
              </w:rPr>
              <w:t>i</w:t>
            </w:r>
            <w:r>
              <w:rPr>
                <w:spacing w:val="-2"/>
                <w:sz w:val="24"/>
              </w:rPr>
              <w:t>倍频带的叠加声压级，dB；</w:t>
            </w:r>
          </w:p>
          <w:p w14:paraId="08D69C71">
            <w:pPr>
              <w:autoSpaceDE w:val="0"/>
              <w:autoSpaceDN w:val="0"/>
              <w:adjustRightInd w:val="0"/>
              <w:spacing w:line="480" w:lineRule="exact"/>
              <w:ind w:firstLine="472" w:firstLineChars="200"/>
              <w:rPr>
                <w:spacing w:val="-2"/>
                <w:sz w:val="24"/>
              </w:rPr>
            </w:pPr>
            <w:r>
              <w:rPr>
                <w:i/>
                <w:iCs/>
                <w:spacing w:val="-2"/>
                <w:sz w:val="24"/>
              </w:rPr>
              <w:t>L</w:t>
            </w:r>
            <w:r>
              <w:rPr>
                <w:i/>
                <w:iCs/>
                <w:spacing w:val="-2"/>
                <w:sz w:val="24"/>
                <w:vertAlign w:val="subscript"/>
              </w:rPr>
              <w:t xml:space="preserve"> P1</w:t>
            </w:r>
            <w:r>
              <w:rPr>
                <w:spacing w:val="-2"/>
                <w:sz w:val="24"/>
                <w:vertAlign w:val="subscript"/>
              </w:rPr>
              <w:t>ij</w:t>
            </w:r>
            <w:r>
              <w:rPr>
                <w:spacing w:val="-2"/>
                <w:sz w:val="24"/>
              </w:rPr>
              <w:t>—室内</w:t>
            </w:r>
            <w:r>
              <w:rPr>
                <w:i/>
                <w:iCs/>
                <w:spacing w:val="-2"/>
                <w:sz w:val="24"/>
              </w:rPr>
              <w:t>j</w:t>
            </w:r>
            <w:r>
              <w:rPr>
                <w:spacing w:val="-2"/>
                <w:sz w:val="24"/>
              </w:rPr>
              <w:t>声源</w:t>
            </w:r>
            <w:r>
              <w:rPr>
                <w:i/>
                <w:iCs/>
                <w:spacing w:val="-2"/>
                <w:sz w:val="24"/>
              </w:rPr>
              <w:t>i</w:t>
            </w:r>
            <w:r>
              <w:rPr>
                <w:spacing w:val="-2"/>
                <w:sz w:val="24"/>
              </w:rPr>
              <w:t>倍频带的声压级，dB；</w:t>
            </w:r>
          </w:p>
          <w:p w14:paraId="212BDD10">
            <w:pPr>
              <w:autoSpaceDE w:val="0"/>
              <w:autoSpaceDN w:val="0"/>
              <w:adjustRightInd w:val="0"/>
              <w:spacing w:line="480" w:lineRule="exact"/>
              <w:ind w:firstLine="472" w:firstLineChars="200"/>
              <w:rPr>
                <w:spacing w:val="-2"/>
                <w:sz w:val="24"/>
              </w:rPr>
            </w:pPr>
            <w:r>
              <w:rPr>
                <w:spacing w:val="-2"/>
                <w:sz w:val="24"/>
              </w:rPr>
              <w:t>N—室内声源总数。</w:t>
            </w:r>
          </w:p>
          <w:p w14:paraId="08584B2B">
            <w:pPr>
              <w:autoSpaceDE w:val="0"/>
              <w:autoSpaceDN w:val="0"/>
              <w:adjustRightInd w:val="0"/>
              <w:spacing w:line="480" w:lineRule="exact"/>
              <w:ind w:firstLine="472" w:firstLineChars="200"/>
              <w:rPr>
                <w:spacing w:val="-2"/>
                <w:sz w:val="24"/>
              </w:rPr>
            </w:pPr>
            <w:r>
              <w:rPr>
                <w:spacing w:val="-2"/>
                <w:sz w:val="24"/>
              </w:rPr>
              <w:t>在室内近似为扩散声场时，按式3计算出靠近室外围护结构处的声压级：</w:t>
            </w:r>
          </w:p>
          <w:p w14:paraId="6D3C7004">
            <w:pPr>
              <w:autoSpaceDE w:val="0"/>
              <w:autoSpaceDN w:val="0"/>
              <w:adjustRightInd w:val="0"/>
              <w:spacing w:line="480" w:lineRule="exact"/>
              <w:ind w:firstLine="472" w:firstLineChars="200"/>
              <w:jc w:val="center"/>
              <w:rPr>
                <w:spacing w:val="-2"/>
                <w:sz w:val="24"/>
                <w:lang w:val="pl-PL"/>
              </w:rPr>
            </w:pPr>
            <w:r>
              <w:rPr>
                <w:i/>
                <w:iCs/>
                <w:spacing w:val="-2"/>
                <w:sz w:val="24"/>
                <w:lang w:val="pl-PL"/>
              </w:rPr>
              <w:t>L</w:t>
            </w:r>
            <w:r>
              <w:rPr>
                <w:i/>
                <w:iCs/>
                <w:spacing w:val="-2"/>
                <w:sz w:val="24"/>
                <w:vertAlign w:val="subscript"/>
                <w:lang w:val="pl-PL"/>
              </w:rPr>
              <w:t>P</w:t>
            </w:r>
            <w:r>
              <w:rPr>
                <w:spacing w:val="-2"/>
                <w:sz w:val="24"/>
                <w:vertAlign w:val="subscript"/>
                <w:lang w:val="pl-PL"/>
              </w:rPr>
              <w:t>2</w:t>
            </w:r>
            <w:r>
              <w:rPr>
                <w:i/>
                <w:iCs/>
                <w:spacing w:val="-2"/>
                <w:sz w:val="24"/>
                <w:vertAlign w:val="subscript"/>
                <w:lang w:val="pl-PL"/>
              </w:rPr>
              <w:t>i</w:t>
            </w:r>
            <w:r>
              <w:rPr>
                <w:spacing w:val="-2"/>
                <w:sz w:val="24"/>
                <w:lang w:val="pl-PL"/>
              </w:rPr>
              <w:t xml:space="preserve"> (T)=</w:t>
            </w:r>
            <w:r>
              <w:rPr>
                <w:i/>
                <w:iCs/>
                <w:spacing w:val="-2"/>
                <w:sz w:val="24"/>
                <w:lang w:val="pl-PL"/>
              </w:rPr>
              <w:t xml:space="preserve"> L</w:t>
            </w:r>
            <w:r>
              <w:rPr>
                <w:i/>
                <w:iCs/>
                <w:spacing w:val="-2"/>
                <w:sz w:val="24"/>
                <w:vertAlign w:val="subscript"/>
                <w:lang w:val="pl-PL"/>
              </w:rPr>
              <w:t>P</w:t>
            </w:r>
            <w:r>
              <w:rPr>
                <w:spacing w:val="-2"/>
                <w:sz w:val="24"/>
                <w:vertAlign w:val="subscript"/>
                <w:lang w:val="pl-PL"/>
              </w:rPr>
              <w:t>1</w:t>
            </w:r>
            <w:r>
              <w:rPr>
                <w:i/>
                <w:iCs/>
                <w:spacing w:val="-2"/>
                <w:sz w:val="24"/>
                <w:vertAlign w:val="subscript"/>
                <w:lang w:val="pl-PL"/>
              </w:rPr>
              <w:t>i</w:t>
            </w:r>
            <w:r>
              <w:rPr>
                <w:spacing w:val="-2"/>
                <w:sz w:val="24"/>
                <w:lang w:val="pl-PL"/>
              </w:rPr>
              <w:t xml:space="preserve"> (T)-(TL</w:t>
            </w:r>
            <w:r>
              <w:rPr>
                <w:spacing w:val="-2"/>
                <w:sz w:val="24"/>
                <w:vertAlign w:val="subscript"/>
                <w:lang w:val="pl-PL"/>
              </w:rPr>
              <w:t>i</w:t>
            </w:r>
            <w:r>
              <w:rPr>
                <w:spacing w:val="-2"/>
                <w:sz w:val="24"/>
                <w:lang w:val="pl-PL"/>
              </w:rPr>
              <w:t>+6)(</w:t>
            </w:r>
            <w:r>
              <w:rPr>
                <w:spacing w:val="-2"/>
                <w:sz w:val="24"/>
              </w:rPr>
              <w:t>式</w:t>
            </w:r>
            <w:r>
              <w:rPr>
                <w:spacing w:val="-2"/>
                <w:sz w:val="24"/>
                <w:lang w:val="pl-PL"/>
              </w:rPr>
              <w:t>3)</w:t>
            </w:r>
          </w:p>
          <w:p w14:paraId="79670555">
            <w:pPr>
              <w:autoSpaceDE w:val="0"/>
              <w:autoSpaceDN w:val="0"/>
              <w:adjustRightInd w:val="0"/>
              <w:spacing w:line="480" w:lineRule="exact"/>
              <w:ind w:firstLine="472" w:firstLineChars="200"/>
              <w:rPr>
                <w:spacing w:val="-2"/>
                <w:sz w:val="24"/>
              </w:rPr>
            </w:pPr>
            <w:r>
              <w:rPr>
                <w:spacing w:val="-2"/>
                <w:sz w:val="24"/>
              </w:rPr>
              <w:t>式中：</w:t>
            </w:r>
          </w:p>
          <w:p w14:paraId="4CBC580A">
            <w:pPr>
              <w:autoSpaceDE w:val="0"/>
              <w:autoSpaceDN w:val="0"/>
              <w:adjustRightInd w:val="0"/>
              <w:spacing w:line="480" w:lineRule="exact"/>
              <w:ind w:firstLine="472" w:firstLineChars="200"/>
              <w:rPr>
                <w:spacing w:val="-2"/>
                <w:sz w:val="24"/>
              </w:rPr>
            </w:pPr>
            <w:r>
              <w:rPr>
                <w:i/>
                <w:iCs/>
                <w:spacing w:val="-2"/>
                <w:sz w:val="24"/>
              </w:rPr>
              <w:t>L</w:t>
            </w:r>
            <w:r>
              <w:rPr>
                <w:i/>
                <w:iCs/>
                <w:spacing w:val="-2"/>
                <w:sz w:val="24"/>
                <w:vertAlign w:val="subscript"/>
              </w:rPr>
              <w:t>P</w:t>
            </w:r>
            <w:r>
              <w:rPr>
                <w:spacing w:val="-2"/>
                <w:sz w:val="24"/>
                <w:vertAlign w:val="subscript"/>
              </w:rPr>
              <w:t>2</w:t>
            </w:r>
            <w:r>
              <w:rPr>
                <w:i/>
                <w:iCs/>
                <w:spacing w:val="-2"/>
                <w:sz w:val="24"/>
                <w:vertAlign w:val="subscript"/>
              </w:rPr>
              <w:t>i</w:t>
            </w:r>
            <w:r>
              <w:rPr>
                <w:spacing w:val="-2"/>
                <w:sz w:val="24"/>
              </w:rPr>
              <w:t xml:space="preserve"> (T)—靠近围护结构处室外N个声源</w:t>
            </w:r>
            <w:r>
              <w:rPr>
                <w:i/>
                <w:iCs/>
                <w:spacing w:val="-2"/>
                <w:sz w:val="24"/>
              </w:rPr>
              <w:t>i</w:t>
            </w:r>
            <w:r>
              <w:rPr>
                <w:spacing w:val="-2"/>
                <w:sz w:val="24"/>
              </w:rPr>
              <w:t>倍频带的叠加声压级，dB；</w:t>
            </w:r>
          </w:p>
          <w:p w14:paraId="1C8CBC3A">
            <w:pPr>
              <w:autoSpaceDE w:val="0"/>
              <w:autoSpaceDN w:val="0"/>
              <w:adjustRightInd w:val="0"/>
              <w:spacing w:line="480" w:lineRule="exact"/>
              <w:ind w:firstLine="472" w:firstLineChars="200"/>
              <w:rPr>
                <w:spacing w:val="-2"/>
                <w:sz w:val="24"/>
              </w:rPr>
            </w:pPr>
            <w:r>
              <w:rPr>
                <w:i/>
                <w:iCs/>
                <w:spacing w:val="-2"/>
                <w:sz w:val="24"/>
              </w:rPr>
              <w:t>TL</w:t>
            </w:r>
            <w:r>
              <w:rPr>
                <w:i/>
                <w:iCs/>
                <w:spacing w:val="-2"/>
                <w:sz w:val="24"/>
                <w:vertAlign w:val="subscript"/>
              </w:rPr>
              <w:t>i</w:t>
            </w:r>
            <w:r>
              <w:rPr>
                <w:spacing w:val="-2"/>
                <w:sz w:val="24"/>
              </w:rPr>
              <w:t>—围护结构</w:t>
            </w:r>
            <w:r>
              <w:rPr>
                <w:i/>
                <w:iCs/>
                <w:spacing w:val="-2"/>
                <w:sz w:val="24"/>
              </w:rPr>
              <w:t>i</w:t>
            </w:r>
            <w:r>
              <w:rPr>
                <w:spacing w:val="-2"/>
                <w:sz w:val="24"/>
              </w:rPr>
              <w:t>倍频带的隔声量，dB。</w:t>
            </w:r>
          </w:p>
          <w:p w14:paraId="1F0184C6">
            <w:pPr>
              <w:autoSpaceDE w:val="0"/>
              <w:autoSpaceDN w:val="0"/>
              <w:adjustRightInd w:val="0"/>
              <w:spacing w:line="480" w:lineRule="exact"/>
              <w:ind w:firstLine="472" w:firstLineChars="200"/>
              <w:rPr>
                <w:spacing w:val="-2"/>
                <w:sz w:val="24"/>
              </w:rPr>
            </w:pPr>
            <w:r>
              <w:rPr>
                <w:spacing w:val="-2"/>
                <w:sz w:val="24"/>
              </w:rPr>
              <w:t>然后按下式将室外声源的声压级和透过面积换算成等效的室外声源，计算出中心位置位于透声面积(S)处的等效声源的倍频带声功率级。</w:t>
            </w:r>
          </w:p>
          <w:p w14:paraId="25066568">
            <w:pPr>
              <w:autoSpaceDE w:val="0"/>
              <w:autoSpaceDN w:val="0"/>
              <w:adjustRightInd w:val="0"/>
              <w:spacing w:line="480" w:lineRule="exact"/>
              <w:ind w:firstLine="472" w:firstLineChars="200"/>
              <w:jc w:val="center"/>
              <w:rPr>
                <w:spacing w:val="-2"/>
                <w:sz w:val="24"/>
              </w:rPr>
            </w:pPr>
            <w:r>
              <w:rPr>
                <w:i/>
                <w:iCs/>
                <w:spacing w:val="-2"/>
                <w:sz w:val="24"/>
              </w:rPr>
              <w:t>L</w:t>
            </w:r>
            <w:r>
              <w:rPr>
                <w:i/>
                <w:iCs/>
                <w:spacing w:val="-2"/>
                <w:sz w:val="24"/>
                <w:vertAlign w:val="subscript"/>
              </w:rPr>
              <w:t>W</w:t>
            </w:r>
            <w:r>
              <w:rPr>
                <w:spacing w:val="-2"/>
                <w:sz w:val="24"/>
              </w:rPr>
              <w:t>=</w:t>
            </w:r>
            <w:r>
              <w:rPr>
                <w:i/>
                <w:iCs/>
                <w:spacing w:val="-2"/>
                <w:sz w:val="24"/>
              </w:rPr>
              <w:t xml:space="preserve"> L</w:t>
            </w:r>
            <w:r>
              <w:rPr>
                <w:i/>
                <w:iCs/>
                <w:spacing w:val="-2"/>
                <w:sz w:val="24"/>
                <w:vertAlign w:val="subscript"/>
              </w:rPr>
              <w:t>P</w:t>
            </w:r>
            <w:r>
              <w:rPr>
                <w:spacing w:val="-2"/>
                <w:sz w:val="24"/>
                <w:vertAlign w:val="subscript"/>
              </w:rPr>
              <w:t>2</w:t>
            </w:r>
            <w:r>
              <w:rPr>
                <w:spacing w:val="-2"/>
                <w:sz w:val="24"/>
              </w:rPr>
              <w:t xml:space="preserve">( T) +10lg </w:t>
            </w:r>
            <w:r>
              <w:rPr>
                <w:i/>
                <w:iCs/>
                <w:spacing w:val="-2"/>
                <w:sz w:val="24"/>
              </w:rPr>
              <w:t xml:space="preserve">s                  </w:t>
            </w:r>
            <w:r>
              <w:rPr>
                <w:spacing w:val="-2"/>
                <w:sz w:val="24"/>
              </w:rPr>
              <w:t>(式4)</w:t>
            </w:r>
          </w:p>
          <w:p w14:paraId="514A833A">
            <w:pPr>
              <w:spacing w:line="480" w:lineRule="exact"/>
              <w:ind w:firstLine="472" w:firstLineChars="200"/>
              <w:rPr>
                <w:spacing w:val="-2"/>
                <w:sz w:val="24"/>
              </w:rPr>
            </w:pPr>
            <w:r>
              <w:rPr>
                <w:spacing w:val="-2"/>
                <w:sz w:val="24"/>
              </w:rPr>
              <w:t>然后按室外声源预测方法计算预测点处的 A 声级。</w:t>
            </w:r>
          </w:p>
          <w:p w14:paraId="672F5E53">
            <w:pPr>
              <w:spacing w:line="480" w:lineRule="exact"/>
              <w:ind w:firstLine="472" w:firstLineChars="200"/>
              <w:rPr>
                <w:snapToGrid w:val="0"/>
                <w:spacing w:val="-2"/>
                <w:sz w:val="24"/>
              </w:rPr>
            </w:pPr>
            <w:r>
              <w:rPr>
                <w:rFonts w:hint="eastAsia"/>
                <w:spacing w:val="-2"/>
                <w:sz w:val="24"/>
              </w:rPr>
              <w:t>2)</w:t>
            </w:r>
            <w:r>
              <w:rPr>
                <w:spacing w:val="-2"/>
                <w:sz w:val="24"/>
              </w:rPr>
              <w:t>室外的点声源在预测点产生的声级计算基本公式</w:t>
            </w:r>
          </w:p>
          <w:p w14:paraId="2E251FBC">
            <w:pPr>
              <w:adjustRightInd w:val="0"/>
              <w:snapToGrid w:val="0"/>
              <w:spacing w:line="480" w:lineRule="exact"/>
              <w:ind w:firstLine="472" w:firstLineChars="200"/>
              <w:jc w:val="center"/>
              <w:rPr>
                <w:snapToGrid w:val="0"/>
                <w:spacing w:val="-2"/>
                <w:sz w:val="24"/>
              </w:rPr>
            </w:pPr>
            <w:r>
              <w:rPr>
                <w:snapToGrid w:val="0"/>
                <w:spacing w:val="-2"/>
                <w:sz w:val="24"/>
              </w:rPr>
              <w:t>L</w:t>
            </w:r>
            <w:r>
              <w:rPr>
                <w:snapToGrid w:val="0"/>
                <w:spacing w:val="-2"/>
                <w:sz w:val="24"/>
                <w:vertAlign w:val="subscript"/>
              </w:rPr>
              <w:t>A(r)</w:t>
            </w:r>
            <w:r>
              <w:rPr>
                <w:snapToGrid w:val="0"/>
                <w:spacing w:val="-2"/>
                <w:sz w:val="24"/>
              </w:rPr>
              <w:t>=L</w:t>
            </w:r>
            <w:r>
              <w:rPr>
                <w:snapToGrid w:val="0"/>
                <w:spacing w:val="-2"/>
                <w:sz w:val="24"/>
                <w:vertAlign w:val="subscript"/>
              </w:rPr>
              <w:t>Aref(r0)</w:t>
            </w:r>
            <w:r>
              <w:rPr>
                <w:snapToGrid w:val="0"/>
                <w:spacing w:val="-2"/>
                <w:sz w:val="24"/>
              </w:rPr>
              <w:t>+D</w:t>
            </w:r>
            <w:r>
              <w:rPr>
                <w:snapToGrid w:val="0"/>
                <w:spacing w:val="-2"/>
                <w:sz w:val="24"/>
                <w:vertAlign w:val="subscript"/>
              </w:rPr>
              <w:t>c</w:t>
            </w:r>
            <w:r>
              <w:rPr>
                <w:snapToGrid w:val="0"/>
                <w:spacing w:val="-2"/>
                <w:sz w:val="24"/>
              </w:rPr>
              <w:t>-(A</w:t>
            </w:r>
            <w:r>
              <w:rPr>
                <w:snapToGrid w:val="0"/>
                <w:spacing w:val="-2"/>
                <w:sz w:val="24"/>
                <w:vertAlign w:val="subscript"/>
              </w:rPr>
              <w:t>div</w:t>
            </w:r>
            <w:r>
              <w:rPr>
                <w:snapToGrid w:val="0"/>
                <w:spacing w:val="-2"/>
                <w:sz w:val="24"/>
              </w:rPr>
              <w:t>+A</w:t>
            </w:r>
            <w:r>
              <w:rPr>
                <w:snapToGrid w:val="0"/>
                <w:spacing w:val="-2"/>
                <w:sz w:val="24"/>
                <w:vertAlign w:val="subscript"/>
              </w:rPr>
              <w:t>bar</w:t>
            </w:r>
            <w:r>
              <w:rPr>
                <w:snapToGrid w:val="0"/>
                <w:spacing w:val="-2"/>
                <w:sz w:val="24"/>
              </w:rPr>
              <w:t>+A</w:t>
            </w:r>
            <w:r>
              <w:rPr>
                <w:snapToGrid w:val="0"/>
                <w:spacing w:val="-2"/>
                <w:sz w:val="24"/>
                <w:vertAlign w:val="subscript"/>
              </w:rPr>
              <w:t>atm</w:t>
            </w:r>
            <w:r>
              <w:rPr>
                <w:snapToGrid w:val="0"/>
                <w:spacing w:val="-2"/>
                <w:sz w:val="24"/>
              </w:rPr>
              <w:t>+A</w:t>
            </w:r>
            <w:r>
              <w:rPr>
                <w:snapToGrid w:val="0"/>
                <w:spacing w:val="-2"/>
                <w:sz w:val="24"/>
                <w:vertAlign w:val="subscript"/>
              </w:rPr>
              <w:t>gr</w:t>
            </w:r>
            <w:r>
              <w:rPr>
                <w:snapToGrid w:val="0"/>
                <w:spacing w:val="-2"/>
                <w:sz w:val="24"/>
              </w:rPr>
              <w:t>+A</w:t>
            </w:r>
            <w:r>
              <w:rPr>
                <w:snapToGrid w:val="0"/>
                <w:spacing w:val="-2"/>
                <w:sz w:val="24"/>
                <w:vertAlign w:val="subscript"/>
              </w:rPr>
              <w:t>misc</w:t>
            </w:r>
            <w:r>
              <w:rPr>
                <w:snapToGrid w:val="0"/>
                <w:spacing w:val="-2"/>
                <w:sz w:val="24"/>
              </w:rPr>
              <w:t>)</w:t>
            </w:r>
            <w:r>
              <w:rPr>
                <w:spacing w:val="-2"/>
                <w:sz w:val="24"/>
              </w:rPr>
              <w:t>(式5)</w:t>
            </w:r>
          </w:p>
          <w:p w14:paraId="2DAF603B">
            <w:pPr>
              <w:adjustRightInd w:val="0"/>
              <w:snapToGrid w:val="0"/>
              <w:spacing w:line="480" w:lineRule="exact"/>
              <w:ind w:firstLine="472" w:firstLineChars="200"/>
              <w:rPr>
                <w:snapToGrid w:val="0"/>
                <w:spacing w:val="-2"/>
                <w:sz w:val="24"/>
              </w:rPr>
            </w:pPr>
            <w:r>
              <w:rPr>
                <w:snapToGrid w:val="0"/>
                <w:spacing w:val="-2"/>
                <w:sz w:val="24"/>
              </w:rPr>
              <w:t>式中：</w:t>
            </w:r>
            <w:r>
              <w:rPr>
                <w:i/>
                <w:snapToGrid w:val="0"/>
                <w:spacing w:val="-2"/>
                <w:sz w:val="24"/>
              </w:rPr>
              <w:t>L</w:t>
            </w:r>
            <w:r>
              <w:rPr>
                <w:i/>
                <w:snapToGrid w:val="0"/>
                <w:spacing w:val="-2"/>
                <w:sz w:val="24"/>
                <w:vertAlign w:val="subscript"/>
              </w:rPr>
              <w:t>A(r)</w:t>
            </w:r>
            <w:r>
              <w:rPr>
                <w:snapToGrid w:val="0"/>
                <w:spacing w:val="-2"/>
                <w:sz w:val="24"/>
              </w:rPr>
              <w:t xml:space="preserve"> —— 距离声源r处A声级，dB(A)；</w:t>
            </w:r>
          </w:p>
          <w:p w14:paraId="5F46602F">
            <w:pPr>
              <w:adjustRightInd w:val="0"/>
              <w:snapToGrid w:val="0"/>
              <w:spacing w:line="480" w:lineRule="exact"/>
              <w:ind w:firstLine="1180" w:firstLineChars="500"/>
              <w:rPr>
                <w:snapToGrid w:val="0"/>
                <w:spacing w:val="-2"/>
                <w:sz w:val="24"/>
              </w:rPr>
            </w:pPr>
            <w:r>
              <w:rPr>
                <w:snapToGrid w:val="0"/>
                <w:spacing w:val="-2"/>
                <w:sz w:val="24"/>
              </w:rPr>
              <w:t>D</w:t>
            </w:r>
            <w:r>
              <w:rPr>
                <w:snapToGrid w:val="0"/>
                <w:spacing w:val="-2"/>
                <w:sz w:val="24"/>
                <w:vertAlign w:val="subscript"/>
              </w:rPr>
              <w:t>c</w:t>
            </w:r>
            <w:r>
              <w:rPr>
                <w:snapToGrid w:val="0"/>
                <w:spacing w:val="-2"/>
                <w:sz w:val="24"/>
              </w:rPr>
              <w:t>——指向性校正，dB(A)，取0；</w:t>
            </w:r>
          </w:p>
          <w:p w14:paraId="60551B24">
            <w:pPr>
              <w:adjustRightInd w:val="0"/>
              <w:snapToGrid w:val="0"/>
              <w:spacing w:line="480" w:lineRule="exact"/>
              <w:ind w:firstLine="1180" w:firstLineChars="500"/>
              <w:rPr>
                <w:snapToGrid w:val="0"/>
                <w:spacing w:val="-2"/>
                <w:sz w:val="24"/>
              </w:rPr>
            </w:pPr>
            <w:r>
              <w:rPr>
                <w:i/>
                <w:snapToGrid w:val="0"/>
                <w:spacing w:val="-2"/>
                <w:sz w:val="24"/>
              </w:rPr>
              <w:t>A</w:t>
            </w:r>
            <w:r>
              <w:rPr>
                <w:i/>
                <w:snapToGrid w:val="0"/>
                <w:spacing w:val="-2"/>
                <w:sz w:val="24"/>
                <w:vertAlign w:val="subscript"/>
              </w:rPr>
              <w:t>Aref(r0)</w:t>
            </w:r>
            <w:r>
              <w:rPr>
                <w:snapToGrid w:val="0"/>
                <w:spacing w:val="-2"/>
                <w:sz w:val="24"/>
              </w:rPr>
              <w:t>—— 参考位置r</w:t>
            </w:r>
            <w:r>
              <w:rPr>
                <w:snapToGrid w:val="0"/>
                <w:spacing w:val="-2"/>
                <w:sz w:val="24"/>
                <w:vertAlign w:val="subscript"/>
              </w:rPr>
              <w:t>0</w:t>
            </w:r>
            <w:r>
              <w:rPr>
                <w:snapToGrid w:val="0"/>
                <w:spacing w:val="-2"/>
                <w:sz w:val="24"/>
              </w:rPr>
              <w:t>处A声级，dB(A)；</w:t>
            </w:r>
          </w:p>
          <w:p w14:paraId="143440D2">
            <w:pPr>
              <w:adjustRightInd w:val="0"/>
              <w:snapToGrid w:val="0"/>
              <w:spacing w:line="480" w:lineRule="exact"/>
              <w:ind w:firstLine="1180" w:firstLineChars="500"/>
              <w:rPr>
                <w:snapToGrid w:val="0"/>
                <w:spacing w:val="-2"/>
                <w:sz w:val="24"/>
              </w:rPr>
            </w:pPr>
            <w:r>
              <w:rPr>
                <w:i/>
                <w:snapToGrid w:val="0"/>
                <w:spacing w:val="-2"/>
                <w:sz w:val="24"/>
              </w:rPr>
              <w:t>A</w:t>
            </w:r>
            <w:r>
              <w:rPr>
                <w:i/>
                <w:snapToGrid w:val="0"/>
                <w:spacing w:val="-2"/>
                <w:sz w:val="24"/>
                <w:vertAlign w:val="subscript"/>
              </w:rPr>
              <w:t>div</w:t>
            </w:r>
            <w:r>
              <w:rPr>
                <w:snapToGrid w:val="0"/>
                <w:spacing w:val="-2"/>
                <w:sz w:val="24"/>
              </w:rPr>
              <w:t>——声波几何发散引起的A声级衰减量，dB(A)；</w:t>
            </w:r>
          </w:p>
          <w:p w14:paraId="5964F8C3">
            <w:pPr>
              <w:adjustRightInd w:val="0"/>
              <w:snapToGrid w:val="0"/>
              <w:spacing w:line="480" w:lineRule="exact"/>
              <w:ind w:firstLine="1180" w:firstLineChars="500"/>
              <w:rPr>
                <w:snapToGrid w:val="0"/>
                <w:spacing w:val="-2"/>
                <w:sz w:val="24"/>
              </w:rPr>
            </w:pPr>
            <w:r>
              <w:rPr>
                <w:i/>
                <w:snapToGrid w:val="0"/>
                <w:spacing w:val="-2"/>
                <w:sz w:val="24"/>
              </w:rPr>
              <w:t>A</w:t>
            </w:r>
            <w:r>
              <w:rPr>
                <w:i/>
                <w:snapToGrid w:val="0"/>
                <w:spacing w:val="-2"/>
                <w:sz w:val="24"/>
                <w:vertAlign w:val="subscript"/>
              </w:rPr>
              <w:t>bar</w:t>
            </w:r>
            <w:r>
              <w:rPr>
                <w:snapToGrid w:val="0"/>
                <w:spacing w:val="-2"/>
                <w:sz w:val="24"/>
              </w:rPr>
              <w:t>——遮挡物引起的A声级衰减量，dB(A)；</w:t>
            </w:r>
          </w:p>
          <w:p w14:paraId="55AEB94D">
            <w:pPr>
              <w:adjustRightInd w:val="0"/>
              <w:snapToGrid w:val="0"/>
              <w:spacing w:line="480" w:lineRule="exact"/>
              <w:ind w:firstLine="1180" w:firstLineChars="500"/>
              <w:rPr>
                <w:snapToGrid w:val="0"/>
                <w:spacing w:val="-2"/>
                <w:sz w:val="24"/>
              </w:rPr>
            </w:pPr>
            <w:r>
              <w:rPr>
                <w:i/>
                <w:snapToGrid w:val="0"/>
                <w:spacing w:val="-2"/>
                <w:sz w:val="24"/>
              </w:rPr>
              <w:t>A</w:t>
            </w:r>
            <w:r>
              <w:rPr>
                <w:i/>
                <w:snapToGrid w:val="0"/>
                <w:spacing w:val="-2"/>
                <w:sz w:val="24"/>
                <w:vertAlign w:val="subscript"/>
              </w:rPr>
              <w:t>atm</w:t>
            </w:r>
            <w:r>
              <w:rPr>
                <w:snapToGrid w:val="0"/>
                <w:spacing w:val="-2"/>
                <w:sz w:val="24"/>
              </w:rPr>
              <w:t>——空气吸收引起的A声级衰减量，dB(A)；</w:t>
            </w:r>
          </w:p>
          <w:p w14:paraId="7F0E8C98">
            <w:pPr>
              <w:adjustRightInd w:val="0"/>
              <w:snapToGrid w:val="0"/>
              <w:spacing w:line="480" w:lineRule="exact"/>
              <w:ind w:firstLine="1180" w:firstLineChars="500"/>
              <w:rPr>
                <w:snapToGrid w:val="0"/>
                <w:spacing w:val="-2"/>
                <w:sz w:val="24"/>
              </w:rPr>
            </w:pPr>
            <w:r>
              <w:rPr>
                <w:i/>
                <w:snapToGrid w:val="0"/>
                <w:spacing w:val="-2"/>
                <w:sz w:val="24"/>
              </w:rPr>
              <w:t>A</w:t>
            </w:r>
            <w:r>
              <w:rPr>
                <w:i/>
                <w:snapToGrid w:val="0"/>
                <w:spacing w:val="-2"/>
                <w:sz w:val="24"/>
                <w:vertAlign w:val="subscript"/>
              </w:rPr>
              <w:t>gr</w:t>
            </w:r>
            <w:r>
              <w:rPr>
                <w:snapToGrid w:val="0"/>
                <w:spacing w:val="-2"/>
                <w:sz w:val="24"/>
              </w:rPr>
              <w:t>——地面效应衰减量，dB(A)。</w:t>
            </w:r>
          </w:p>
          <w:p w14:paraId="011C4F37">
            <w:pPr>
              <w:adjustRightInd w:val="0"/>
              <w:snapToGrid w:val="0"/>
              <w:spacing w:line="480" w:lineRule="exact"/>
              <w:ind w:firstLine="1180" w:firstLineChars="500"/>
              <w:rPr>
                <w:snapToGrid w:val="0"/>
                <w:spacing w:val="-2"/>
                <w:sz w:val="24"/>
              </w:rPr>
            </w:pPr>
            <w:r>
              <w:rPr>
                <w:snapToGrid w:val="0"/>
                <w:spacing w:val="-2"/>
                <w:sz w:val="24"/>
              </w:rPr>
              <w:t>A</w:t>
            </w:r>
            <w:r>
              <w:rPr>
                <w:snapToGrid w:val="0"/>
                <w:spacing w:val="-2"/>
                <w:sz w:val="24"/>
                <w:vertAlign w:val="subscript"/>
              </w:rPr>
              <w:t>misc</w:t>
            </w:r>
            <w:r>
              <w:rPr>
                <w:snapToGrid w:val="0"/>
                <w:spacing w:val="-2"/>
                <w:sz w:val="24"/>
              </w:rPr>
              <w:t>——</w:t>
            </w:r>
            <w:r>
              <w:rPr>
                <w:rFonts w:hint="eastAsia"/>
                <w:snapToGrid w:val="0"/>
                <w:spacing w:val="-2"/>
                <w:sz w:val="24"/>
              </w:rPr>
              <w:t>其他</w:t>
            </w:r>
            <w:r>
              <w:rPr>
                <w:snapToGrid w:val="0"/>
                <w:spacing w:val="-2"/>
                <w:sz w:val="24"/>
              </w:rPr>
              <w:t>方面引起的衰减量，dB(A)</w:t>
            </w:r>
          </w:p>
          <w:p w14:paraId="4B61521A">
            <w:pPr>
              <w:adjustRightInd w:val="0"/>
              <w:snapToGrid w:val="0"/>
              <w:spacing w:line="480" w:lineRule="exact"/>
              <w:ind w:firstLine="472" w:firstLineChars="200"/>
              <w:rPr>
                <w:snapToGrid w:val="0"/>
                <w:spacing w:val="-2"/>
                <w:sz w:val="24"/>
              </w:rPr>
            </w:pPr>
            <w:r>
              <w:rPr>
                <w:snapToGrid w:val="0"/>
                <w:spacing w:val="-2"/>
                <w:sz w:val="24"/>
              </w:rPr>
              <w:t>根据上述公式，对主要生产设备噪声值进行叠加计算，预测项目实施后对厂界声环境的影响。</w:t>
            </w:r>
          </w:p>
          <w:p w14:paraId="54CF71B7">
            <w:pPr>
              <w:spacing w:line="480" w:lineRule="exact"/>
              <w:ind w:firstLine="472" w:firstLineChars="200"/>
              <w:rPr>
                <w:spacing w:val="-2"/>
                <w:sz w:val="24"/>
              </w:rPr>
            </w:pPr>
            <w:r>
              <w:rPr>
                <w:spacing w:val="-2"/>
                <w:sz w:val="24"/>
              </w:rPr>
              <w:t>各预测点声压级按下列公式进行叠加：</w:t>
            </w:r>
          </w:p>
          <w:p w14:paraId="06C7A692">
            <w:pPr>
              <w:spacing w:line="480" w:lineRule="exact"/>
              <w:ind w:firstLine="472" w:firstLineChars="200"/>
              <w:jc w:val="center"/>
              <w:rPr>
                <w:spacing w:val="-2"/>
                <w:sz w:val="24"/>
              </w:rPr>
            </w:pPr>
            <w:r>
              <w:rPr>
                <w:spacing w:val="-2"/>
                <w:sz w:val="24"/>
              </w:rPr>
              <mc:AlternateContent>
                <mc:Choice Requires="wps">
                  <w:drawing>
                    <wp:anchor distT="0" distB="0" distL="114300" distR="114300" simplePos="0" relativeHeight="251661312" behindDoc="0" locked="0" layoutInCell="1" allowOverlap="1">
                      <wp:simplePos x="0" y="0"/>
                      <wp:positionH relativeFrom="column">
                        <wp:posOffset>3513455</wp:posOffset>
                      </wp:positionH>
                      <wp:positionV relativeFrom="paragraph">
                        <wp:posOffset>67310</wp:posOffset>
                      </wp:positionV>
                      <wp:extent cx="897890" cy="322580"/>
                      <wp:effectExtent l="0" t="0" r="0" b="0"/>
                      <wp:wrapNone/>
                      <wp:docPr id="247" name="文本框 1435"/>
                      <wp:cNvGraphicFramePr/>
                      <a:graphic xmlns:a="http://schemas.openxmlformats.org/drawingml/2006/main">
                        <a:graphicData uri="http://schemas.microsoft.com/office/word/2010/wordprocessingShape">
                          <wps:wsp>
                            <wps:cNvSpPr txBox="1">
                              <a:spLocks noChangeArrowheads="1"/>
                            </wps:cNvSpPr>
                            <wps:spPr bwMode="auto">
                              <a:xfrm>
                                <a:off x="0" y="0"/>
                                <a:ext cx="897890" cy="322580"/>
                              </a:xfrm>
                              <a:prstGeom prst="rect">
                                <a:avLst/>
                              </a:prstGeom>
                              <a:noFill/>
                              <a:ln>
                                <a:noFill/>
                              </a:ln>
                              <a:effectLst/>
                            </wps:spPr>
                            <wps:txbx>
                              <w:txbxContent>
                                <w:p w14:paraId="0F579F16">
                                  <w:r>
                                    <w:rPr>
                                      <w:rFonts w:hint="eastAsia"/>
                                    </w:rPr>
                                    <w:t>（式</w:t>
                                  </w:r>
                                  <w:r>
                                    <w:t>6</w:t>
                                  </w:r>
                                  <w:r>
                                    <w:rPr>
                                      <w:rFonts w:hint="eastAsia"/>
                                    </w:rPr>
                                    <w:t>）</w:t>
                                  </w:r>
                                </w:p>
                              </w:txbxContent>
                            </wps:txbx>
                            <wps:bodyPr rot="0" vert="horz" wrap="square" lIns="91440" tIns="45720" rIns="91440" bIns="45720" anchor="t" anchorCtr="0" upright="1">
                              <a:noAutofit/>
                            </wps:bodyPr>
                          </wps:wsp>
                        </a:graphicData>
                      </a:graphic>
                    </wp:anchor>
                  </w:drawing>
                </mc:Choice>
                <mc:Fallback>
                  <w:pict>
                    <v:shape id="文本框 1435" o:spid="_x0000_s1026" o:spt="202" type="#_x0000_t202" style="position:absolute;left:0pt;margin-left:276.65pt;margin-top:5.3pt;height:25.4pt;width:70.7pt;z-index:251661312;mso-width-relative:page;mso-height-relative:page;" filled="f" stroked="f" coordsize="21600,21600" o:gfxdata="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aU/A9cA&#10;AAAJAQAADwAAAAAAAAABACAAAAAiAAAAZHJzL2Rvd25yZXYueG1sUEsBAhQAFAAAAAgAh07iQNLp&#10;S+YgAgAAJwQAAA4AAAAAAAAAAQAgAAAAJgEAAGRycy9lMm9Eb2MueG1sUEsFBgAAAAAGAAYAWQEA&#10;ALgFAAAAAA==&#10;">
                      <v:fill on="f" focussize="0,0"/>
                      <v:stroke on="f"/>
                      <v:imagedata o:title=""/>
                      <o:lock v:ext="edit" aspectratio="f"/>
                      <v:textbox>
                        <w:txbxContent>
                          <w:p w14:paraId="0F579F16">
                            <w:r>
                              <w:rPr>
                                <w:rFonts w:hint="eastAsia"/>
                              </w:rPr>
                              <w:t>（式</w:t>
                            </w:r>
                            <w:r>
                              <w:t>6</w:t>
                            </w:r>
                            <w:r>
                              <w:rPr>
                                <w:rFonts w:hint="eastAsia"/>
                              </w:rPr>
                              <w:t>）</w:t>
                            </w:r>
                          </w:p>
                        </w:txbxContent>
                      </v:textbox>
                    </v:shape>
                  </w:pict>
                </mc:Fallback>
              </mc:AlternateContent>
            </w:r>
            <w:r>
              <w:rPr>
                <w:spacing w:val="-2"/>
                <w:sz w:val="24"/>
              </w:rPr>
              <w:pict>
                <v:shape id="对象 1434" o:spid="_x0000_s1309" o:spt="75" type="#_x0000_t75" style="position:absolute;left:0pt;margin-left:72.95pt;margin-top:0.05pt;height:36.85pt;width:163.9pt;z-index:251660288;mso-width-relative:page;mso-height-relative:page;" o:ole="t" fillcolor="#FFFFFF" filled="t" o:preferrelative="t" stroked="f" coordsize="21600,21600">
                  <v:path/>
                  <v:fill on="t" focussize="0,0"/>
                  <v:stroke on="f"/>
                  <v:imagedata r:id="rId21" o:title=""/>
                  <o:lock v:ext="edit" aspectratio="t"/>
                </v:shape>
                <o:OLEObject Type="Embed" ProgID="" ShapeID="对象 1434" DrawAspect="Content" ObjectID="_1468075725" r:id="rId20">
                  <o:LockedField>false</o:LockedField>
                </o:OLEObject>
              </w:pict>
            </w:r>
          </w:p>
          <w:p w14:paraId="484D1C6B">
            <w:pPr>
              <w:spacing w:line="480" w:lineRule="exact"/>
              <w:ind w:firstLine="472" w:firstLineChars="200"/>
              <w:rPr>
                <w:spacing w:val="-2"/>
                <w:sz w:val="24"/>
              </w:rPr>
            </w:pPr>
          </w:p>
          <w:p w14:paraId="4E356305">
            <w:pPr>
              <w:spacing w:line="480" w:lineRule="exact"/>
              <w:ind w:firstLine="472" w:firstLineChars="200"/>
              <w:rPr>
                <w:spacing w:val="-2"/>
                <w:sz w:val="24"/>
              </w:rPr>
            </w:pPr>
            <w:r>
              <w:rPr>
                <w:spacing w:val="-2"/>
                <w:sz w:val="24"/>
              </w:rPr>
              <w:t>式中：L</w:t>
            </w:r>
            <w:r>
              <w:rPr>
                <w:spacing w:val="-2"/>
                <w:sz w:val="24"/>
                <w:vertAlign w:val="subscript"/>
              </w:rPr>
              <w:t>总</w:t>
            </w:r>
            <w:r>
              <w:rPr>
                <w:spacing w:val="-2"/>
                <w:sz w:val="24"/>
              </w:rPr>
              <w:t>－－预测点总的A声级，dB(A)；</w:t>
            </w:r>
          </w:p>
          <w:p w14:paraId="2208484D">
            <w:pPr>
              <w:spacing w:line="480" w:lineRule="exact"/>
              <w:ind w:firstLine="1180" w:firstLineChars="500"/>
              <w:rPr>
                <w:spacing w:val="-2"/>
                <w:sz w:val="24"/>
              </w:rPr>
            </w:pPr>
            <w:r>
              <w:rPr>
                <w:i/>
                <w:spacing w:val="-2"/>
                <w:sz w:val="24"/>
              </w:rPr>
              <w:t>L</w:t>
            </w:r>
            <w:r>
              <w:rPr>
                <w:i/>
                <w:spacing w:val="-2"/>
                <w:sz w:val="24"/>
                <w:vertAlign w:val="subscript"/>
              </w:rPr>
              <w:t>i</w:t>
            </w:r>
            <w:r>
              <w:rPr>
                <w:spacing w:val="-2"/>
                <w:sz w:val="24"/>
              </w:rPr>
              <w:t>－－第i个声源到预测点处的声压级，dB(A)；</w:t>
            </w:r>
          </w:p>
          <w:p w14:paraId="2EE3A2BA">
            <w:pPr>
              <w:spacing w:line="480" w:lineRule="exact"/>
              <w:ind w:firstLine="1180" w:firstLineChars="500"/>
              <w:rPr>
                <w:spacing w:val="-2"/>
                <w:sz w:val="24"/>
              </w:rPr>
            </w:pPr>
            <w:r>
              <w:rPr>
                <w:i/>
                <w:spacing w:val="-2"/>
                <w:sz w:val="24"/>
              </w:rPr>
              <w:t>L</w:t>
            </w:r>
            <w:r>
              <w:rPr>
                <w:i/>
                <w:spacing w:val="-2"/>
                <w:sz w:val="24"/>
                <w:vertAlign w:val="subscript"/>
              </w:rPr>
              <w:t>b</w:t>
            </w:r>
            <w:r>
              <w:rPr>
                <w:spacing w:val="-2"/>
                <w:sz w:val="24"/>
              </w:rPr>
              <w:t>－－背景噪声值，dB(A)；</w:t>
            </w:r>
          </w:p>
          <w:p w14:paraId="02699888">
            <w:pPr>
              <w:spacing w:line="480" w:lineRule="exact"/>
              <w:ind w:firstLine="1180" w:firstLineChars="500"/>
              <w:rPr>
                <w:spacing w:val="-2"/>
                <w:sz w:val="24"/>
              </w:rPr>
            </w:pPr>
            <w:r>
              <w:rPr>
                <w:i/>
                <w:spacing w:val="-2"/>
                <w:sz w:val="24"/>
              </w:rPr>
              <w:t>n</w:t>
            </w:r>
            <w:r>
              <w:rPr>
                <w:spacing w:val="-2"/>
                <w:sz w:val="24"/>
              </w:rPr>
              <w:t>－－声源个数。</w:t>
            </w:r>
          </w:p>
          <w:p w14:paraId="7E381081">
            <w:pPr>
              <w:adjustRightInd w:val="0"/>
              <w:snapToGrid w:val="0"/>
              <w:spacing w:line="480" w:lineRule="exact"/>
              <w:ind w:firstLine="472" w:firstLineChars="200"/>
              <w:rPr>
                <w:spacing w:val="-2"/>
                <w:sz w:val="24"/>
              </w:rPr>
            </w:pPr>
            <w:r>
              <w:rPr>
                <w:spacing w:val="-2"/>
                <w:sz w:val="24"/>
              </w:rPr>
              <w:t>预测参数确定：</w:t>
            </w:r>
          </w:p>
          <w:p w14:paraId="104A94C9">
            <w:pPr>
              <w:adjustRightInd w:val="0"/>
              <w:snapToGrid w:val="0"/>
              <w:spacing w:line="480" w:lineRule="exact"/>
              <w:ind w:firstLine="472" w:firstLineChars="200"/>
              <w:rPr>
                <w:snapToGrid w:val="0"/>
                <w:spacing w:val="-2"/>
                <w:sz w:val="24"/>
                <w:vertAlign w:val="subscript"/>
              </w:rPr>
            </w:pPr>
            <w:r>
              <w:rPr>
                <w:rFonts w:hint="eastAsia"/>
                <w:snapToGrid w:val="0"/>
                <w:spacing w:val="-2"/>
                <w:sz w:val="24"/>
              </w:rPr>
              <w:t>①</w:t>
            </w:r>
            <w:r>
              <w:rPr>
                <w:snapToGrid w:val="0"/>
                <w:spacing w:val="-2"/>
                <w:sz w:val="24"/>
              </w:rPr>
              <w:t>几何发散衰减量A</w:t>
            </w:r>
            <w:r>
              <w:rPr>
                <w:snapToGrid w:val="0"/>
                <w:spacing w:val="-2"/>
                <w:sz w:val="24"/>
                <w:vertAlign w:val="subscript"/>
              </w:rPr>
              <w:t>div</w:t>
            </w:r>
          </w:p>
          <w:p w14:paraId="7FC99CFD">
            <w:pPr>
              <w:spacing w:line="480" w:lineRule="exact"/>
              <w:ind w:firstLine="472" w:firstLineChars="200"/>
              <w:rPr>
                <w:spacing w:val="-2"/>
                <w:sz w:val="24"/>
              </w:rPr>
            </w:pPr>
            <w:r>
              <w:rPr>
                <w:spacing w:val="-2"/>
                <w:sz w:val="24"/>
              </w:rPr>
              <w:t>选用半自由声场无指向性点声源几何发散衰减基本模式计算：</w:t>
            </w:r>
          </w:p>
          <w:p w14:paraId="5C0B40D9">
            <w:pPr>
              <w:spacing w:line="480" w:lineRule="exact"/>
              <w:ind w:firstLine="472" w:firstLineChars="200"/>
              <w:jc w:val="center"/>
              <w:rPr>
                <w:i/>
                <w:spacing w:val="-2"/>
                <w:sz w:val="24"/>
                <w:lang w:val="pt-BR"/>
              </w:rPr>
            </w:pPr>
            <w:r>
              <w:rPr>
                <w:i/>
                <w:snapToGrid w:val="0"/>
                <w:spacing w:val="-2"/>
                <w:sz w:val="24"/>
                <w:lang w:val="pt-BR"/>
              </w:rPr>
              <w:t>A</w:t>
            </w:r>
            <w:r>
              <w:rPr>
                <w:i/>
                <w:snapToGrid w:val="0"/>
                <w:spacing w:val="-2"/>
                <w:sz w:val="24"/>
                <w:vertAlign w:val="subscript"/>
                <w:lang w:val="pt-BR"/>
              </w:rPr>
              <w:t>div</w:t>
            </w:r>
            <w:r>
              <w:rPr>
                <w:i/>
                <w:snapToGrid w:val="0"/>
                <w:spacing w:val="-2"/>
                <w:sz w:val="24"/>
                <w:lang w:val="pt-BR"/>
              </w:rPr>
              <w:t>＝20lg(r/r</w:t>
            </w:r>
            <w:r>
              <w:rPr>
                <w:i/>
                <w:snapToGrid w:val="0"/>
                <w:spacing w:val="-2"/>
                <w:sz w:val="24"/>
                <w:vertAlign w:val="subscript"/>
                <w:lang w:val="pt-BR"/>
              </w:rPr>
              <w:t>0</w:t>
            </w:r>
            <w:r>
              <w:rPr>
                <w:i/>
                <w:snapToGrid w:val="0"/>
                <w:spacing w:val="-2"/>
                <w:sz w:val="24"/>
                <w:lang w:val="pt-BR"/>
              </w:rPr>
              <w:t xml:space="preserve">)+8    </w:t>
            </w:r>
            <w:r>
              <w:rPr>
                <w:spacing w:val="-2"/>
                <w:sz w:val="24"/>
              </w:rPr>
              <w:t>(式7)</w:t>
            </w:r>
          </w:p>
          <w:p w14:paraId="388D98AB">
            <w:pPr>
              <w:adjustRightInd w:val="0"/>
              <w:snapToGrid w:val="0"/>
              <w:spacing w:line="480" w:lineRule="exact"/>
              <w:ind w:firstLine="472" w:firstLineChars="200"/>
              <w:rPr>
                <w:snapToGrid w:val="0"/>
                <w:spacing w:val="-2"/>
                <w:sz w:val="24"/>
              </w:rPr>
            </w:pPr>
            <w:r>
              <w:rPr>
                <w:rFonts w:hint="eastAsia"/>
                <w:snapToGrid w:val="0"/>
                <w:spacing w:val="-2"/>
                <w:sz w:val="24"/>
              </w:rPr>
              <w:t>②</w:t>
            </w:r>
            <w:r>
              <w:rPr>
                <w:snapToGrid w:val="0"/>
                <w:spacing w:val="-2"/>
                <w:sz w:val="24"/>
              </w:rPr>
              <w:t>遮挡物衰减量A</w:t>
            </w:r>
            <w:r>
              <w:rPr>
                <w:snapToGrid w:val="0"/>
                <w:spacing w:val="-2"/>
                <w:sz w:val="24"/>
                <w:vertAlign w:val="subscript"/>
              </w:rPr>
              <w:t>ba</w:t>
            </w:r>
          </w:p>
          <w:p w14:paraId="140F6643">
            <w:pPr>
              <w:adjustRightInd w:val="0"/>
              <w:snapToGrid w:val="0"/>
              <w:spacing w:line="480" w:lineRule="exact"/>
              <w:ind w:firstLine="472" w:firstLineChars="200"/>
              <w:rPr>
                <w:snapToGrid w:val="0"/>
                <w:spacing w:val="-2"/>
                <w:sz w:val="24"/>
              </w:rPr>
            </w:pPr>
            <w:r>
              <w:rPr>
                <w:snapToGrid w:val="0"/>
                <w:spacing w:val="-2"/>
                <w:sz w:val="24"/>
              </w:rPr>
              <w:t>噪声源辐射的噪声由室内传播至室外遇到围墙或建筑物等障碍物时引起的能量衰减。对于安装在厂房内的设备，预测时主要考虑厂房墙壁等围栏结构产生的衰减量。</w:t>
            </w:r>
          </w:p>
          <w:p w14:paraId="0FBEA47B">
            <w:pPr>
              <w:adjustRightInd w:val="0"/>
              <w:snapToGrid w:val="0"/>
              <w:spacing w:line="480" w:lineRule="exact"/>
              <w:ind w:firstLine="472" w:firstLineChars="200"/>
              <w:rPr>
                <w:snapToGrid w:val="0"/>
                <w:spacing w:val="-2"/>
                <w:sz w:val="24"/>
              </w:rPr>
            </w:pPr>
            <w:r>
              <w:rPr>
                <w:rFonts w:hint="eastAsia"/>
                <w:snapToGrid w:val="0"/>
                <w:spacing w:val="-2"/>
                <w:sz w:val="24"/>
              </w:rPr>
              <w:t>③</w:t>
            </w:r>
            <w:r>
              <w:rPr>
                <w:snapToGrid w:val="0"/>
                <w:spacing w:val="-2"/>
                <w:sz w:val="24"/>
              </w:rPr>
              <w:t>空气吸收衰减量A</w:t>
            </w:r>
            <w:r>
              <w:rPr>
                <w:snapToGrid w:val="0"/>
                <w:spacing w:val="-2"/>
                <w:sz w:val="24"/>
                <w:vertAlign w:val="subscript"/>
              </w:rPr>
              <w:t>atm</w:t>
            </w:r>
          </w:p>
          <w:p w14:paraId="1789B985">
            <w:pPr>
              <w:ind w:firstLine="472" w:firstLineChars="200"/>
              <w:jc w:val="center"/>
              <w:rPr>
                <w:snapToGrid w:val="0"/>
                <w:spacing w:val="-2"/>
                <w:sz w:val="24"/>
              </w:rPr>
            </w:pPr>
            <w:r>
              <w:rPr>
                <w:spacing w:val="-2"/>
                <w:sz w:val="24"/>
              </w:rPr>
              <mc:AlternateContent>
                <mc:Choice Requires="wps">
                  <w:drawing>
                    <wp:anchor distT="0" distB="0" distL="114300" distR="114300" simplePos="0" relativeHeight="251662336" behindDoc="0" locked="0" layoutInCell="1" allowOverlap="1">
                      <wp:simplePos x="0" y="0"/>
                      <wp:positionH relativeFrom="column">
                        <wp:posOffset>3815080</wp:posOffset>
                      </wp:positionH>
                      <wp:positionV relativeFrom="paragraph">
                        <wp:posOffset>219710</wp:posOffset>
                      </wp:positionV>
                      <wp:extent cx="897890" cy="322580"/>
                      <wp:effectExtent l="0" t="0" r="0" b="0"/>
                      <wp:wrapNone/>
                      <wp:docPr id="248" name="文本框 1436"/>
                      <wp:cNvGraphicFramePr/>
                      <a:graphic xmlns:a="http://schemas.openxmlformats.org/drawingml/2006/main">
                        <a:graphicData uri="http://schemas.microsoft.com/office/word/2010/wordprocessingShape">
                          <wps:wsp>
                            <wps:cNvSpPr txBox="1">
                              <a:spLocks noChangeArrowheads="1"/>
                            </wps:cNvSpPr>
                            <wps:spPr bwMode="auto">
                              <a:xfrm>
                                <a:off x="0" y="0"/>
                                <a:ext cx="897890" cy="322580"/>
                              </a:xfrm>
                              <a:prstGeom prst="rect">
                                <a:avLst/>
                              </a:prstGeom>
                              <a:noFill/>
                              <a:ln>
                                <a:noFill/>
                              </a:ln>
                              <a:effectLst/>
                            </wps:spPr>
                            <wps:txbx>
                              <w:txbxContent>
                                <w:p w14:paraId="106C2894">
                                  <w:r>
                                    <w:rPr>
                                      <w:rFonts w:hint="eastAsia"/>
                                    </w:rPr>
                                    <w:t>（式</w:t>
                                  </w:r>
                                  <w:r>
                                    <w:t>8</w:t>
                                  </w:r>
                                  <w:r>
                                    <w:rPr>
                                      <w:rFonts w:hint="eastAsia"/>
                                    </w:rPr>
                                    <w:t>）</w:t>
                                  </w:r>
                                </w:p>
                              </w:txbxContent>
                            </wps:txbx>
                            <wps:bodyPr rot="0" vert="horz" wrap="square" lIns="91440" tIns="45720" rIns="91440" bIns="45720" anchor="t" anchorCtr="0" upright="1">
                              <a:noAutofit/>
                            </wps:bodyPr>
                          </wps:wsp>
                        </a:graphicData>
                      </a:graphic>
                    </wp:anchor>
                  </w:drawing>
                </mc:Choice>
                <mc:Fallback>
                  <w:pict>
                    <v:shape id="文本框 1436" o:spid="_x0000_s1026" o:spt="202" type="#_x0000_t202" style="position:absolute;left:0pt;margin-left:300.4pt;margin-top:17.3pt;height:25.4pt;width:70.7pt;z-index:251662336;mso-width-relative:page;mso-height-relative:page;" filled="f" stroked="f" coordsize="21600,21600" o:gfxdata="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Bcct9cA&#10;AAAJAQAADwAAAAAAAAABACAAAAAiAAAAZHJzL2Rvd25yZXYueG1sUEsBAhQAFAAAAAgAh07iQMpB&#10;gKggAgAAJwQAAA4AAAAAAAAAAQAgAAAAJgEAAGRycy9lMm9Eb2MueG1sUEsFBgAAAAAGAAYAWQEA&#10;ALgFAAAAAA==&#10;">
                      <v:fill on="f" focussize="0,0"/>
                      <v:stroke on="f"/>
                      <v:imagedata o:title=""/>
                      <o:lock v:ext="edit" aspectratio="f"/>
                      <v:textbox>
                        <w:txbxContent>
                          <w:p w14:paraId="106C2894">
                            <w:r>
                              <w:rPr>
                                <w:rFonts w:hint="eastAsia"/>
                              </w:rPr>
                              <w:t>（式</w:t>
                            </w:r>
                            <w:r>
                              <w:t>8</w:t>
                            </w:r>
                            <w:r>
                              <w:rPr>
                                <w:rFonts w:hint="eastAsia"/>
                              </w:rPr>
                              <w:t>）</w:t>
                            </w:r>
                          </w:p>
                        </w:txbxContent>
                      </v:textbox>
                    </v:shape>
                  </w:pict>
                </mc:Fallback>
              </mc:AlternateContent>
            </w:r>
            <w:r>
              <w:rPr>
                <w:spacing w:val="-2"/>
                <w:sz w:val="24"/>
              </w:rPr>
              <w:drawing>
                <wp:inline distT="0" distB="0" distL="114300" distR="114300">
                  <wp:extent cx="1296035" cy="349885"/>
                  <wp:effectExtent l="0" t="0" r="18415" b="12065"/>
                  <wp:docPr id="17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46"/>
                          <pic:cNvPicPr>
                            <a:picLocks noChangeAspect="1"/>
                          </pic:cNvPicPr>
                        </pic:nvPicPr>
                        <pic:blipFill>
                          <a:blip r:embed="rId22">
                            <a:clrChange>
                              <a:clrFrom>
                                <a:srgbClr val="FFFFFF"/>
                              </a:clrFrom>
                              <a:clrTo>
                                <a:srgbClr val="FFFFFF">
                                  <a:alpha val="0"/>
                                </a:srgbClr>
                              </a:clrTo>
                            </a:clrChange>
                          </a:blip>
                          <a:stretch>
                            <a:fillRect/>
                          </a:stretch>
                        </pic:blipFill>
                        <pic:spPr>
                          <a:xfrm>
                            <a:off x="0" y="0"/>
                            <a:ext cx="1296035" cy="349885"/>
                          </a:xfrm>
                          <a:prstGeom prst="rect">
                            <a:avLst/>
                          </a:prstGeom>
                          <a:noFill/>
                          <a:ln>
                            <a:noFill/>
                          </a:ln>
                        </pic:spPr>
                      </pic:pic>
                    </a:graphicData>
                  </a:graphic>
                </wp:inline>
              </w:drawing>
            </w:r>
          </w:p>
          <w:p w14:paraId="462220A8">
            <w:pPr>
              <w:spacing w:line="480" w:lineRule="exact"/>
              <w:ind w:firstLine="472" w:firstLineChars="200"/>
              <w:rPr>
                <w:spacing w:val="-2"/>
                <w:sz w:val="24"/>
              </w:rPr>
            </w:pPr>
            <w:r>
              <w:rPr>
                <w:spacing w:val="-2"/>
                <w:sz w:val="24"/>
              </w:rPr>
              <w:t>式中：</w:t>
            </w:r>
            <w:r>
              <w:rPr>
                <w:i/>
                <w:iCs/>
                <w:spacing w:val="-2"/>
                <w:sz w:val="24"/>
              </w:rPr>
              <w:t>a</w:t>
            </w:r>
            <w:r>
              <w:rPr>
                <w:spacing w:val="-2"/>
                <w:sz w:val="24"/>
              </w:rPr>
              <w:t>为温度、湿度和声波频率的函数。</w:t>
            </w:r>
          </w:p>
          <w:p w14:paraId="703BC310">
            <w:pPr>
              <w:spacing w:line="480" w:lineRule="exact"/>
              <w:ind w:firstLine="472" w:firstLineChars="200"/>
              <w:rPr>
                <w:snapToGrid w:val="0"/>
                <w:spacing w:val="-2"/>
                <w:sz w:val="24"/>
              </w:rPr>
            </w:pPr>
            <w:r>
              <w:rPr>
                <w:snapToGrid w:val="0"/>
                <w:spacing w:val="-2"/>
                <w:sz w:val="24"/>
              </w:rPr>
              <w:t>空气吸收衰减量与几何发散衰减量相比很小，本次预测计算中忽略空气吸收衰减量。</w:t>
            </w:r>
          </w:p>
          <w:p w14:paraId="693A383C">
            <w:pPr>
              <w:adjustRightInd w:val="0"/>
              <w:snapToGrid w:val="0"/>
              <w:spacing w:line="480" w:lineRule="exact"/>
              <w:ind w:firstLine="472" w:firstLineChars="200"/>
              <w:rPr>
                <w:snapToGrid w:val="0"/>
                <w:spacing w:val="-2"/>
                <w:sz w:val="24"/>
              </w:rPr>
            </w:pPr>
            <w:r>
              <w:rPr>
                <w:rFonts w:hint="eastAsia"/>
                <w:snapToGrid w:val="0"/>
                <w:spacing w:val="-2"/>
                <w:sz w:val="24"/>
              </w:rPr>
              <w:t>④</w:t>
            </w:r>
            <w:r>
              <w:rPr>
                <w:snapToGrid w:val="0"/>
                <w:spacing w:val="-2"/>
                <w:sz w:val="24"/>
              </w:rPr>
              <w:t>地面衰减量</w:t>
            </w:r>
            <w:r>
              <w:rPr>
                <w:i/>
                <w:snapToGrid w:val="0"/>
                <w:spacing w:val="-2"/>
                <w:sz w:val="24"/>
              </w:rPr>
              <w:t>A</w:t>
            </w:r>
            <w:r>
              <w:rPr>
                <w:i/>
                <w:snapToGrid w:val="0"/>
                <w:spacing w:val="-2"/>
                <w:sz w:val="24"/>
                <w:vertAlign w:val="subscript"/>
              </w:rPr>
              <w:t>gr</w:t>
            </w:r>
          </w:p>
          <w:p w14:paraId="2F89321D">
            <w:pPr>
              <w:adjustRightInd w:val="0"/>
              <w:snapToGrid w:val="0"/>
              <w:spacing w:line="480" w:lineRule="exact"/>
              <w:ind w:firstLine="472" w:firstLineChars="200"/>
              <w:rPr>
                <w:snapToGrid w:val="0"/>
                <w:spacing w:val="-2"/>
                <w:sz w:val="24"/>
              </w:rPr>
            </w:pPr>
            <w:r>
              <w:rPr>
                <w:snapToGrid w:val="0"/>
                <w:spacing w:val="-2"/>
                <w:sz w:val="24"/>
              </w:rPr>
              <w:t>本次评价忽略。</w:t>
            </w:r>
          </w:p>
          <w:p w14:paraId="3191E69E">
            <w:pPr>
              <w:adjustRightInd w:val="0"/>
              <w:snapToGrid w:val="0"/>
              <w:spacing w:line="480" w:lineRule="exact"/>
              <w:ind w:firstLine="472" w:firstLineChars="200"/>
              <w:rPr>
                <w:snapToGrid w:val="0"/>
                <w:spacing w:val="-2"/>
                <w:sz w:val="24"/>
              </w:rPr>
            </w:pPr>
            <w:r>
              <w:rPr>
                <w:rFonts w:hint="eastAsia"/>
                <w:snapToGrid w:val="0"/>
                <w:spacing w:val="-2"/>
                <w:sz w:val="24"/>
              </w:rPr>
              <w:t>⑤其他</w:t>
            </w:r>
            <w:r>
              <w:rPr>
                <w:snapToGrid w:val="0"/>
                <w:spacing w:val="-2"/>
                <w:sz w:val="24"/>
              </w:rPr>
              <w:t>方面衰减量</w:t>
            </w:r>
            <w:r>
              <w:rPr>
                <w:i/>
                <w:snapToGrid w:val="0"/>
                <w:spacing w:val="-2"/>
                <w:sz w:val="24"/>
              </w:rPr>
              <w:t>A</w:t>
            </w:r>
            <w:r>
              <w:rPr>
                <w:i/>
                <w:snapToGrid w:val="0"/>
                <w:spacing w:val="-2"/>
                <w:sz w:val="24"/>
                <w:vertAlign w:val="subscript"/>
              </w:rPr>
              <w:t>misc</w:t>
            </w:r>
            <w:r>
              <w:rPr>
                <w:i/>
                <w:snapToGrid w:val="0"/>
                <w:spacing w:val="-2"/>
                <w:sz w:val="24"/>
              </w:rPr>
              <w:t>，</w:t>
            </w:r>
            <w:r>
              <w:rPr>
                <w:snapToGrid w:val="0"/>
                <w:spacing w:val="-2"/>
                <w:sz w:val="24"/>
              </w:rPr>
              <w:t>本次评价忽略。</w:t>
            </w:r>
          </w:p>
          <w:p w14:paraId="436497FD">
            <w:pPr>
              <w:spacing w:line="480" w:lineRule="exact"/>
              <w:ind w:firstLine="480" w:firstLineChars="200"/>
              <w:rPr>
                <w:sz w:val="24"/>
              </w:rPr>
            </w:pPr>
            <w:r>
              <w:rPr>
                <w:sz w:val="24"/>
              </w:rPr>
              <w:t>经预测，厂界噪声值见下表。</w:t>
            </w:r>
          </w:p>
          <w:p w14:paraId="14DE86DE">
            <w:pPr>
              <w:spacing w:line="480" w:lineRule="exact"/>
              <w:jc w:val="center"/>
              <w:rPr>
                <w:rFonts w:hint="eastAsia" w:ascii="黑体" w:hAnsi="黑体" w:eastAsia="黑体" w:cs="黑体"/>
                <w:kern w:val="24"/>
                <w:sz w:val="24"/>
              </w:rPr>
            </w:pPr>
            <w:r>
              <w:rPr>
                <w:rFonts w:hint="eastAsia" w:ascii="黑体" w:hAnsi="黑体" w:eastAsia="黑体" w:cs="黑体"/>
                <w:kern w:val="24"/>
                <w:sz w:val="24"/>
              </w:rPr>
              <w:t>表4-13  项目噪声预测结果  单位：dB(A)</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752"/>
              <w:gridCol w:w="753"/>
              <w:gridCol w:w="752"/>
              <w:gridCol w:w="753"/>
              <w:gridCol w:w="855"/>
              <w:gridCol w:w="855"/>
              <w:gridCol w:w="752"/>
              <w:gridCol w:w="754"/>
              <w:gridCol w:w="1250"/>
            </w:tblGrid>
            <w:tr w14:paraId="589D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restart"/>
                  <w:noWrap w:val="0"/>
                  <w:vAlign w:val="center"/>
                </w:tcPr>
                <w:p w14:paraId="672A8069">
                  <w:pPr>
                    <w:spacing w:line="320" w:lineRule="exact"/>
                    <w:jc w:val="center"/>
                    <w:rPr>
                      <w:szCs w:val="21"/>
                    </w:rPr>
                  </w:pPr>
                  <w:r>
                    <w:rPr>
                      <w:szCs w:val="21"/>
                    </w:rPr>
                    <w:t>预测点</w:t>
                  </w:r>
                </w:p>
              </w:tc>
              <w:tc>
                <w:tcPr>
                  <w:tcW w:w="887" w:type="pct"/>
                  <w:gridSpan w:val="2"/>
                  <w:noWrap w:val="0"/>
                  <w:vAlign w:val="center"/>
                </w:tcPr>
                <w:p w14:paraId="423ED074">
                  <w:pPr>
                    <w:spacing w:line="320" w:lineRule="exact"/>
                    <w:jc w:val="center"/>
                    <w:rPr>
                      <w:szCs w:val="21"/>
                    </w:rPr>
                  </w:pPr>
                  <w:r>
                    <w:rPr>
                      <w:szCs w:val="21"/>
                    </w:rPr>
                    <w:t>贡献值</w:t>
                  </w:r>
                </w:p>
              </w:tc>
              <w:tc>
                <w:tcPr>
                  <w:tcW w:w="887" w:type="pct"/>
                  <w:gridSpan w:val="2"/>
                  <w:noWrap w:val="0"/>
                  <w:vAlign w:val="top"/>
                </w:tcPr>
                <w:p w14:paraId="30A0D33A">
                  <w:pPr>
                    <w:spacing w:line="320" w:lineRule="exact"/>
                    <w:jc w:val="center"/>
                    <w:rPr>
                      <w:szCs w:val="21"/>
                    </w:rPr>
                  </w:pPr>
                  <w:r>
                    <w:rPr>
                      <w:szCs w:val="21"/>
                    </w:rPr>
                    <w:t>背景值</w:t>
                  </w:r>
                </w:p>
              </w:tc>
              <w:tc>
                <w:tcPr>
                  <w:tcW w:w="1008" w:type="pct"/>
                  <w:gridSpan w:val="2"/>
                  <w:noWrap w:val="0"/>
                  <w:vAlign w:val="center"/>
                </w:tcPr>
                <w:p w14:paraId="2269D168">
                  <w:pPr>
                    <w:spacing w:line="320" w:lineRule="exact"/>
                    <w:jc w:val="center"/>
                    <w:rPr>
                      <w:szCs w:val="21"/>
                    </w:rPr>
                  </w:pPr>
                  <w:r>
                    <w:rPr>
                      <w:szCs w:val="21"/>
                    </w:rPr>
                    <w:t>预测值</w:t>
                  </w:r>
                </w:p>
              </w:tc>
              <w:tc>
                <w:tcPr>
                  <w:tcW w:w="887" w:type="pct"/>
                  <w:gridSpan w:val="2"/>
                  <w:noWrap w:val="0"/>
                  <w:vAlign w:val="center"/>
                </w:tcPr>
                <w:p w14:paraId="02DEB303">
                  <w:pPr>
                    <w:spacing w:line="320" w:lineRule="exact"/>
                    <w:jc w:val="center"/>
                    <w:rPr>
                      <w:szCs w:val="21"/>
                    </w:rPr>
                  </w:pPr>
                  <w:r>
                    <w:rPr>
                      <w:szCs w:val="21"/>
                    </w:rPr>
                    <w:t>标准值</w:t>
                  </w:r>
                </w:p>
              </w:tc>
              <w:tc>
                <w:tcPr>
                  <w:tcW w:w="736" w:type="pct"/>
                  <w:vMerge w:val="restart"/>
                  <w:noWrap w:val="0"/>
                  <w:vAlign w:val="center"/>
                </w:tcPr>
                <w:p w14:paraId="37C819D5">
                  <w:pPr>
                    <w:spacing w:line="320" w:lineRule="exact"/>
                    <w:jc w:val="center"/>
                    <w:rPr>
                      <w:szCs w:val="21"/>
                    </w:rPr>
                  </w:pPr>
                  <w:r>
                    <w:rPr>
                      <w:szCs w:val="21"/>
                    </w:rPr>
                    <w:t>达标情况</w:t>
                  </w:r>
                </w:p>
              </w:tc>
            </w:tr>
            <w:tr w14:paraId="249B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noWrap w:val="0"/>
                  <w:vAlign w:val="center"/>
                </w:tcPr>
                <w:p w14:paraId="51FE0C92">
                  <w:pPr>
                    <w:spacing w:line="320" w:lineRule="exact"/>
                    <w:jc w:val="center"/>
                    <w:rPr>
                      <w:szCs w:val="21"/>
                    </w:rPr>
                  </w:pPr>
                </w:p>
              </w:tc>
              <w:tc>
                <w:tcPr>
                  <w:tcW w:w="443" w:type="pct"/>
                  <w:noWrap w:val="0"/>
                  <w:vAlign w:val="center"/>
                </w:tcPr>
                <w:p w14:paraId="2D1D8263">
                  <w:pPr>
                    <w:spacing w:line="320" w:lineRule="exact"/>
                    <w:jc w:val="center"/>
                    <w:rPr>
                      <w:szCs w:val="21"/>
                    </w:rPr>
                  </w:pPr>
                  <w:r>
                    <w:rPr>
                      <w:szCs w:val="21"/>
                    </w:rPr>
                    <w:t>昼间</w:t>
                  </w:r>
                </w:p>
              </w:tc>
              <w:tc>
                <w:tcPr>
                  <w:tcW w:w="443" w:type="pct"/>
                  <w:noWrap w:val="0"/>
                  <w:vAlign w:val="center"/>
                </w:tcPr>
                <w:p w14:paraId="72F2A68B">
                  <w:pPr>
                    <w:spacing w:line="320" w:lineRule="exact"/>
                    <w:jc w:val="center"/>
                    <w:rPr>
                      <w:szCs w:val="21"/>
                    </w:rPr>
                  </w:pPr>
                  <w:r>
                    <w:rPr>
                      <w:szCs w:val="21"/>
                    </w:rPr>
                    <w:t>夜间</w:t>
                  </w:r>
                </w:p>
              </w:tc>
              <w:tc>
                <w:tcPr>
                  <w:tcW w:w="443" w:type="pct"/>
                  <w:noWrap w:val="0"/>
                  <w:vAlign w:val="center"/>
                </w:tcPr>
                <w:p w14:paraId="68F29EB4">
                  <w:pPr>
                    <w:spacing w:line="320" w:lineRule="exact"/>
                    <w:jc w:val="center"/>
                    <w:rPr>
                      <w:szCs w:val="21"/>
                    </w:rPr>
                  </w:pPr>
                  <w:r>
                    <w:rPr>
                      <w:szCs w:val="21"/>
                    </w:rPr>
                    <w:t>昼间</w:t>
                  </w:r>
                </w:p>
              </w:tc>
              <w:tc>
                <w:tcPr>
                  <w:tcW w:w="443" w:type="pct"/>
                  <w:noWrap w:val="0"/>
                  <w:vAlign w:val="center"/>
                </w:tcPr>
                <w:p w14:paraId="74E684B6">
                  <w:pPr>
                    <w:spacing w:line="320" w:lineRule="exact"/>
                    <w:jc w:val="center"/>
                    <w:rPr>
                      <w:szCs w:val="21"/>
                    </w:rPr>
                  </w:pPr>
                  <w:r>
                    <w:rPr>
                      <w:szCs w:val="21"/>
                    </w:rPr>
                    <w:t>夜间</w:t>
                  </w:r>
                </w:p>
              </w:tc>
              <w:tc>
                <w:tcPr>
                  <w:tcW w:w="504" w:type="pct"/>
                  <w:noWrap w:val="0"/>
                  <w:vAlign w:val="center"/>
                </w:tcPr>
                <w:p w14:paraId="6D363A3E">
                  <w:pPr>
                    <w:spacing w:line="320" w:lineRule="exact"/>
                    <w:jc w:val="center"/>
                    <w:rPr>
                      <w:szCs w:val="21"/>
                    </w:rPr>
                  </w:pPr>
                  <w:r>
                    <w:rPr>
                      <w:szCs w:val="21"/>
                    </w:rPr>
                    <w:t>昼间</w:t>
                  </w:r>
                </w:p>
              </w:tc>
              <w:tc>
                <w:tcPr>
                  <w:tcW w:w="504" w:type="pct"/>
                  <w:noWrap w:val="0"/>
                  <w:vAlign w:val="center"/>
                </w:tcPr>
                <w:p w14:paraId="448331D2">
                  <w:pPr>
                    <w:spacing w:line="320" w:lineRule="exact"/>
                    <w:jc w:val="center"/>
                    <w:rPr>
                      <w:szCs w:val="21"/>
                    </w:rPr>
                  </w:pPr>
                  <w:r>
                    <w:rPr>
                      <w:szCs w:val="21"/>
                    </w:rPr>
                    <w:t>夜间</w:t>
                  </w:r>
                </w:p>
              </w:tc>
              <w:tc>
                <w:tcPr>
                  <w:tcW w:w="443" w:type="pct"/>
                  <w:noWrap w:val="0"/>
                  <w:vAlign w:val="center"/>
                </w:tcPr>
                <w:p w14:paraId="111F6BA9">
                  <w:pPr>
                    <w:spacing w:line="320" w:lineRule="exact"/>
                    <w:jc w:val="center"/>
                    <w:rPr>
                      <w:szCs w:val="21"/>
                    </w:rPr>
                  </w:pPr>
                  <w:r>
                    <w:rPr>
                      <w:szCs w:val="21"/>
                    </w:rPr>
                    <w:t>昼间</w:t>
                  </w:r>
                </w:p>
              </w:tc>
              <w:tc>
                <w:tcPr>
                  <w:tcW w:w="443" w:type="pct"/>
                  <w:noWrap w:val="0"/>
                  <w:vAlign w:val="center"/>
                </w:tcPr>
                <w:p w14:paraId="24BA0E20">
                  <w:pPr>
                    <w:spacing w:line="320" w:lineRule="exact"/>
                    <w:jc w:val="center"/>
                    <w:rPr>
                      <w:szCs w:val="21"/>
                    </w:rPr>
                  </w:pPr>
                  <w:r>
                    <w:rPr>
                      <w:szCs w:val="21"/>
                    </w:rPr>
                    <w:t>夜间</w:t>
                  </w:r>
                </w:p>
              </w:tc>
              <w:tc>
                <w:tcPr>
                  <w:tcW w:w="736" w:type="pct"/>
                  <w:vMerge w:val="continue"/>
                  <w:noWrap w:val="0"/>
                  <w:vAlign w:val="center"/>
                </w:tcPr>
                <w:p w14:paraId="2760D292">
                  <w:pPr>
                    <w:spacing w:line="320" w:lineRule="exact"/>
                    <w:jc w:val="center"/>
                    <w:rPr>
                      <w:szCs w:val="21"/>
                    </w:rPr>
                  </w:pPr>
                </w:p>
              </w:tc>
            </w:tr>
            <w:tr w14:paraId="47EE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noWrap w:val="0"/>
                  <w:vAlign w:val="center"/>
                </w:tcPr>
                <w:p w14:paraId="5AC39E3B">
                  <w:pPr>
                    <w:spacing w:line="320" w:lineRule="exact"/>
                    <w:jc w:val="center"/>
                    <w:rPr>
                      <w:szCs w:val="21"/>
                    </w:rPr>
                  </w:pPr>
                  <w:r>
                    <w:rPr>
                      <w:szCs w:val="21"/>
                    </w:rPr>
                    <w:t>东厂界</w:t>
                  </w:r>
                </w:p>
              </w:tc>
              <w:tc>
                <w:tcPr>
                  <w:tcW w:w="443" w:type="pct"/>
                  <w:noWrap w:val="0"/>
                  <w:vAlign w:val="center"/>
                </w:tcPr>
                <w:p w14:paraId="69B1972F">
                  <w:pPr>
                    <w:spacing w:line="320" w:lineRule="exact"/>
                    <w:jc w:val="center"/>
                    <w:rPr>
                      <w:szCs w:val="21"/>
                    </w:rPr>
                  </w:pPr>
                  <w:r>
                    <w:rPr>
                      <w:rFonts w:hint="eastAsia"/>
                      <w:szCs w:val="21"/>
                    </w:rPr>
                    <w:t>39.2</w:t>
                  </w:r>
                </w:p>
              </w:tc>
              <w:tc>
                <w:tcPr>
                  <w:tcW w:w="443" w:type="pct"/>
                  <w:noWrap w:val="0"/>
                  <w:vAlign w:val="center"/>
                </w:tcPr>
                <w:p w14:paraId="4E50CD0E">
                  <w:pPr>
                    <w:spacing w:line="320" w:lineRule="exact"/>
                    <w:jc w:val="center"/>
                    <w:rPr>
                      <w:rFonts w:hint="default" w:eastAsia="宋体"/>
                      <w:szCs w:val="21"/>
                      <w:lang w:val="en-US" w:eastAsia="zh-CN"/>
                    </w:rPr>
                  </w:pPr>
                  <w:r>
                    <w:rPr>
                      <w:rFonts w:hint="eastAsia"/>
                      <w:bCs/>
                      <w:szCs w:val="21"/>
                      <w:lang w:val="en-US" w:eastAsia="zh-CN"/>
                    </w:rPr>
                    <w:t>35.4</w:t>
                  </w:r>
                </w:p>
              </w:tc>
              <w:tc>
                <w:tcPr>
                  <w:tcW w:w="773" w:type="dxa"/>
                  <w:noWrap w:val="0"/>
                  <w:vAlign w:val="center"/>
                </w:tcPr>
                <w:p w14:paraId="3CFC5931">
                  <w:pPr>
                    <w:pStyle w:val="14"/>
                    <w:spacing w:after="0"/>
                    <w:ind w:left="0" w:leftChars="0"/>
                    <w:jc w:val="center"/>
                    <w:rPr>
                      <w:sz w:val="21"/>
                      <w:szCs w:val="21"/>
                    </w:rPr>
                  </w:pPr>
                  <w:r>
                    <w:rPr>
                      <w:rFonts w:hint="eastAsia"/>
                      <w:sz w:val="21"/>
                      <w:szCs w:val="21"/>
                    </w:rPr>
                    <w:t>57.4</w:t>
                  </w:r>
                </w:p>
              </w:tc>
              <w:tc>
                <w:tcPr>
                  <w:tcW w:w="773" w:type="dxa"/>
                  <w:noWrap w:val="0"/>
                  <w:vAlign w:val="center"/>
                </w:tcPr>
                <w:p w14:paraId="76861886">
                  <w:pPr>
                    <w:pStyle w:val="14"/>
                    <w:spacing w:after="0"/>
                    <w:ind w:left="0" w:leftChars="0"/>
                    <w:jc w:val="center"/>
                    <w:rPr>
                      <w:sz w:val="21"/>
                      <w:szCs w:val="21"/>
                    </w:rPr>
                  </w:pPr>
                  <w:r>
                    <w:rPr>
                      <w:rFonts w:hint="eastAsia"/>
                      <w:sz w:val="21"/>
                      <w:szCs w:val="21"/>
                    </w:rPr>
                    <w:t>47.8</w:t>
                  </w:r>
                </w:p>
              </w:tc>
              <w:tc>
                <w:tcPr>
                  <w:tcW w:w="878" w:type="dxa"/>
                  <w:noWrap w:val="0"/>
                  <w:vAlign w:val="center"/>
                </w:tcPr>
                <w:p w14:paraId="67F0E0B0">
                  <w:pPr>
                    <w:pStyle w:val="14"/>
                    <w:spacing w:after="0"/>
                    <w:ind w:left="0" w:leftChars="0"/>
                    <w:jc w:val="center"/>
                    <w:rPr>
                      <w:sz w:val="21"/>
                      <w:szCs w:val="21"/>
                    </w:rPr>
                  </w:pPr>
                  <w:r>
                    <w:rPr>
                      <w:rFonts w:hint="eastAsia"/>
                      <w:sz w:val="21"/>
                      <w:szCs w:val="21"/>
                    </w:rPr>
                    <w:t>57.4</w:t>
                  </w:r>
                </w:p>
              </w:tc>
              <w:tc>
                <w:tcPr>
                  <w:tcW w:w="878" w:type="dxa"/>
                  <w:noWrap w:val="0"/>
                  <w:vAlign w:val="center"/>
                </w:tcPr>
                <w:p w14:paraId="09FDCDF7">
                  <w:pPr>
                    <w:pStyle w:val="14"/>
                    <w:spacing w:after="0"/>
                    <w:ind w:left="0" w:leftChars="0"/>
                    <w:jc w:val="center"/>
                    <w:rPr>
                      <w:sz w:val="21"/>
                      <w:szCs w:val="21"/>
                    </w:rPr>
                  </w:pPr>
                  <w:r>
                    <w:rPr>
                      <w:rFonts w:hint="eastAsia"/>
                      <w:sz w:val="21"/>
                      <w:szCs w:val="21"/>
                    </w:rPr>
                    <w:t>47.8</w:t>
                  </w:r>
                </w:p>
              </w:tc>
              <w:tc>
                <w:tcPr>
                  <w:tcW w:w="443" w:type="pct"/>
                  <w:noWrap w:val="0"/>
                  <w:vAlign w:val="center"/>
                </w:tcPr>
                <w:p w14:paraId="4418CE24">
                  <w:pPr>
                    <w:spacing w:line="320" w:lineRule="exact"/>
                    <w:jc w:val="center"/>
                    <w:rPr>
                      <w:szCs w:val="21"/>
                    </w:rPr>
                  </w:pPr>
                  <w:r>
                    <w:rPr>
                      <w:rFonts w:hint="eastAsia"/>
                      <w:szCs w:val="21"/>
                    </w:rPr>
                    <w:t>60</w:t>
                  </w:r>
                </w:p>
              </w:tc>
              <w:tc>
                <w:tcPr>
                  <w:tcW w:w="443" w:type="pct"/>
                  <w:noWrap w:val="0"/>
                  <w:vAlign w:val="center"/>
                </w:tcPr>
                <w:p w14:paraId="1D522961">
                  <w:pPr>
                    <w:spacing w:line="320" w:lineRule="exact"/>
                    <w:jc w:val="center"/>
                    <w:rPr>
                      <w:szCs w:val="21"/>
                    </w:rPr>
                  </w:pPr>
                  <w:r>
                    <w:rPr>
                      <w:rFonts w:hint="eastAsia"/>
                      <w:szCs w:val="21"/>
                    </w:rPr>
                    <w:t>50</w:t>
                  </w:r>
                </w:p>
              </w:tc>
              <w:tc>
                <w:tcPr>
                  <w:tcW w:w="736" w:type="pct"/>
                  <w:noWrap w:val="0"/>
                  <w:vAlign w:val="center"/>
                </w:tcPr>
                <w:p w14:paraId="4AE4A0D6">
                  <w:pPr>
                    <w:spacing w:line="320" w:lineRule="exact"/>
                    <w:jc w:val="center"/>
                    <w:rPr>
                      <w:szCs w:val="21"/>
                    </w:rPr>
                  </w:pPr>
                  <w:r>
                    <w:rPr>
                      <w:rFonts w:hint="eastAsia"/>
                      <w:szCs w:val="21"/>
                    </w:rPr>
                    <w:t>达标</w:t>
                  </w:r>
                </w:p>
              </w:tc>
            </w:tr>
            <w:tr w14:paraId="6838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noWrap w:val="0"/>
                  <w:vAlign w:val="center"/>
                </w:tcPr>
                <w:p w14:paraId="297E0E3A">
                  <w:pPr>
                    <w:spacing w:line="320" w:lineRule="exact"/>
                    <w:jc w:val="center"/>
                    <w:rPr>
                      <w:szCs w:val="21"/>
                    </w:rPr>
                  </w:pPr>
                  <w:r>
                    <w:rPr>
                      <w:szCs w:val="21"/>
                    </w:rPr>
                    <w:t>南厂界</w:t>
                  </w:r>
                </w:p>
              </w:tc>
              <w:tc>
                <w:tcPr>
                  <w:tcW w:w="443" w:type="pct"/>
                  <w:noWrap w:val="0"/>
                  <w:vAlign w:val="center"/>
                </w:tcPr>
                <w:p w14:paraId="1B80453B">
                  <w:pPr>
                    <w:spacing w:line="320" w:lineRule="exact"/>
                    <w:jc w:val="center"/>
                    <w:rPr>
                      <w:szCs w:val="21"/>
                    </w:rPr>
                  </w:pPr>
                  <w:r>
                    <w:rPr>
                      <w:rFonts w:hint="eastAsia"/>
                      <w:szCs w:val="21"/>
                    </w:rPr>
                    <w:t>40.5</w:t>
                  </w:r>
                </w:p>
              </w:tc>
              <w:tc>
                <w:tcPr>
                  <w:tcW w:w="443" w:type="pct"/>
                  <w:noWrap w:val="0"/>
                  <w:vAlign w:val="center"/>
                </w:tcPr>
                <w:p w14:paraId="0C520718">
                  <w:pPr>
                    <w:spacing w:line="320" w:lineRule="exact"/>
                    <w:jc w:val="center"/>
                    <w:rPr>
                      <w:rFonts w:hint="default" w:eastAsia="宋体"/>
                      <w:szCs w:val="21"/>
                      <w:lang w:val="en-US" w:eastAsia="zh-CN"/>
                    </w:rPr>
                  </w:pPr>
                  <w:r>
                    <w:rPr>
                      <w:rFonts w:hint="eastAsia"/>
                      <w:bCs/>
                      <w:szCs w:val="21"/>
                      <w:lang w:val="en-US" w:eastAsia="zh-CN"/>
                    </w:rPr>
                    <w:t>38.3</w:t>
                  </w:r>
                </w:p>
              </w:tc>
              <w:tc>
                <w:tcPr>
                  <w:tcW w:w="773" w:type="dxa"/>
                  <w:noWrap w:val="0"/>
                  <w:vAlign w:val="center"/>
                </w:tcPr>
                <w:p w14:paraId="51AA4BB1">
                  <w:pPr>
                    <w:pStyle w:val="14"/>
                    <w:spacing w:after="0"/>
                    <w:ind w:left="0" w:leftChars="0"/>
                    <w:jc w:val="center"/>
                    <w:rPr>
                      <w:sz w:val="21"/>
                      <w:szCs w:val="21"/>
                    </w:rPr>
                  </w:pPr>
                  <w:r>
                    <w:rPr>
                      <w:rFonts w:hint="eastAsia"/>
                      <w:sz w:val="21"/>
                      <w:szCs w:val="21"/>
                    </w:rPr>
                    <w:t>55.8</w:t>
                  </w:r>
                </w:p>
              </w:tc>
              <w:tc>
                <w:tcPr>
                  <w:tcW w:w="773" w:type="dxa"/>
                  <w:noWrap w:val="0"/>
                  <w:vAlign w:val="center"/>
                </w:tcPr>
                <w:p w14:paraId="73BB0051">
                  <w:pPr>
                    <w:pStyle w:val="14"/>
                    <w:spacing w:after="0"/>
                    <w:ind w:left="0" w:leftChars="0"/>
                    <w:jc w:val="center"/>
                    <w:rPr>
                      <w:sz w:val="21"/>
                      <w:szCs w:val="21"/>
                    </w:rPr>
                  </w:pPr>
                  <w:r>
                    <w:rPr>
                      <w:rFonts w:hint="eastAsia"/>
                      <w:sz w:val="21"/>
                      <w:szCs w:val="21"/>
                    </w:rPr>
                    <w:t>45.2</w:t>
                  </w:r>
                </w:p>
              </w:tc>
              <w:tc>
                <w:tcPr>
                  <w:tcW w:w="878" w:type="dxa"/>
                  <w:noWrap w:val="0"/>
                  <w:vAlign w:val="center"/>
                </w:tcPr>
                <w:p w14:paraId="31995D17">
                  <w:pPr>
                    <w:pStyle w:val="14"/>
                    <w:spacing w:after="0"/>
                    <w:ind w:left="0" w:leftChars="0"/>
                    <w:jc w:val="center"/>
                    <w:rPr>
                      <w:sz w:val="21"/>
                      <w:szCs w:val="21"/>
                    </w:rPr>
                  </w:pPr>
                  <w:r>
                    <w:rPr>
                      <w:rFonts w:hint="eastAsia"/>
                      <w:sz w:val="21"/>
                      <w:szCs w:val="21"/>
                    </w:rPr>
                    <w:t>55.8</w:t>
                  </w:r>
                </w:p>
              </w:tc>
              <w:tc>
                <w:tcPr>
                  <w:tcW w:w="878" w:type="dxa"/>
                  <w:noWrap w:val="0"/>
                  <w:vAlign w:val="center"/>
                </w:tcPr>
                <w:p w14:paraId="4BE8A80F">
                  <w:pPr>
                    <w:pStyle w:val="14"/>
                    <w:spacing w:after="0"/>
                    <w:ind w:left="0" w:leftChars="0"/>
                    <w:jc w:val="center"/>
                    <w:rPr>
                      <w:sz w:val="21"/>
                      <w:szCs w:val="21"/>
                    </w:rPr>
                  </w:pPr>
                  <w:r>
                    <w:rPr>
                      <w:rFonts w:hint="eastAsia"/>
                      <w:sz w:val="21"/>
                      <w:szCs w:val="21"/>
                    </w:rPr>
                    <w:t>45.2</w:t>
                  </w:r>
                </w:p>
              </w:tc>
              <w:tc>
                <w:tcPr>
                  <w:tcW w:w="443" w:type="pct"/>
                  <w:noWrap w:val="0"/>
                  <w:vAlign w:val="center"/>
                </w:tcPr>
                <w:p w14:paraId="2EC6B504">
                  <w:pPr>
                    <w:spacing w:line="320" w:lineRule="exact"/>
                    <w:jc w:val="center"/>
                    <w:rPr>
                      <w:szCs w:val="21"/>
                    </w:rPr>
                  </w:pPr>
                  <w:r>
                    <w:rPr>
                      <w:rFonts w:hint="eastAsia"/>
                      <w:szCs w:val="21"/>
                    </w:rPr>
                    <w:t>60</w:t>
                  </w:r>
                </w:p>
              </w:tc>
              <w:tc>
                <w:tcPr>
                  <w:tcW w:w="443" w:type="pct"/>
                  <w:noWrap w:val="0"/>
                  <w:vAlign w:val="center"/>
                </w:tcPr>
                <w:p w14:paraId="5D38C6B6">
                  <w:pPr>
                    <w:spacing w:line="320" w:lineRule="exact"/>
                    <w:jc w:val="center"/>
                    <w:rPr>
                      <w:szCs w:val="21"/>
                    </w:rPr>
                  </w:pPr>
                  <w:r>
                    <w:rPr>
                      <w:rFonts w:hint="eastAsia"/>
                      <w:szCs w:val="21"/>
                    </w:rPr>
                    <w:t>50</w:t>
                  </w:r>
                </w:p>
              </w:tc>
              <w:tc>
                <w:tcPr>
                  <w:tcW w:w="736" w:type="pct"/>
                  <w:noWrap w:val="0"/>
                  <w:vAlign w:val="center"/>
                </w:tcPr>
                <w:p w14:paraId="78668EA4">
                  <w:pPr>
                    <w:spacing w:line="320" w:lineRule="exact"/>
                    <w:jc w:val="center"/>
                    <w:rPr>
                      <w:szCs w:val="21"/>
                    </w:rPr>
                  </w:pPr>
                  <w:r>
                    <w:rPr>
                      <w:rFonts w:hint="eastAsia"/>
                      <w:szCs w:val="21"/>
                    </w:rPr>
                    <w:t>达标</w:t>
                  </w:r>
                </w:p>
              </w:tc>
            </w:tr>
            <w:tr w14:paraId="26F0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noWrap w:val="0"/>
                  <w:vAlign w:val="center"/>
                </w:tcPr>
                <w:p w14:paraId="7619CCA5">
                  <w:pPr>
                    <w:spacing w:line="320" w:lineRule="exact"/>
                    <w:jc w:val="center"/>
                    <w:rPr>
                      <w:szCs w:val="21"/>
                    </w:rPr>
                  </w:pPr>
                  <w:r>
                    <w:rPr>
                      <w:szCs w:val="21"/>
                    </w:rPr>
                    <w:t>西厂界</w:t>
                  </w:r>
                </w:p>
              </w:tc>
              <w:tc>
                <w:tcPr>
                  <w:tcW w:w="443" w:type="pct"/>
                  <w:noWrap w:val="0"/>
                  <w:vAlign w:val="center"/>
                </w:tcPr>
                <w:p w14:paraId="6A9D37BA">
                  <w:pPr>
                    <w:spacing w:line="320" w:lineRule="exact"/>
                    <w:jc w:val="center"/>
                    <w:rPr>
                      <w:szCs w:val="21"/>
                    </w:rPr>
                  </w:pPr>
                  <w:r>
                    <w:rPr>
                      <w:rFonts w:hint="eastAsia"/>
                      <w:szCs w:val="21"/>
                    </w:rPr>
                    <w:t>42.6</w:t>
                  </w:r>
                </w:p>
              </w:tc>
              <w:tc>
                <w:tcPr>
                  <w:tcW w:w="443" w:type="pct"/>
                  <w:noWrap w:val="0"/>
                  <w:vAlign w:val="center"/>
                </w:tcPr>
                <w:p w14:paraId="6CAA18C9">
                  <w:pPr>
                    <w:spacing w:line="320" w:lineRule="exact"/>
                    <w:jc w:val="center"/>
                    <w:rPr>
                      <w:rFonts w:hint="default" w:eastAsia="宋体"/>
                      <w:szCs w:val="21"/>
                      <w:lang w:val="en-US" w:eastAsia="zh-CN"/>
                    </w:rPr>
                  </w:pPr>
                  <w:r>
                    <w:rPr>
                      <w:rFonts w:hint="eastAsia"/>
                      <w:bCs/>
                      <w:szCs w:val="21"/>
                      <w:lang w:val="en-US" w:eastAsia="zh-CN"/>
                    </w:rPr>
                    <w:t>40.5</w:t>
                  </w:r>
                </w:p>
              </w:tc>
              <w:tc>
                <w:tcPr>
                  <w:tcW w:w="773" w:type="dxa"/>
                  <w:noWrap w:val="0"/>
                  <w:vAlign w:val="center"/>
                </w:tcPr>
                <w:p w14:paraId="275EEBB1">
                  <w:pPr>
                    <w:pStyle w:val="14"/>
                    <w:spacing w:after="0"/>
                    <w:ind w:left="0" w:leftChars="0"/>
                    <w:jc w:val="center"/>
                    <w:rPr>
                      <w:sz w:val="21"/>
                      <w:szCs w:val="21"/>
                    </w:rPr>
                  </w:pPr>
                  <w:r>
                    <w:rPr>
                      <w:rFonts w:hint="eastAsia"/>
                      <w:sz w:val="21"/>
                      <w:szCs w:val="21"/>
                    </w:rPr>
                    <w:t>54.7</w:t>
                  </w:r>
                </w:p>
              </w:tc>
              <w:tc>
                <w:tcPr>
                  <w:tcW w:w="773" w:type="dxa"/>
                  <w:noWrap w:val="0"/>
                  <w:vAlign w:val="center"/>
                </w:tcPr>
                <w:p w14:paraId="1F6CD936">
                  <w:pPr>
                    <w:pStyle w:val="14"/>
                    <w:spacing w:after="0"/>
                    <w:ind w:left="0" w:leftChars="0"/>
                    <w:jc w:val="center"/>
                    <w:rPr>
                      <w:sz w:val="21"/>
                      <w:szCs w:val="21"/>
                    </w:rPr>
                  </w:pPr>
                  <w:r>
                    <w:rPr>
                      <w:rFonts w:hint="eastAsia"/>
                      <w:sz w:val="21"/>
                      <w:szCs w:val="21"/>
                    </w:rPr>
                    <w:t>45.8</w:t>
                  </w:r>
                </w:p>
              </w:tc>
              <w:tc>
                <w:tcPr>
                  <w:tcW w:w="878" w:type="dxa"/>
                  <w:noWrap w:val="0"/>
                  <w:vAlign w:val="center"/>
                </w:tcPr>
                <w:p w14:paraId="56E222CE">
                  <w:pPr>
                    <w:pStyle w:val="14"/>
                    <w:spacing w:after="0"/>
                    <w:ind w:left="0" w:leftChars="0"/>
                    <w:jc w:val="center"/>
                    <w:rPr>
                      <w:sz w:val="21"/>
                      <w:szCs w:val="21"/>
                    </w:rPr>
                  </w:pPr>
                  <w:r>
                    <w:rPr>
                      <w:rFonts w:hint="eastAsia"/>
                      <w:sz w:val="21"/>
                      <w:szCs w:val="21"/>
                    </w:rPr>
                    <w:t>54.9</w:t>
                  </w:r>
                </w:p>
              </w:tc>
              <w:tc>
                <w:tcPr>
                  <w:tcW w:w="878" w:type="dxa"/>
                  <w:noWrap w:val="0"/>
                  <w:vAlign w:val="center"/>
                </w:tcPr>
                <w:p w14:paraId="5882E9C1">
                  <w:pPr>
                    <w:pStyle w:val="14"/>
                    <w:spacing w:after="0"/>
                    <w:ind w:left="0" w:leftChars="0"/>
                    <w:jc w:val="center"/>
                    <w:rPr>
                      <w:rFonts w:hint="eastAsia" w:eastAsia="宋体"/>
                      <w:sz w:val="21"/>
                      <w:szCs w:val="21"/>
                      <w:lang w:eastAsia="zh-CN"/>
                    </w:rPr>
                  </w:pPr>
                  <w:r>
                    <w:rPr>
                      <w:rFonts w:hint="eastAsia"/>
                      <w:sz w:val="21"/>
                      <w:szCs w:val="21"/>
                    </w:rPr>
                    <w:t>45.</w:t>
                  </w:r>
                  <w:r>
                    <w:rPr>
                      <w:rFonts w:hint="eastAsia"/>
                      <w:sz w:val="21"/>
                      <w:szCs w:val="21"/>
                      <w:lang w:val="en-US" w:eastAsia="zh-CN"/>
                    </w:rPr>
                    <w:t>9</w:t>
                  </w:r>
                </w:p>
              </w:tc>
              <w:tc>
                <w:tcPr>
                  <w:tcW w:w="443" w:type="pct"/>
                  <w:noWrap w:val="0"/>
                  <w:vAlign w:val="center"/>
                </w:tcPr>
                <w:p w14:paraId="4B1AABEB">
                  <w:pPr>
                    <w:spacing w:line="320" w:lineRule="exact"/>
                    <w:jc w:val="center"/>
                    <w:rPr>
                      <w:szCs w:val="21"/>
                    </w:rPr>
                  </w:pPr>
                  <w:r>
                    <w:rPr>
                      <w:rFonts w:hint="eastAsia"/>
                      <w:szCs w:val="21"/>
                    </w:rPr>
                    <w:t>60</w:t>
                  </w:r>
                </w:p>
              </w:tc>
              <w:tc>
                <w:tcPr>
                  <w:tcW w:w="443" w:type="pct"/>
                  <w:noWrap w:val="0"/>
                  <w:vAlign w:val="center"/>
                </w:tcPr>
                <w:p w14:paraId="60187CED">
                  <w:pPr>
                    <w:spacing w:line="320" w:lineRule="exact"/>
                    <w:jc w:val="center"/>
                    <w:rPr>
                      <w:szCs w:val="21"/>
                    </w:rPr>
                  </w:pPr>
                  <w:r>
                    <w:rPr>
                      <w:rFonts w:hint="eastAsia"/>
                      <w:szCs w:val="21"/>
                    </w:rPr>
                    <w:t>50</w:t>
                  </w:r>
                </w:p>
              </w:tc>
              <w:tc>
                <w:tcPr>
                  <w:tcW w:w="736" w:type="pct"/>
                  <w:noWrap w:val="0"/>
                  <w:vAlign w:val="center"/>
                </w:tcPr>
                <w:p w14:paraId="651195B3">
                  <w:pPr>
                    <w:spacing w:line="320" w:lineRule="exact"/>
                    <w:jc w:val="center"/>
                    <w:rPr>
                      <w:szCs w:val="21"/>
                    </w:rPr>
                  </w:pPr>
                  <w:r>
                    <w:rPr>
                      <w:rFonts w:hint="eastAsia"/>
                      <w:szCs w:val="21"/>
                    </w:rPr>
                    <w:t>达标</w:t>
                  </w:r>
                </w:p>
              </w:tc>
            </w:tr>
            <w:tr w14:paraId="5C01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noWrap w:val="0"/>
                  <w:vAlign w:val="center"/>
                </w:tcPr>
                <w:p w14:paraId="780BCD65">
                  <w:pPr>
                    <w:spacing w:line="320" w:lineRule="exact"/>
                    <w:jc w:val="center"/>
                    <w:rPr>
                      <w:szCs w:val="21"/>
                    </w:rPr>
                  </w:pPr>
                  <w:r>
                    <w:rPr>
                      <w:szCs w:val="21"/>
                    </w:rPr>
                    <w:t>北厂界</w:t>
                  </w:r>
                </w:p>
              </w:tc>
              <w:tc>
                <w:tcPr>
                  <w:tcW w:w="443" w:type="pct"/>
                  <w:noWrap w:val="0"/>
                  <w:vAlign w:val="center"/>
                </w:tcPr>
                <w:p w14:paraId="4D3B6A1A">
                  <w:pPr>
                    <w:spacing w:line="320" w:lineRule="exact"/>
                    <w:jc w:val="center"/>
                    <w:rPr>
                      <w:szCs w:val="21"/>
                    </w:rPr>
                  </w:pPr>
                  <w:r>
                    <w:rPr>
                      <w:rFonts w:hint="eastAsia"/>
                      <w:szCs w:val="21"/>
                    </w:rPr>
                    <w:t>39.3</w:t>
                  </w:r>
                </w:p>
              </w:tc>
              <w:tc>
                <w:tcPr>
                  <w:tcW w:w="443" w:type="pct"/>
                  <w:noWrap w:val="0"/>
                  <w:vAlign w:val="center"/>
                </w:tcPr>
                <w:p w14:paraId="758D2BAA">
                  <w:pPr>
                    <w:spacing w:line="320" w:lineRule="exact"/>
                    <w:jc w:val="center"/>
                    <w:rPr>
                      <w:rFonts w:hint="default" w:eastAsia="宋体"/>
                      <w:szCs w:val="21"/>
                      <w:lang w:val="en-US" w:eastAsia="zh-CN"/>
                    </w:rPr>
                  </w:pPr>
                  <w:r>
                    <w:rPr>
                      <w:rFonts w:hint="eastAsia"/>
                      <w:bCs/>
                      <w:szCs w:val="21"/>
                      <w:lang w:val="en-US" w:eastAsia="zh-CN"/>
                    </w:rPr>
                    <w:t>35.7</w:t>
                  </w:r>
                </w:p>
              </w:tc>
              <w:tc>
                <w:tcPr>
                  <w:tcW w:w="773" w:type="dxa"/>
                  <w:noWrap w:val="0"/>
                  <w:vAlign w:val="center"/>
                </w:tcPr>
                <w:p w14:paraId="725C38FD">
                  <w:pPr>
                    <w:pStyle w:val="14"/>
                    <w:spacing w:after="0"/>
                    <w:ind w:left="0" w:leftChars="0"/>
                    <w:jc w:val="center"/>
                    <w:rPr>
                      <w:sz w:val="21"/>
                      <w:szCs w:val="21"/>
                    </w:rPr>
                  </w:pPr>
                  <w:r>
                    <w:rPr>
                      <w:rFonts w:hint="eastAsia"/>
                      <w:sz w:val="21"/>
                      <w:szCs w:val="21"/>
                    </w:rPr>
                    <w:t>58.3</w:t>
                  </w:r>
                </w:p>
              </w:tc>
              <w:tc>
                <w:tcPr>
                  <w:tcW w:w="773" w:type="dxa"/>
                  <w:noWrap w:val="0"/>
                  <w:vAlign w:val="center"/>
                </w:tcPr>
                <w:p w14:paraId="5BB5366C">
                  <w:pPr>
                    <w:pStyle w:val="14"/>
                    <w:spacing w:after="0"/>
                    <w:ind w:left="0" w:leftChars="0"/>
                    <w:jc w:val="center"/>
                    <w:rPr>
                      <w:sz w:val="21"/>
                      <w:szCs w:val="21"/>
                    </w:rPr>
                  </w:pPr>
                  <w:r>
                    <w:rPr>
                      <w:rFonts w:hint="eastAsia"/>
                      <w:sz w:val="21"/>
                      <w:szCs w:val="21"/>
                    </w:rPr>
                    <w:t>44.9</w:t>
                  </w:r>
                </w:p>
              </w:tc>
              <w:tc>
                <w:tcPr>
                  <w:tcW w:w="878" w:type="dxa"/>
                  <w:noWrap w:val="0"/>
                  <w:vAlign w:val="center"/>
                </w:tcPr>
                <w:p w14:paraId="75013167">
                  <w:pPr>
                    <w:pStyle w:val="14"/>
                    <w:spacing w:after="0"/>
                    <w:ind w:left="0" w:leftChars="0"/>
                    <w:jc w:val="center"/>
                    <w:rPr>
                      <w:sz w:val="21"/>
                      <w:szCs w:val="21"/>
                    </w:rPr>
                  </w:pPr>
                  <w:r>
                    <w:rPr>
                      <w:rFonts w:hint="eastAsia"/>
                      <w:sz w:val="21"/>
                      <w:szCs w:val="21"/>
                    </w:rPr>
                    <w:t>58.3</w:t>
                  </w:r>
                </w:p>
              </w:tc>
              <w:tc>
                <w:tcPr>
                  <w:tcW w:w="878" w:type="dxa"/>
                  <w:noWrap w:val="0"/>
                  <w:vAlign w:val="center"/>
                </w:tcPr>
                <w:p w14:paraId="70C07D5E">
                  <w:pPr>
                    <w:pStyle w:val="14"/>
                    <w:spacing w:after="0"/>
                    <w:ind w:left="0" w:leftChars="0"/>
                    <w:jc w:val="center"/>
                    <w:rPr>
                      <w:rFonts w:hint="default" w:eastAsia="宋体"/>
                      <w:sz w:val="21"/>
                      <w:szCs w:val="21"/>
                      <w:lang w:val="en-US" w:eastAsia="zh-CN"/>
                    </w:rPr>
                  </w:pPr>
                  <w:r>
                    <w:rPr>
                      <w:rFonts w:hint="eastAsia"/>
                      <w:sz w:val="21"/>
                      <w:szCs w:val="21"/>
                    </w:rPr>
                    <w:t>4</w:t>
                  </w:r>
                  <w:r>
                    <w:rPr>
                      <w:rFonts w:hint="eastAsia"/>
                      <w:sz w:val="21"/>
                      <w:szCs w:val="21"/>
                      <w:lang w:val="en-US" w:eastAsia="zh-CN"/>
                    </w:rPr>
                    <w:t>5.1</w:t>
                  </w:r>
                </w:p>
              </w:tc>
              <w:tc>
                <w:tcPr>
                  <w:tcW w:w="443" w:type="pct"/>
                  <w:noWrap w:val="0"/>
                  <w:vAlign w:val="center"/>
                </w:tcPr>
                <w:p w14:paraId="59451969">
                  <w:pPr>
                    <w:spacing w:line="320" w:lineRule="exact"/>
                    <w:jc w:val="center"/>
                    <w:rPr>
                      <w:szCs w:val="21"/>
                    </w:rPr>
                  </w:pPr>
                  <w:r>
                    <w:rPr>
                      <w:rFonts w:hint="eastAsia"/>
                      <w:szCs w:val="21"/>
                    </w:rPr>
                    <w:t>60</w:t>
                  </w:r>
                </w:p>
              </w:tc>
              <w:tc>
                <w:tcPr>
                  <w:tcW w:w="443" w:type="pct"/>
                  <w:noWrap w:val="0"/>
                  <w:vAlign w:val="center"/>
                </w:tcPr>
                <w:p w14:paraId="5F002416">
                  <w:pPr>
                    <w:spacing w:line="320" w:lineRule="exact"/>
                    <w:jc w:val="center"/>
                    <w:rPr>
                      <w:szCs w:val="21"/>
                    </w:rPr>
                  </w:pPr>
                  <w:r>
                    <w:rPr>
                      <w:rFonts w:hint="eastAsia"/>
                      <w:szCs w:val="21"/>
                    </w:rPr>
                    <w:t>50</w:t>
                  </w:r>
                </w:p>
              </w:tc>
              <w:tc>
                <w:tcPr>
                  <w:tcW w:w="736" w:type="pct"/>
                  <w:noWrap w:val="0"/>
                  <w:vAlign w:val="center"/>
                </w:tcPr>
                <w:p w14:paraId="0B5652AC">
                  <w:pPr>
                    <w:spacing w:line="320" w:lineRule="exact"/>
                    <w:jc w:val="center"/>
                    <w:rPr>
                      <w:szCs w:val="21"/>
                    </w:rPr>
                  </w:pPr>
                  <w:bookmarkStart w:id="21" w:name="OLE_LINK56"/>
                  <w:r>
                    <w:rPr>
                      <w:rFonts w:hint="eastAsia"/>
                      <w:szCs w:val="21"/>
                    </w:rPr>
                    <w:t>达标</w:t>
                  </w:r>
                  <w:bookmarkEnd w:id="21"/>
                </w:p>
              </w:tc>
            </w:tr>
          </w:tbl>
          <w:p w14:paraId="32C92DEA">
            <w:pPr>
              <w:adjustRightInd w:val="0"/>
              <w:snapToGrid w:val="0"/>
              <w:spacing w:line="480" w:lineRule="exact"/>
              <w:ind w:firstLine="482"/>
              <w:rPr>
                <w:kern w:val="24"/>
                <w:sz w:val="24"/>
                <w:szCs w:val="32"/>
              </w:rPr>
            </w:pPr>
          </w:p>
          <w:p w14:paraId="3A5F20AF">
            <w:pPr>
              <w:adjustRightInd w:val="0"/>
              <w:snapToGrid w:val="0"/>
              <w:spacing w:line="480" w:lineRule="exact"/>
              <w:ind w:firstLine="482"/>
              <w:rPr>
                <w:bCs/>
                <w:kern w:val="24"/>
                <w:sz w:val="24"/>
              </w:rPr>
            </w:pPr>
            <w:r>
              <w:rPr>
                <w:kern w:val="24"/>
                <w:sz w:val="24"/>
              </w:rPr>
              <w:t>根据预测结果可知，项目东、南、西、北侧的厂界噪声均能够满足《工业企业厂界环境噪声排放标准》(GB12348-2008)中</w:t>
            </w:r>
            <w:r>
              <w:rPr>
                <w:rFonts w:hint="eastAsia"/>
                <w:kern w:val="24"/>
                <w:sz w:val="24"/>
              </w:rPr>
              <w:t>2</w:t>
            </w:r>
            <w:r>
              <w:rPr>
                <w:kern w:val="24"/>
                <w:sz w:val="24"/>
              </w:rPr>
              <w:t>类标准</w:t>
            </w:r>
            <w:r>
              <w:rPr>
                <w:rFonts w:hint="eastAsia"/>
                <w:bCs/>
                <w:kern w:val="24"/>
                <w:sz w:val="24"/>
              </w:rPr>
              <w:t>。</w:t>
            </w:r>
            <w:r>
              <w:rPr>
                <w:bCs/>
                <w:kern w:val="24"/>
                <w:sz w:val="24"/>
              </w:rPr>
              <w:t>综上所述，本项目建设运营</w:t>
            </w:r>
            <w:r>
              <w:rPr>
                <w:rFonts w:hint="eastAsia"/>
                <w:bCs/>
                <w:kern w:val="24"/>
                <w:sz w:val="24"/>
              </w:rPr>
              <w:t>后</w:t>
            </w:r>
            <w:r>
              <w:rPr>
                <w:bCs/>
                <w:kern w:val="24"/>
                <w:sz w:val="24"/>
              </w:rPr>
              <w:t>对</w:t>
            </w:r>
            <w:r>
              <w:rPr>
                <w:rFonts w:hint="eastAsia"/>
                <w:bCs/>
                <w:kern w:val="24"/>
                <w:sz w:val="24"/>
              </w:rPr>
              <w:t>周边</w:t>
            </w:r>
            <w:r>
              <w:rPr>
                <w:bCs/>
                <w:kern w:val="24"/>
                <w:sz w:val="24"/>
              </w:rPr>
              <w:t>声环境影响较小。</w:t>
            </w:r>
          </w:p>
          <w:p w14:paraId="02DDD6D7">
            <w:pPr>
              <w:pStyle w:val="184"/>
              <w:snapToGrid w:val="0"/>
              <w:spacing w:line="480" w:lineRule="exact"/>
              <w:rPr>
                <w:bCs/>
                <w:szCs w:val="24"/>
              </w:rPr>
            </w:pPr>
            <w:r>
              <w:rPr>
                <w:rFonts w:hint="eastAsia"/>
                <w:bCs/>
                <w:szCs w:val="24"/>
              </w:rPr>
              <w:t>(3)</w:t>
            </w:r>
            <w:r>
              <w:rPr>
                <w:bCs/>
                <w:szCs w:val="24"/>
              </w:rPr>
              <w:t>运营期声环境保护措施</w:t>
            </w:r>
          </w:p>
          <w:p w14:paraId="0F4918DA">
            <w:pPr>
              <w:pStyle w:val="184"/>
              <w:snapToGrid w:val="0"/>
              <w:spacing w:line="480" w:lineRule="exact"/>
              <w:rPr>
                <w:szCs w:val="24"/>
              </w:rPr>
            </w:pPr>
            <w:r>
              <w:rPr>
                <w:szCs w:val="24"/>
              </w:rPr>
              <w:t>根据建设单位提供资料，各类</w:t>
            </w:r>
            <w:r>
              <w:rPr>
                <w:rFonts w:hint="eastAsia"/>
                <w:szCs w:val="24"/>
              </w:rPr>
              <w:t>生产</w:t>
            </w:r>
            <w:r>
              <w:rPr>
                <w:szCs w:val="24"/>
              </w:rPr>
              <w:t>设备均置于室内，主要噪声源距离厂界较远，窑炉废气治理设施位于室外，但底部已设置</w:t>
            </w:r>
            <w:r>
              <w:rPr>
                <w:rFonts w:hint="eastAsia"/>
                <w:szCs w:val="24"/>
              </w:rPr>
              <w:t>减振</w:t>
            </w:r>
            <w:r>
              <w:rPr>
                <w:szCs w:val="24"/>
              </w:rPr>
              <w:t>措施，为了进一步降低噪声对周围环境的影响，建议企业应采取以下措施：</w:t>
            </w:r>
          </w:p>
          <w:p w14:paraId="6413857A">
            <w:pPr>
              <w:pStyle w:val="184"/>
              <w:snapToGrid w:val="0"/>
              <w:spacing w:line="480" w:lineRule="exact"/>
              <w:rPr>
                <w:rFonts w:hint="eastAsia"/>
                <w:szCs w:val="24"/>
              </w:rPr>
            </w:pPr>
            <w:r>
              <w:rPr>
                <w:rFonts w:hint="eastAsia"/>
                <w:szCs w:val="24"/>
              </w:rPr>
              <w:t>①</w:t>
            </w:r>
            <w:r>
              <w:rPr>
                <w:szCs w:val="24"/>
              </w:rPr>
              <w:t>在高噪声设备机器底面安装垫木或者橡胶减振垫，用地脚螺栓固定，减小了设备运行时的振动和振动引起的噪声；</w:t>
            </w:r>
          </w:p>
          <w:p w14:paraId="673FF196">
            <w:pPr>
              <w:pStyle w:val="184"/>
              <w:snapToGrid w:val="0"/>
              <w:spacing w:line="480" w:lineRule="exact"/>
              <w:rPr>
                <w:szCs w:val="24"/>
              </w:rPr>
            </w:pPr>
            <w:r>
              <w:rPr>
                <w:rFonts w:hint="eastAsia"/>
                <w:szCs w:val="24"/>
              </w:rPr>
              <w:t>②风机应设置隔声罩，减小运行过程振动引起的噪声；</w:t>
            </w:r>
          </w:p>
          <w:p w14:paraId="5C2A24DB">
            <w:pPr>
              <w:pStyle w:val="184"/>
              <w:snapToGrid w:val="0"/>
              <w:spacing w:line="480" w:lineRule="exact"/>
              <w:rPr>
                <w:szCs w:val="24"/>
              </w:rPr>
            </w:pPr>
            <w:r>
              <w:rPr>
                <w:rFonts w:hint="eastAsia"/>
                <w:szCs w:val="24"/>
              </w:rPr>
              <w:t>③</w:t>
            </w:r>
            <w:r>
              <w:rPr>
                <w:szCs w:val="24"/>
              </w:rPr>
              <w:t>合理布局，新增的生产设备集中布置在厂房中部；</w:t>
            </w:r>
          </w:p>
          <w:p w14:paraId="5FE119BC">
            <w:pPr>
              <w:pStyle w:val="184"/>
              <w:snapToGrid w:val="0"/>
              <w:spacing w:line="480" w:lineRule="exact"/>
              <w:rPr>
                <w:szCs w:val="24"/>
              </w:rPr>
            </w:pPr>
            <w:r>
              <w:rPr>
                <w:rFonts w:hint="eastAsia"/>
                <w:szCs w:val="24"/>
              </w:rPr>
              <w:t>④</w:t>
            </w:r>
            <w:r>
              <w:rPr>
                <w:szCs w:val="24"/>
              </w:rPr>
              <w:t>加强噪声设备的维修管理，避免因不正常运行所导致的噪声增大；</w:t>
            </w:r>
          </w:p>
          <w:p w14:paraId="0FF8F67E">
            <w:pPr>
              <w:pStyle w:val="184"/>
              <w:snapToGrid w:val="0"/>
              <w:spacing w:line="480" w:lineRule="exact"/>
              <w:rPr>
                <w:szCs w:val="24"/>
              </w:rPr>
            </w:pPr>
            <w:r>
              <w:rPr>
                <w:rFonts w:hint="eastAsia"/>
                <w:szCs w:val="24"/>
              </w:rPr>
              <w:t>⑤</w:t>
            </w:r>
            <w:r>
              <w:rPr>
                <w:szCs w:val="24"/>
              </w:rPr>
              <w:t>强化行车管理制度，进入厂区时低速行驶，最大限度减少流动噪声，禁止鸣笛及夜间禁止运输；</w:t>
            </w:r>
          </w:p>
          <w:p w14:paraId="0F39746A">
            <w:pPr>
              <w:spacing w:line="480" w:lineRule="exact"/>
              <w:ind w:firstLine="480" w:firstLineChars="200"/>
              <w:rPr>
                <w:kern w:val="24"/>
                <w:sz w:val="24"/>
              </w:rPr>
            </w:pPr>
            <w:r>
              <w:rPr>
                <w:rFonts w:hint="eastAsia"/>
                <w:kern w:val="24"/>
                <w:sz w:val="24"/>
              </w:rPr>
              <w:t>⑥</w:t>
            </w:r>
            <w:r>
              <w:rPr>
                <w:kern w:val="24"/>
                <w:sz w:val="24"/>
              </w:rPr>
              <w:t>对运输车辆加强管理，保持车辆良好的车况，杜绝车辆带病上路。</w:t>
            </w:r>
          </w:p>
          <w:p w14:paraId="49A06207">
            <w:pPr>
              <w:pStyle w:val="184"/>
              <w:adjustRightInd/>
              <w:spacing w:line="480" w:lineRule="exact"/>
              <w:rPr>
                <w:bCs/>
                <w:szCs w:val="24"/>
              </w:rPr>
            </w:pPr>
            <w:r>
              <w:rPr>
                <w:rFonts w:hint="eastAsia"/>
                <w:bCs/>
                <w:szCs w:val="24"/>
              </w:rPr>
              <w:t>(4)监测计划</w:t>
            </w:r>
          </w:p>
          <w:p w14:paraId="776878E4">
            <w:pPr>
              <w:pStyle w:val="184"/>
              <w:spacing w:line="480" w:lineRule="exact"/>
              <w:ind w:firstLine="480" w:firstLineChars="200"/>
            </w:pPr>
            <w:r>
              <w:rPr>
                <w:rFonts w:hint="eastAsia"/>
              </w:rPr>
              <w:t>根据</w:t>
            </w:r>
            <w:r>
              <w:t>《排污许可证申请与核发技术规范</w:t>
            </w:r>
            <w:r>
              <w:rPr>
                <w:rFonts w:hint="eastAsia"/>
              </w:rPr>
              <w:t xml:space="preserve"> 工业噪声</w:t>
            </w:r>
            <w:r>
              <w:t>》(</w:t>
            </w:r>
            <w:r>
              <w:rPr>
                <w:rFonts w:hint="eastAsia"/>
              </w:rPr>
              <w:t>HJ1301-2023</w:t>
            </w:r>
            <w:r>
              <w:t>)《排污单位自行监测技术指南</w:t>
            </w:r>
            <w:r>
              <w:rPr>
                <w:rFonts w:hint="eastAsia"/>
              </w:rPr>
              <w:t xml:space="preserve"> 砖瓦工业</w:t>
            </w:r>
            <w:r>
              <w:t>》(</w:t>
            </w:r>
            <w:r>
              <w:rPr>
                <w:rFonts w:hint="eastAsia"/>
                <w:bCs/>
              </w:rPr>
              <w:t>HJ 1254—2022</w:t>
            </w:r>
            <w:r>
              <w:t>)，</w:t>
            </w:r>
            <w:r>
              <w:rPr>
                <w:rFonts w:hint="eastAsia"/>
              </w:rPr>
              <w:t>本项目</w:t>
            </w:r>
            <w:r>
              <w:t>监测内容如下表所示</w:t>
            </w:r>
            <w:r>
              <w:rPr>
                <w:rFonts w:hint="eastAsia"/>
              </w:rPr>
              <w:t>。</w:t>
            </w:r>
          </w:p>
          <w:p w14:paraId="6FE35041">
            <w:pPr>
              <w:pStyle w:val="184"/>
              <w:snapToGrid w:val="0"/>
              <w:spacing w:line="480" w:lineRule="exact"/>
              <w:ind w:firstLine="0"/>
              <w:jc w:val="center"/>
              <w:rPr>
                <w:rFonts w:hint="eastAsia" w:ascii="黑体" w:hAnsi="黑体" w:eastAsia="黑体" w:cs="黑体"/>
              </w:rPr>
            </w:pPr>
            <w:r>
              <w:rPr>
                <w:rFonts w:hint="eastAsia" w:ascii="黑体" w:hAnsi="黑体" w:eastAsia="黑体" w:cs="黑体"/>
              </w:rPr>
              <w:t>表4-14  项目噪声环境监测计划一览表</w:t>
            </w:r>
          </w:p>
          <w:tbl>
            <w:tblPr>
              <w:tblStyle w:val="38"/>
              <w:tblW w:w="84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209"/>
              <w:gridCol w:w="1976"/>
              <w:gridCol w:w="1212"/>
              <w:gridCol w:w="3355"/>
            </w:tblGrid>
            <w:tr w14:paraId="1938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25" w:type="dxa"/>
                  <w:noWrap w:val="0"/>
                  <w:vAlign w:val="center"/>
                </w:tcPr>
                <w:p w14:paraId="1E85AE05">
                  <w:pPr>
                    <w:spacing w:line="320" w:lineRule="exact"/>
                    <w:jc w:val="center"/>
                    <w:rPr>
                      <w:bCs/>
                      <w:szCs w:val="21"/>
                    </w:rPr>
                  </w:pPr>
                  <w:r>
                    <w:rPr>
                      <w:bCs/>
                      <w:szCs w:val="21"/>
                    </w:rPr>
                    <w:t>类别</w:t>
                  </w:r>
                </w:p>
              </w:tc>
              <w:tc>
                <w:tcPr>
                  <w:tcW w:w="1209" w:type="dxa"/>
                  <w:noWrap w:val="0"/>
                  <w:vAlign w:val="center"/>
                </w:tcPr>
                <w:p w14:paraId="5D5DFB62">
                  <w:pPr>
                    <w:spacing w:line="320" w:lineRule="exact"/>
                    <w:jc w:val="center"/>
                    <w:rPr>
                      <w:bCs/>
                      <w:szCs w:val="21"/>
                    </w:rPr>
                  </w:pPr>
                  <w:r>
                    <w:rPr>
                      <w:bCs/>
                      <w:szCs w:val="21"/>
                    </w:rPr>
                    <w:t>监测点位</w:t>
                  </w:r>
                </w:p>
              </w:tc>
              <w:tc>
                <w:tcPr>
                  <w:tcW w:w="1976" w:type="dxa"/>
                  <w:noWrap w:val="0"/>
                  <w:vAlign w:val="center"/>
                </w:tcPr>
                <w:p w14:paraId="1404E8FC">
                  <w:pPr>
                    <w:spacing w:line="320" w:lineRule="exact"/>
                    <w:jc w:val="center"/>
                    <w:rPr>
                      <w:bCs/>
                      <w:szCs w:val="21"/>
                    </w:rPr>
                  </w:pPr>
                  <w:r>
                    <w:rPr>
                      <w:bCs/>
                      <w:szCs w:val="21"/>
                    </w:rPr>
                    <w:t>监测指标</w:t>
                  </w:r>
                </w:p>
              </w:tc>
              <w:tc>
                <w:tcPr>
                  <w:tcW w:w="1212" w:type="dxa"/>
                  <w:noWrap w:val="0"/>
                  <w:vAlign w:val="center"/>
                </w:tcPr>
                <w:p w14:paraId="619149D8">
                  <w:pPr>
                    <w:spacing w:line="320" w:lineRule="exact"/>
                    <w:jc w:val="center"/>
                    <w:rPr>
                      <w:bCs/>
                      <w:szCs w:val="21"/>
                    </w:rPr>
                  </w:pPr>
                  <w:r>
                    <w:rPr>
                      <w:bCs/>
                      <w:szCs w:val="21"/>
                    </w:rPr>
                    <w:t>监测频次</w:t>
                  </w:r>
                </w:p>
              </w:tc>
              <w:tc>
                <w:tcPr>
                  <w:tcW w:w="3355" w:type="dxa"/>
                  <w:noWrap w:val="0"/>
                  <w:vAlign w:val="center"/>
                </w:tcPr>
                <w:p w14:paraId="1EA4930B">
                  <w:pPr>
                    <w:spacing w:line="320" w:lineRule="exact"/>
                    <w:jc w:val="center"/>
                    <w:rPr>
                      <w:bCs/>
                      <w:szCs w:val="21"/>
                    </w:rPr>
                  </w:pPr>
                  <w:r>
                    <w:rPr>
                      <w:bCs/>
                      <w:szCs w:val="21"/>
                    </w:rPr>
                    <w:t>执行标准</w:t>
                  </w:r>
                </w:p>
              </w:tc>
            </w:tr>
            <w:tr w14:paraId="5123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25" w:type="dxa"/>
                  <w:noWrap w:val="0"/>
                  <w:vAlign w:val="center"/>
                </w:tcPr>
                <w:p w14:paraId="07503004">
                  <w:pPr>
                    <w:spacing w:line="320" w:lineRule="exact"/>
                    <w:jc w:val="center"/>
                    <w:rPr>
                      <w:bCs/>
                      <w:szCs w:val="21"/>
                    </w:rPr>
                  </w:pPr>
                  <w:r>
                    <w:rPr>
                      <w:bCs/>
                      <w:szCs w:val="21"/>
                    </w:rPr>
                    <w:t>噪声</w:t>
                  </w:r>
                </w:p>
              </w:tc>
              <w:tc>
                <w:tcPr>
                  <w:tcW w:w="1209" w:type="dxa"/>
                  <w:noWrap w:val="0"/>
                  <w:vAlign w:val="center"/>
                </w:tcPr>
                <w:p w14:paraId="039FA682">
                  <w:pPr>
                    <w:spacing w:line="320" w:lineRule="exact"/>
                    <w:jc w:val="center"/>
                    <w:rPr>
                      <w:bCs/>
                      <w:szCs w:val="21"/>
                    </w:rPr>
                  </w:pPr>
                  <w:r>
                    <w:rPr>
                      <w:bCs/>
                      <w:szCs w:val="21"/>
                    </w:rPr>
                    <w:t>厂界</w:t>
                  </w:r>
                </w:p>
              </w:tc>
              <w:tc>
                <w:tcPr>
                  <w:tcW w:w="1976" w:type="dxa"/>
                  <w:noWrap w:val="0"/>
                  <w:vAlign w:val="center"/>
                </w:tcPr>
                <w:p w14:paraId="546DF9A3">
                  <w:pPr>
                    <w:spacing w:line="320" w:lineRule="exact"/>
                    <w:jc w:val="center"/>
                    <w:rPr>
                      <w:bCs/>
                      <w:szCs w:val="21"/>
                    </w:rPr>
                  </w:pPr>
                  <w:r>
                    <w:rPr>
                      <w:bCs/>
                      <w:szCs w:val="21"/>
                    </w:rPr>
                    <w:t>等效连续A声级</w:t>
                  </w:r>
                </w:p>
              </w:tc>
              <w:tc>
                <w:tcPr>
                  <w:tcW w:w="1212" w:type="dxa"/>
                  <w:noWrap w:val="0"/>
                  <w:vAlign w:val="center"/>
                </w:tcPr>
                <w:p w14:paraId="640A55C8">
                  <w:pPr>
                    <w:spacing w:line="320" w:lineRule="exact"/>
                    <w:jc w:val="center"/>
                    <w:rPr>
                      <w:bCs/>
                      <w:szCs w:val="21"/>
                    </w:rPr>
                  </w:pPr>
                  <w:r>
                    <w:rPr>
                      <w:bCs/>
                      <w:szCs w:val="21"/>
                    </w:rPr>
                    <w:t>1次/季度</w:t>
                  </w:r>
                </w:p>
              </w:tc>
              <w:tc>
                <w:tcPr>
                  <w:tcW w:w="3355" w:type="dxa"/>
                  <w:noWrap w:val="0"/>
                  <w:vAlign w:val="center"/>
                </w:tcPr>
                <w:p w14:paraId="57A37B2C">
                  <w:pPr>
                    <w:spacing w:line="320" w:lineRule="exact"/>
                    <w:jc w:val="center"/>
                    <w:rPr>
                      <w:bCs/>
                      <w:szCs w:val="21"/>
                    </w:rPr>
                  </w:pPr>
                  <w:r>
                    <w:rPr>
                      <w:bCs/>
                      <w:szCs w:val="21"/>
                    </w:rPr>
                    <w:t>(GB12348-2008)</w:t>
                  </w:r>
                  <w:r>
                    <w:rPr>
                      <w:rFonts w:hint="eastAsia"/>
                      <w:bCs/>
                      <w:szCs w:val="21"/>
                    </w:rPr>
                    <w:t>2</w:t>
                  </w:r>
                  <w:r>
                    <w:rPr>
                      <w:bCs/>
                      <w:szCs w:val="21"/>
                    </w:rPr>
                    <w:t>类区标准</w:t>
                  </w:r>
                </w:p>
              </w:tc>
            </w:tr>
          </w:tbl>
          <w:p w14:paraId="52E4CC08">
            <w:pPr>
              <w:spacing w:line="440" w:lineRule="exact"/>
              <w:ind w:firstLine="482" w:firstLineChars="200"/>
              <w:rPr>
                <w:b/>
                <w:sz w:val="24"/>
              </w:rPr>
            </w:pPr>
          </w:p>
          <w:p w14:paraId="175649C6">
            <w:pPr>
              <w:spacing w:line="480" w:lineRule="exact"/>
              <w:ind w:firstLine="480" w:firstLineChars="200"/>
              <w:rPr>
                <w:rFonts w:hint="eastAsia" w:ascii="黑体" w:hAnsi="黑体" w:eastAsia="黑体" w:cs="黑体"/>
                <w:bCs/>
                <w:sz w:val="24"/>
              </w:rPr>
            </w:pPr>
            <w:r>
              <w:rPr>
                <w:rFonts w:hint="eastAsia" w:ascii="黑体" w:hAnsi="黑体" w:eastAsia="黑体" w:cs="黑体"/>
                <w:bCs/>
                <w:sz w:val="24"/>
              </w:rPr>
              <w:t>4、固体废物</w:t>
            </w:r>
          </w:p>
          <w:p w14:paraId="6A57A005">
            <w:pPr>
              <w:autoSpaceDE w:val="0"/>
              <w:autoSpaceDN w:val="0"/>
              <w:spacing w:line="480" w:lineRule="exact"/>
              <w:ind w:firstLine="480" w:firstLineChars="200"/>
              <w:rPr>
                <w:sz w:val="24"/>
              </w:rPr>
            </w:pPr>
            <w:r>
              <w:rPr>
                <w:rFonts w:hint="eastAsia"/>
                <w:sz w:val="24"/>
              </w:rPr>
              <w:t>项目生产过程中产生的固体废物主要为一般工业固体废物和生活垃圾。一般固体废物主要包括磁选废物、废布袋、布袋除尘器收集粉尘和脱硫除尘系统沉渣。</w:t>
            </w:r>
          </w:p>
          <w:p w14:paraId="6F5D68AA">
            <w:pPr>
              <w:spacing w:line="480" w:lineRule="exact"/>
              <w:ind w:firstLine="480" w:firstLineChars="200"/>
              <w:rPr>
                <w:sz w:val="24"/>
              </w:rPr>
            </w:pPr>
            <w:r>
              <w:rPr>
                <w:rFonts w:hint="eastAsia"/>
                <w:sz w:val="24"/>
              </w:rPr>
              <w:t>(1)一般工业固体废物</w:t>
            </w:r>
          </w:p>
          <w:p w14:paraId="22350BBB">
            <w:pPr>
              <w:autoSpaceDE w:val="0"/>
              <w:autoSpaceDN w:val="0"/>
              <w:spacing w:line="480" w:lineRule="exact"/>
              <w:ind w:firstLine="480" w:firstLineChars="200"/>
              <w:rPr>
                <w:sz w:val="24"/>
              </w:rPr>
            </w:pPr>
            <w:r>
              <w:rPr>
                <w:rFonts w:hint="eastAsia"/>
                <w:sz w:val="24"/>
              </w:rPr>
              <w:t>①磁选废物</w:t>
            </w:r>
          </w:p>
          <w:p w14:paraId="7E18C4B4">
            <w:pPr>
              <w:spacing w:line="480" w:lineRule="exact"/>
              <w:ind w:firstLine="480" w:firstLineChars="200"/>
              <w:rPr>
                <w:sz w:val="24"/>
              </w:rPr>
            </w:pPr>
            <w:r>
              <w:rPr>
                <w:rFonts w:hint="eastAsia"/>
                <w:sz w:val="24"/>
              </w:rPr>
              <w:t>利用磁铁对煤矸石进行除铁处理，根据建设单位提供资料，该部分金属物产生量较小，约为12t/a。统一收集后，暂存于厂区一般固体废物暂存场所，定期外售物资回收部门综合利用。</w:t>
            </w:r>
          </w:p>
          <w:p w14:paraId="4B1A4BCB">
            <w:pPr>
              <w:spacing w:line="480" w:lineRule="exact"/>
              <w:ind w:firstLine="480" w:firstLineChars="200"/>
              <w:rPr>
                <w:sz w:val="24"/>
              </w:rPr>
            </w:pPr>
            <w:r>
              <w:rPr>
                <w:rFonts w:hint="eastAsia"/>
                <w:sz w:val="24"/>
              </w:rPr>
              <w:t>②废布袋</w:t>
            </w:r>
          </w:p>
          <w:p w14:paraId="74BE75A2">
            <w:pPr>
              <w:autoSpaceDE w:val="0"/>
              <w:autoSpaceDN w:val="0"/>
              <w:spacing w:line="480" w:lineRule="exact"/>
              <w:ind w:firstLine="480" w:firstLineChars="200"/>
              <w:rPr>
                <w:sz w:val="24"/>
              </w:rPr>
            </w:pPr>
            <w:r>
              <w:rPr>
                <w:rFonts w:hint="eastAsia"/>
                <w:sz w:val="24"/>
              </w:rPr>
              <w:t>改扩建后，新增的打料废气布袋除尘设备中的布袋需定期更换，每半年更换一次，单次更换量为0.1t，则本项目每年更换布袋产生的废布袋为0.2t/a。统一收集后暂存于一般工业固体废物暂存间，后续外售综合利用。</w:t>
            </w:r>
          </w:p>
          <w:p w14:paraId="0E9EAE8B">
            <w:pPr>
              <w:autoSpaceDE w:val="0"/>
              <w:autoSpaceDN w:val="0"/>
              <w:spacing w:line="480" w:lineRule="exact"/>
              <w:ind w:firstLine="480" w:firstLineChars="200"/>
              <w:rPr>
                <w:rFonts w:hint="eastAsia"/>
                <w:sz w:val="24"/>
              </w:rPr>
            </w:pPr>
            <w:r>
              <w:rPr>
                <w:rFonts w:hint="eastAsia"/>
                <w:sz w:val="24"/>
              </w:rPr>
              <w:t>改扩建后，破碎筛分废气布袋除尘设备中的布袋需要增加更换频次，由每半年更换一次改为每季度更换一次，单次更换量为0.1t，则破碎筛分工序新增废布袋为0.2t/a。</w:t>
            </w:r>
          </w:p>
          <w:p w14:paraId="2287AC61">
            <w:pPr>
              <w:autoSpaceDE w:val="0"/>
              <w:autoSpaceDN w:val="0"/>
              <w:spacing w:line="480" w:lineRule="exact"/>
              <w:ind w:firstLine="480" w:firstLineChars="200"/>
              <w:rPr>
                <w:sz w:val="24"/>
              </w:rPr>
            </w:pPr>
            <w:r>
              <w:rPr>
                <w:rFonts w:hint="eastAsia"/>
                <w:sz w:val="24"/>
              </w:rPr>
              <w:t>③布袋除尘器收集的粉尘</w:t>
            </w:r>
          </w:p>
          <w:p w14:paraId="41B38234">
            <w:pPr>
              <w:autoSpaceDE w:val="0"/>
              <w:autoSpaceDN w:val="0"/>
              <w:spacing w:line="480" w:lineRule="exact"/>
              <w:ind w:firstLine="480" w:firstLineChars="200"/>
              <w:rPr>
                <w:sz w:val="24"/>
              </w:rPr>
            </w:pPr>
            <w:r>
              <w:rPr>
                <w:rFonts w:hint="eastAsia"/>
                <w:sz w:val="24"/>
              </w:rPr>
              <w:t>本项目布袋除尘器收集粉尘主要包括破碎筛分布袋除尘器收集粉尘和</w:t>
            </w:r>
            <w:r>
              <w:rPr>
                <w:rFonts w:hint="eastAsia"/>
                <w:sz w:val="24"/>
                <w:lang w:val="en-US" w:eastAsia="zh-CN"/>
              </w:rPr>
              <w:t>上</w:t>
            </w:r>
            <w:r>
              <w:rPr>
                <w:rFonts w:hint="eastAsia"/>
                <w:sz w:val="24"/>
              </w:rPr>
              <w:t>料工序布袋除尘器收集粉尘，扩建项目新增粉尘量</w:t>
            </w:r>
            <w:r>
              <w:rPr>
                <w:rFonts w:hint="eastAsia"/>
                <w:sz w:val="24"/>
                <w:lang w:val="en-US" w:eastAsia="zh-CN"/>
              </w:rPr>
              <w:t>约</w:t>
            </w:r>
            <w:r>
              <w:rPr>
                <w:rFonts w:hint="eastAsia"/>
                <w:sz w:val="24"/>
              </w:rPr>
              <w:t>为</w:t>
            </w:r>
            <w:r>
              <w:rPr>
                <w:rFonts w:hint="eastAsia"/>
                <w:sz w:val="24"/>
                <w:lang w:val="en-US" w:eastAsia="zh-CN"/>
              </w:rPr>
              <w:t>23</w:t>
            </w:r>
            <w:r>
              <w:rPr>
                <w:rFonts w:hint="eastAsia"/>
                <w:sz w:val="24"/>
              </w:rPr>
              <w:t>t/a，收集后回用于生产。</w:t>
            </w:r>
          </w:p>
          <w:p w14:paraId="5C070588">
            <w:pPr>
              <w:autoSpaceDE w:val="0"/>
              <w:autoSpaceDN w:val="0"/>
              <w:spacing w:line="480" w:lineRule="exact"/>
              <w:ind w:firstLine="480" w:firstLineChars="200"/>
              <w:rPr>
                <w:sz w:val="24"/>
              </w:rPr>
            </w:pPr>
            <w:r>
              <w:rPr>
                <w:rFonts w:hint="eastAsia"/>
                <w:sz w:val="24"/>
              </w:rPr>
              <w:t>④脱硫系统沉渣</w:t>
            </w:r>
          </w:p>
          <w:p w14:paraId="40F63491">
            <w:pPr>
              <w:spacing w:line="480" w:lineRule="exact"/>
              <w:ind w:firstLine="480" w:firstLineChars="200"/>
              <w:rPr>
                <w:rFonts w:hint="eastAsia"/>
                <w:bCs/>
                <w:sz w:val="24"/>
              </w:rPr>
            </w:pPr>
            <w:r>
              <w:rPr>
                <w:rFonts w:hint="eastAsia"/>
                <w:bCs/>
                <w:sz w:val="24"/>
              </w:rPr>
              <w:t>项目使用脱硫液脱硫，脱硫后废气进入喷淋塔喷淋，喷淋废水进入沉淀池沉淀；脱硫除尘过程沉淀物在沉淀池内沉淀。根据企业现有运行数据，脱硫系统沉渣新增产生量约</w:t>
            </w:r>
            <w:r>
              <w:rPr>
                <w:rFonts w:hint="eastAsia"/>
                <w:bCs/>
                <w:sz w:val="24"/>
                <w:lang w:val="en-US" w:eastAsia="zh-CN"/>
              </w:rPr>
              <w:t>8</w:t>
            </w:r>
            <w:r>
              <w:rPr>
                <w:rFonts w:hint="eastAsia"/>
                <w:bCs/>
                <w:sz w:val="24"/>
              </w:rPr>
              <w:t>00t/a，收集后回用于生产。</w:t>
            </w:r>
          </w:p>
          <w:p w14:paraId="0E20C611">
            <w:pPr>
              <w:autoSpaceDE w:val="0"/>
              <w:autoSpaceDN w:val="0"/>
              <w:spacing w:line="480" w:lineRule="exact"/>
              <w:ind w:firstLine="480" w:firstLineChars="200"/>
              <w:rPr>
                <w:rFonts w:hint="eastAsia"/>
                <w:sz w:val="24"/>
              </w:rPr>
            </w:pPr>
            <w:r>
              <w:rPr>
                <w:rFonts w:hint="eastAsia"/>
                <w:sz w:val="24"/>
              </w:rPr>
              <w:t>⑤湿电除尘系统沉渣</w:t>
            </w:r>
          </w:p>
          <w:p w14:paraId="6D32F5F6">
            <w:pPr>
              <w:spacing w:line="480" w:lineRule="exact"/>
              <w:ind w:firstLine="480" w:firstLineChars="200"/>
              <w:rPr>
                <w:rFonts w:hint="eastAsia"/>
                <w:bCs/>
                <w:sz w:val="24"/>
              </w:rPr>
            </w:pPr>
            <w:r>
              <w:rPr>
                <w:bCs/>
                <w:sz w:val="24"/>
              </w:rPr>
              <w:t>项目使用湿电除尘器除尘，湿电除尘器需要定期冲洗，冲洗废水进入沉淀池沉淀，</w:t>
            </w:r>
            <w:r>
              <w:rPr>
                <w:rFonts w:hint="eastAsia"/>
                <w:bCs/>
                <w:sz w:val="24"/>
              </w:rPr>
              <w:t>根据企业现有运行数据，湿电除尘系统沉渣新增产生量约为</w:t>
            </w:r>
            <w:r>
              <w:rPr>
                <w:rFonts w:hint="eastAsia"/>
                <w:bCs/>
                <w:sz w:val="24"/>
                <w:lang w:val="en-US" w:eastAsia="zh-CN"/>
              </w:rPr>
              <w:t>50</w:t>
            </w:r>
            <w:r>
              <w:rPr>
                <w:rFonts w:hint="eastAsia"/>
                <w:bCs/>
                <w:sz w:val="24"/>
              </w:rPr>
              <w:t>t/a，收集后回用于生产。</w:t>
            </w:r>
          </w:p>
          <w:p w14:paraId="3A777551">
            <w:pPr>
              <w:spacing w:line="480" w:lineRule="exact"/>
              <w:ind w:firstLine="480" w:firstLineChars="200"/>
              <w:rPr>
                <w:bCs/>
                <w:sz w:val="24"/>
              </w:rPr>
            </w:pPr>
            <w:r>
              <w:rPr>
                <w:bCs/>
                <w:sz w:val="24"/>
              </w:rPr>
              <w:t>(</w:t>
            </w:r>
            <w:r>
              <w:rPr>
                <w:rFonts w:hint="eastAsia"/>
                <w:bCs/>
                <w:sz w:val="24"/>
              </w:rPr>
              <w:t>2</w:t>
            </w:r>
            <w:r>
              <w:rPr>
                <w:bCs/>
                <w:sz w:val="24"/>
              </w:rPr>
              <w:t>)危险废物</w:t>
            </w:r>
          </w:p>
          <w:p w14:paraId="580AEA95">
            <w:pPr>
              <w:spacing w:line="480" w:lineRule="exact"/>
              <w:ind w:firstLine="480" w:firstLineChars="200"/>
              <w:rPr>
                <w:rFonts w:hint="eastAsia"/>
                <w:sz w:val="24"/>
              </w:rPr>
            </w:pPr>
            <w:r>
              <w:rPr>
                <w:rFonts w:hint="eastAsia"/>
                <w:sz w:val="24"/>
              </w:rPr>
              <w:t>①废机油</w:t>
            </w:r>
          </w:p>
          <w:p w14:paraId="558D62E8">
            <w:pPr>
              <w:spacing w:line="480" w:lineRule="exact"/>
              <w:ind w:firstLine="480" w:firstLineChars="200"/>
              <w:rPr>
                <w:sz w:val="24"/>
              </w:rPr>
            </w:pPr>
            <w:r>
              <w:rPr>
                <w:rFonts w:hint="eastAsia"/>
                <w:sz w:val="24"/>
              </w:rPr>
              <w:t>项目机械设备在维修保养过程中将产生少量的废机油，本次扩建项目新增机油使用量为0.1t/a，根据企业运行数据，废机油产生量约0.05t/a。根据生态环境部颁布的《国家危险废物名录(2025年版)》，机械设备维修保养过程中更换的废机油属于危险废物，废物类别：HW08，废物代码为900-214-08，</w:t>
            </w:r>
            <w:r>
              <w:rPr>
                <w:sz w:val="24"/>
              </w:rPr>
              <w:t>要求企业妥善收集暂存于危废库后委托有相应资质的单位安全处置，不得随意丢弃、倾倒。</w:t>
            </w:r>
            <w:r>
              <w:rPr>
                <w:rFonts w:hint="eastAsia"/>
                <w:sz w:val="24"/>
              </w:rPr>
              <w:t xml:space="preserve"> </w:t>
            </w:r>
          </w:p>
          <w:p w14:paraId="61EAF56F">
            <w:pPr>
              <w:spacing w:line="480" w:lineRule="exact"/>
              <w:ind w:firstLine="480" w:firstLineChars="200"/>
              <w:rPr>
                <w:sz w:val="24"/>
              </w:rPr>
            </w:pPr>
            <w:r>
              <w:rPr>
                <w:rFonts w:hint="eastAsia"/>
                <w:sz w:val="24"/>
              </w:rPr>
              <w:t>②</w:t>
            </w:r>
            <w:r>
              <w:rPr>
                <w:sz w:val="24"/>
              </w:rPr>
              <w:t>废机油桶</w:t>
            </w:r>
          </w:p>
          <w:p w14:paraId="6E188D91">
            <w:pPr>
              <w:spacing w:line="480" w:lineRule="exact"/>
              <w:ind w:firstLine="480" w:firstLineChars="200"/>
              <w:rPr>
                <w:sz w:val="24"/>
              </w:rPr>
            </w:pPr>
            <w:r>
              <w:rPr>
                <w:sz w:val="24"/>
              </w:rPr>
              <w:t>本项目机油使用桶装，</w:t>
            </w:r>
            <w:r>
              <w:rPr>
                <w:rFonts w:hint="eastAsia"/>
                <w:sz w:val="24"/>
              </w:rPr>
              <w:t>机油使用后产生废机油桶，废机油桶产生量约</w:t>
            </w:r>
            <w:r>
              <w:rPr>
                <w:sz w:val="24"/>
              </w:rPr>
              <w:t>0.0</w:t>
            </w:r>
            <w:r>
              <w:rPr>
                <w:rFonts w:hint="eastAsia"/>
                <w:sz w:val="24"/>
              </w:rPr>
              <w:t>1</w:t>
            </w:r>
            <w:r>
              <w:rPr>
                <w:sz w:val="24"/>
              </w:rPr>
              <w:t>t/a，其为</w:t>
            </w:r>
            <w:r>
              <w:rPr>
                <w:rFonts w:hint="eastAsia"/>
                <w:sz w:val="24"/>
              </w:rPr>
              <w:t>危险废物，代码为</w:t>
            </w:r>
            <w:r>
              <w:rPr>
                <w:sz w:val="24"/>
              </w:rPr>
              <w:t>HW08，900-249-08，位于厂区危废临时暂存场所暂存，委托</w:t>
            </w:r>
            <w:r>
              <w:rPr>
                <w:rFonts w:hint="eastAsia"/>
                <w:sz w:val="24"/>
              </w:rPr>
              <w:t>有资质</w:t>
            </w:r>
            <w:r>
              <w:rPr>
                <w:sz w:val="24"/>
              </w:rPr>
              <w:t>单位</w:t>
            </w:r>
            <w:r>
              <w:rPr>
                <w:rFonts w:hint="eastAsia"/>
                <w:sz w:val="24"/>
              </w:rPr>
              <w:t>定期清运处置</w:t>
            </w:r>
          </w:p>
          <w:p w14:paraId="5BC35C68">
            <w:pPr>
              <w:spacing w:line="480" w:lineRule="exact"/>
              <w:ind w:firstLine="480" w:firstLineChars="200"/>
              <w:jc w:val="center"/>
              <w:rPr>
                <w:rFonts w:hAnsi="黑体" w:eastAsia="黑体"/>
                <w:bCs/>
                <w:sz w:val="24"/>
              </w:rPr>
            </w:pPr>
          </w:p>
          <w:p w14:paraId="4D3A1637">
            <w:pPr>
              <w:spacing w:line="480" w:lineRule="exact"/>
              <w:ind w:firstLine="480" w:firstLineChars="200"/>
              <w:jc w:val="center"/>
              <w:rPr>
                <w:rFonts w:hint="eastAsia" w:ascii="黑体" w:hAnsi="黑体" w:eastAsia="黑体" w:cs="黑体"/>
                <w:bCs/>
                <w:sz w:val="24"/>
              </w:rPr>
            </w:pPr>
            <w:r>
              <w:rPr>
                <w:rFonts w:hint="eastAsia" w:ascii="黑体" w:hAnsi="黑体" w:eastAsia="黑体" w:cs="黑体"/>
                <w:bCs/>
                <w:sz w:val="24"/>
              </w:rPr>
              <w:t>表4-15  项目危险废物汇总表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172"/>
              <w:gridCol w:w="1312"/>
              <w:gridCol w:w="1482"/>
              <w:gridCol w:w="1324"/>
              <w:gridCol w:w="2580"/>
            </w:tblGrid>
            <w:tr w14:paraId="4D39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8" w:type="pct"/>
                  <w:noWrap w:val="0"/>
                  <w:vAlign w:val="center"/>
                </w:tcPr>
                <w:p w14:paraId="270F5295">
                  <w:pPr>
                    <w:topLinePunct/>
                    <w:spacing w:line="276" w:lineRule="auto"/>
                    <w:jc w:val="center"/>
                    <w:rPr>
                      <w:bCs/>
                      <w:szCs w:val="21"/>
                    </w:rPr>
                  </w:pPr>
                  <w:r>
                    <w:rPr>
                      <w:bCs/>
                      <w:szCs w:val="21"/>
                    </w:rPr>
                    <w:t>序号</w:t>
                  </w:r>
                </w:p>
              </w:tc>
              <w:tc>
                <w:tcPr>
                  <w:tcW w:w="691" w:type="pct"/>
                  <w:noWrap w:val="0"/>
                  <w:vAlign w:val="center"/>
                </w:tcPr>
                <w:p w14:paraId="7984FD02">
                  <w:pPr>
                    <w:topLinePunct/>
                    <w:spacing w:line="276" w:lineRule="auto"/>
                    <w:jc w:val="center"/>
                    <w:rPr>
                      <w:bCs/>
                      <w:szCs w:val="21"/>
                    </w:rPr>
                  </w:pPr>
                  <w:r>
                    <w:rPr>
                      <w:bCs/>
                      <w:szCs w:val="21"/>
                    </w:rPr>
                    <w:t>危险废物名称</w:t>
                  </w:r>
                </w:p>
              </w:tc>
              <w:tc>
                <w:tcPr>
                  <w:tcW w:w="774" w:type="pct"/>
                  <w:noWrap w:val="0"/>
                  <w:vAlign w:val="center"/>
                </w:tcPr>
                <w:p w14:paraId="4BE47B24">
                  <w:pPr>
                    <w:topLinePunct/>
                    <w:spacing w:line="276" w:lineRule="auto"/>
                    <w:jc w:val="center"/>
                    <w:rPr>
                      <w:bCs/>
                      <w:szCs w:val="21"/>
                    </w:rPr>
                  </w:pPr>
                  <w:r>
                    <w:rPr>
                      <w:bCs/>
                      <w:szCs w:val="21"/>
                    </w:rPr>
                    <w:t>危险废物类别</w:t>
                  </w:r>
                </w:p>
              </w:tc>
              <w:tc>
                <w:tcPr>
                  <w:tcW w:w="874" w:type="pct"/>
                  <w:noWrap w:val="0"/>
                  <w:vAlign w:val="center"/>
                </w:tcPr>
                <w:p w14:paraId="15399AE8">
                  <w:pPr>
                    <w:topLinePunct/>
                    <w:spacing w:line="276" w:lineRule="auto"/>
                    <w:jc w:val="center"/>
                    <w:rPr>
                      <w:bCs/>
                      <w:szCs w:val="21"/>
                    </w:rPr>
                  </w:pPr>
                  <w:r>
                    <w:rPr>
                      <w:bCs/>
                      <w:szCs w:val="21"/>
                    </w:rPr>
                    <w:t>危险废物代码</w:t>
                  </w:r>
                </w:p>
              </w:tc>
              <w:tc>
                <w:tcPr>
                  <w:tcW w:w="781" w:type="pct"/>
                  <w:noWrap w:val="0"/>
                  <w:vAlign w:val="center"/>
                </w:tcPr>
                <w:p w14:paraId="5DA0DD32">
                  <w:pPr>
                    <w:topLinePunct/>
                    <w:spacing w:line="276" w:lineRule="auto"/>
                    <w:jc w:val="center"/>
                    <w:rPr>
                      <w:bCs/>
                      <w:szCs w:val="21"/>
                    </w:rPr>
                  </w:pPr>
                  <w:r>
                    <w:rPr>
                      <w:bCs/>
                      <w:szCs w:val="21"/>
                    </w:rPr>
                    <w:t>产生量(t/a)</w:t>
                  </w:r>
                </w:p>
              </w:tc>
              <w:tc>
                <w:tcPr>
                  <w:tcW w:w="1522" w:type="pct"/>
                  <w:noWrap w:val="0"/>
                  <w:vAlign w:val="center"/>
                </w:tcPr>
                <w:p w14:paraId="3B207C0B">
                  <w:pPr>
                    <w:topLinePunct/>
                    <w:spacing w:line="276" w:lineRule="auto"/>
                    <w:jc w:val="center"/>
                    <w:rPr>
                      <w:bCs/>
                      <w:szCs w:val="21"/>
                    </w:rPr>
                  </w:pPr>
                  <w:r>
                    <w:rPr>
                      <w:bCs/>
                      <w:szCs w:val="21"/>
                    </w:rPr>
                    <w:t>污染防治措施</w:t>
                  </w:r>
                </w:p>
              </w:tc>
            </w:tr>
            <w:tr w14:paraId="793B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58" w:type="pct"/>
                  <w:noWrap w:val="0"/>
                  <w:vAlign w:val="center"/>
                </w:tcPr>
                <w:p w14:paraId="7B538724">
                  <w:pPr>
                    <w:topLinePunct/>
                    <w:spacing w:line="276" w:lineRule="auto"/>
                    <w:jc w:val="center"/>
                    <w:rPr>
                      <w:bCs/>
                      <w:szCs w:val="21"/>
                    </w:rPr>
                  </w:pPr>
                  <w:r>
                    <w:rPr>
                      <w:rFonts w:hint="eastAsia"/>
                      <w:bCs/>
                      <w:szCs w:val="21"/>
                    </w:rPr>
                    <w:t>1</w:t>
                  </w:r>
                </w:p>
              </w:tc>
              <w:tc>
                <w:tcPr>
                  <w:tcW w:w="691" w:type="pct"/>
                  <w:noWrap w:val="0"/>
                  <w:vAlign w:val="center"/>
                </w:tcPr>
                <w:p w14:paraId="7F132012">
                  <w:pPr>
                    <w:autoSpaceDE w:val="0"/>
                    <w:autoSpaceDN w:val="0"/>
                    <w:spacing w:line="276" w:lineRule="auto"/>
                    <w:jc w:val="center"/>
                    <w:rPr>
                      <w:bCs/>
                      <w:szCs w:val="21"/>
                    </w:rPr>
                  </w:pPr>
                  <w:r>
                    <w:rPr>
                      <w:bCs/>
                      <w:szCs w:val="21"/>
                    </w:rPr>
                    <w:t>废</w:t>
                  </w:r>
                  <w:r>
                    <w:rPr>
                      <w:rFonts w:hint="eastAsia"/>
                      <w:bCs/>
                      <w:szCs w:val="21"/>
                    </w:rPr>
                    <w:t>机油</w:t>
                  </w:r>
                </w:p>
              </w:tc>
              <w:tc>
                <w:tcPr>
                  <w:tcW w:w="774" w:type="pct"/>
                  <w:noWrap w:val="0"/>
                  <w:vAlign w:val="center"/>
                </w:tcPr>
                <w:p w14:paraId="6BBFE641">
                  <w:pPr>
                    <w:autoSpaceDE w:val="0"/>
                    <w:autoSpaceDN w:val="0"/>
                    <w:spacing w:line="276" w:lineRule="auto"/>
                    <w:jc w:val="center"/>
                    <w:rPr>
                      <w:bCs/>
                      <w:szCs w:val="21"/>
                    </w:rPr>
                  </w:pPr>
                  <w:r>
                    <w:rPr>
                      <w:bCs/>
                      <w:szCs w:val="21"/>
                    </w:rPr>
                    <w:t>HW</w:t>
                  </w:r>
                  <w:r>
                    <w:rPr>
                      <w:rFonts w:hint="eastAsia"/>
                      <w:bCs/>
                      <w:szCs w:val="21"/>
                    </w:rPr>
                    <w:t>08</w:t>
                  </w:r>
                </w:p>
              </w:tc>
              <w:tc>
                <w:tcPr>
                  <w:tcW w:w="874" w:type="pct"/>
                  <w:noWrap w:val="0"/>
                  <w:vAlign w:val="center"/>
                </w:tcPr>
                <w:p w14:paraId="642EA401">
                  <w:pPr>
                    <w:autoSpaceDE w:val="0"/>
                    <w:autoSpaceDN w:val="0"/>
                    <w:spacing w:line="276" w:lineRule="auto"/>
                    <w:jc w:val="center"/>
                    <w:rPr>
                      <w:bCs/>
                      <w:szCs w:val="21"/>
                    </w:rPr>
                  </w:pPr>
                  <w:r>
                    <w:rPr>
                      <w:bCs/>
                      <w:szCs w:val="21"/>
                    </w:rPr>
                    <w:t>900-</w:t>
                  </w:r>
                  <w:r>
                    <w:rPr>
                      <w:rFonts w:hint="eastAsia"/>
                      <w:bCs/>
                      <w:szCs w:val="21"/>
                    </w:rPr>
                    <w:t>214</w:t>
                  </w:r>
                  <w:r>
                    <w:rPr>
                      <w:bCs/>
                      <w:szCs w:val="21"/>
                    </w:rPr>
                    <w:t>-</w:t>
                  </w:r>
                  <w:r>
                    <w:rPr>
                      <w:rFonts w:hint="eastAsia"/>
                      <w:bCs/>
                      <w:szCs w:val="21"/>
                    </w:rPr>
                    <w:t>08</w:t>
                  </w:r>
                </w:p>
              </w:tc>
              <w:tc>
                <w:tcPr>
                  <w:tcW w:w="781" w:type="pct"/>
                  <w:noWrap w:val="0"/>
                  <w:vAlign w:val="center"/>
                </w:tcPr>
                <w:p w14:paraId="55CE3768">
                  <w:pPr>
                    <w:topLinePunct/>
                    <w:spacing w:line="276" w:lineRule="auto"/>
                    <w:jc w:val="center"/>
                    <w:rPr>
                      <w:rFonts w:hint="eastAsia"/>
                      <w:bCs/>
                      <w:szCs w:val="21"/>
                    </w:rPr>
                  </w:pPr>
                  <w:r>
                    <w:rPr>
                      <w:rFonts w:hint="eastAsia"/>
                      <w:bCs/>
                      <w:szCs w:val="21"/>
                    </w:rPr>
                    <w:t>0.1</w:t>
                  </w:r>
                </w:p>
              </w:tc>
              <w:tc>
                <w:tcPr>
                  <w:tcW w:w="1522" w:type="pct"/>
                  <w:vMerge w:val="restart"/>
                  <w:noWrap w:val="0"/>
                  <w:vAlign w:val="center"/>
                </w:tcPr>
                <w:p w14:paraId="2AECFF22">
                  <w:pPr>
                    <w:topLinePunct/>
                    <w:spacing w:line="276" w:lineRule="auto"/>
                    <w:jc w:val="center"/>
                    <w:rPr>
                      <w:bCs/>
                      <w:szCs w:val="21"/>
                    </w:rPr>
                  </w:pPr>
                  <w:r>
                    <w:rPr>
                      <w:bCs/>
                      <w:szCs w:val="21"/>
                    </w:rPr>
                    <w:t>暂存于厂区危险废物暂存间，交由有资质的单位处理</w:t>
                  </w:r>
                </w:p>
              </w:tc>
            </w:tr>
            <w:tr w14:paraId="5A4B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8" w:type="pct"/>
                  <w:noWrap w:val="0"/>
                  <w:vAlign w:val="center"/>
                </w:tcPr>
                <w:p w14:paraId="7AA825EC">
                  <w:pPr>
                    <w:topLinePunct/>
                    <w:spacing w:line="276" w:lineRule="auto"/>
                    <w:jc w:val="center"/>
                    <w:rPr>
                      <w:bCs/>
                      <w:szCs w:val="21"/>
                    </w:rPr>
                  </w:pPr>
                  <w:r>
                    <w:rPr>
                      <w:rFonts w:hint="eastAsia"/>
                      <w:bCs/>
                      <w:szCs w:val="21"/>
                    </w:rPr>
                    <w:t>2</w:t>
                  </w:r>
                </w:p>
              </w:tc>
              <w:tc>
                <w:tcPr>
                  <w:tcW w:w="691" w:type="pct"/>
                  <w:noWrap w:val="0"/>
                  <w:vAlign w:val="center"/>
                </w:tcPr>
                <w:p w14:paraId="22E69946">
                  <w:pPr>
                    <w:autoSpaceDE w:val="0"/>
                    <w:autoSpaceDN w:val="0"/>
                    <w:spacing w:line="276" w:lineRule="auto"/>
                    <w:jc w:val="center"/>
                    <w:rPr>
                      <w:bCs/>
                      <w:szCs w:val="21"/>
                    </w:rPr>
                  </w:pPr>
                  <w:r>
                    <w:rPr>
                      <w:bCs/>
                      <w:szCs w:val="21"/>
                    </w:rPr>
                    <w:t>废机油桶</w:t>
                  </w:r>
                </w:p>
              </w:tc>
              <w:tc>
                <w:tcPr>
                  <w:tcW w:w="774" w:type="pct"/>
                  <w:noWrap w:val="0"/>
                  <w:vAlign w:val="center"/>
                </w:tcPr>
                <w:p w14:paraId="08487559">
                  <w:pPr>
                    <w:autoSpaceDE w:val="0"/>
                    <w:autoSpaceDN w:val="0"/>
                    <w:spacing w:line="276" w:lineRule="auto"/>
                    <w:jc w:val="center"/>
                    <w:rPr>
                      <w:bCs/>
                      <w:szCs w:val="21"/>
                    </w:rPr>
                  </w:pPr>
                  <w:r>
                    <w:rPr>
                      <w:bCs/>
                      <w:szCs w:val="21"/>
                    </w:rPr>
                    <w:t>HW</w:t>
                  </w:r>
                  <w:r>
                    <w:rPr>
                      <w:rFonts w:hint="eastAsia"/>
                      <w:bCs/>
                      <w:szCs w:val="21"/>
                    </w:rPr>
                    <w:t>08</w:t>
                  </w:r>
                </w:p>
              </w:tc>
              <w:tc>
                <w:tcPr>
                  <w:tcW w:w="874" w:type="pct"/>
                  <w:noWrap w:val="0"/>
                  <w:vAlign w:val="center"/>
                </w:tcPr>
                <w:p w14:paraId="64CDC746">
                  <w:pPr>
                    <w:autoSpaceDE w:val="0"/>
                    <w:autoSpaceDN w:val="0"/>
                    <w:spacing w:line="276" w:lineRule="auto"/>
                    <w:jc w:val="center"/>
                    <w:rPr>
                      <w:bCs/>
                      <w:szCs w:val="21"/>
                    </w:rPr>
                  </w:pPr>
                  <w:r>
                    <w:rPr>
                      <w:rFonts w:hint="eastAsia"/>
                      <w:bCs/>
                      <w:szCs w:val="21"/>
                    </w:rPr>
                    <w:t>900-249-08</w:t>
                  </w:r>
                </w:p>
              </w:tc>
              <w:tc>
                <w:tcPr>
                  <w:tcW w:w="781" w:type="pct"/>
                  <w:noWrap w:val="0"/>
                  <w:vAlign w:val="center"/>
                </w:tcPr>
                <w:p w14:paraId="6AC05CBB">
                  <w:pPr>
                    <w:topLinePunct/>
                    <w:spacing w:line="276" w:lineRule="auto"/>
                    <w:jc w:val="center"/>
                    <w:rPr>
                      <w:rFonts w:hint="eastAsia"/>
                      <w:bCs/>
                      <w:szCs w:val="21"/>
                    </w:rPr>
                  </w:pPr>
                  <w:r>
                    <w:rPr>
                      <w:rFonts w:hint="eastAsia"/>
                      <w:bCs/>
                      <w:szCs w:val="21"/>
                    </w:rPr>
                    <w:t>0.01</w:t>
                  </w:r>
                </w:p>
              </w:tc>
              <w:tc>
                <w:tcPr>
                  <w:tcW w:w="1522" w:type="pct"/>
                  <w:vMerge w:val="continue"/>
                  <w:noWrap w:val="0"/>
                  <w:vAlign w:val="center"/>
                </w:tcPr>
                <w:p w14:paraId="4A6888CC">
                  <w:pPr>
                    <w:topLinePunct/>
                    <w:spacing w:line="276" w:lineRule="auto"/>
                    <w:jc w:val="center"/>
                    <w:rPr>
                      <w:bCs/>
                      <w:szCs w:val="21"/>
                    </w:rPr>
                  </w:pPr>
                </w:p>
              </w:tc>
            </w:tr>
          </w:tbl>
          <w:p w14:paraId="14CD8F9C">
            <w:pPr>
              <w:autoSpaceDE w:val="0"/>
              <w:autoSpaceDN w:val="0"/>
              <w:spacing w:line="480" w:lineRule="exact"/>
              <w:jc w:val="center"/>
              <w:rPr>
                <w:rFonts w:hint="eastAsia" w:ascii="黑体" w:hAnsi="黑体" w:eastAsia="黑体"/>
                <w:bCs/>
                <w:sz w:val="24"/>
              </w:rPr>
            </w:pPr>
          </w:p>
          <w:p w14:paraId="30DBCFB6">
            <w:pPr>
              <w:autoSpaceDE w:val="0"/>
              <w:autoSpaceDN w:val="0"/>
              <w:spacing w:line="480" w:lineRule="exact"/>
              <w:jc w:val="center"/>
              <w:rPr>
                <w:rFonts w:hint="eastAsia" w:ascii="黑体" w:hAnsi="黑体" w:eastAsia="黑体" w:cs="黑体"/>
                <w:bCs/>
                <w:sz w:val="24"/>
              </w:rPr>
            </w:pPr>
            <w:r>
              <w:rPr>
                <w:rFonts w:hint="eastAsia" w:ascii="黑体" w:hAnsi="黑体" w:eastAsia="黑体" w:cs="黑体"/>
                <w:bCs/>
                <w:sz w:val="24"/>
              </w:rPr>
              <w:t>表4-16  本项目固体废物源强及处理处置情况</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094"/>
              <w:gridCol w:w="1633"/>
              <w:gridCol w:w="906"/>
              <w:gridCol w:w="854"/>
              <w:gridCol w:w="523"/>
              <w:gridCol w:w="815"/>
              <w:gridCol w:w="808"/>
              <w:gridCol w:w="1324"/>
            </w:tblGrid>
            <w:tr w14:paraId="39DC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141172B6">
                  <w:pPr>
                    <w:pStyle w:val="141"/>
                    <w:spacing w:line="320" w:lineRule="atLeast"/>
                    <w:rPr>
                      <w:rFonts w:ascii="Times New Roman" w:eastAsia="宋体"/>
                      <w:bCs/>
                      <w:szCs w:val="21"/>
                    </w:rPr>
                  </w:pPr>
                  <w:r>
                    <w:rPr>
                      <w:rFonts w:ascii="Times New Roman" w:eastAsia="宋体"/>
                      <w:bCs/>
                      <w:szCs w:val="21"/>
                    </w:rPr>
                    <w:t>序号</w:t>
                  </w:r>
                </w:p>
              </w:tc>
              <w:tc>
                <w:tcPr>
                  <w:tcW w:w="645" w:type="pct"/>
                  <w:noWrap w:val="0"/>
                  <w:vAlign w:val="center"/>
                </w:tcPr>
                <w:p w14:paraId="6C799B7D">
                  <w:pPr>
                    <w:pStyle w:val="141"/>
                    <w:spacing w:line="320" w:lineRule="atLeast"/>
                    <w:rPr>
                      <w:rFonts w:ascii="Times New Roman" w:eastAsia="宋体"/>
                      <w:bCs/>
                      <w:szCs w:val="21"/>
                    </w:rPr>
                  </w:pPr>
                  <w:r>
                    <w:rPr>
                      <w:rFonts w:ascii="Times New Roman" w:eastAsia="宋体"/>
                      <w:bCs/>
                      <w:szCs w:val="21"/>
                    </w:rPr>
                    <w:t>类别</w:t>
                  </w:r>
                </w:p>
              </w:tc>
              <w:tc>
                <w:tcPr>
                  <w:tcW w:w="962" w:type="pct"/>
                  <w:noWrap w:val="0"/>
                  <w:vAlign w:val="center"/>
                </w:tcPr>
                <w:p w14:paraId="40BAB0BF">
                  <w:pPr>
                    <w:pStyle w:val="141"/>
                    <w:spacing w:line="320" w:lineRule="atLeast"/>
                    <w:rPr>
                      <w:rFonts w:ascii="Times New Roman" w:eastAsia="宋体"/>
                      <w:bCs/>
                      <w:szCs w:val="21"/>
                    </w:rPr>
                  </w:pPr>
                  <w:r>
                    <w:rPr>
                      <w:rFonts w:ascii="Times New Roman" w:eastAsia="宋体"/>
                      <w:bCs/>
                      <w:szCs w:val="21"/>
                    </w:rPr>
                    <w:t>固废</w:t>
                  </w:r>
                </w:p>
                <w:p w14:paraId="617ADF52">
                  <w:pPr>
                    <w:pStyle w:val="141"/>
                    <w:spacing w:line="320" w:lineRule="atLeast"/>
                    <w:rPr>
                      <w:rFonts w:ascii="Times New Roman" w:eastAsia="宋体"/>
                      <w:bCs/>
                      <w:szCs w:val="21"/>
                    </w:rPr>
                  </w:pPr>
                  <w:r>
                    <w:rPr>
                      <w:rFonts w:ascii="Times New Roman" w:eastAsia="宋体"/>
                      <w:bCs/>
                      <w:szCs w:val="21"/>
                    </w:rPr>
                    <w:t>代码</w:t>
                  </w:r>
                </w:p>
              </w:tc>
              <w:tc>
                <w:tcPr>
                  <w:tcW w:w="534" w:type="pct"/>
                  <w:noWrap w:val="0"/>
                  <w:vAlign w:val="center"/>
                </w:tcPr>
                <w:p w14:paraId="46174A90">
                  <w:pPr>
                    <w:pStyle w:val="141"/>
                    <w:spacing w:line="320" w:lineRule="atLeast"/>
                    <w:rPr>
                      <w:rFonts w:ascii="Times New Roman" w:eastAsia="宋体"/>
                      <w:bCs/>
                      <w:szCs w:val="21"/>
                    </w:rPr>
                  </w:pPr>
                  <w:r>
                    <w:rPr>
                      <w:rFonts w:ascii="Times New Roman" w:eastAsia="宋体"/>
                      <w:bCs/>
                      <w:szCs w:val="21"/>
                    </w:rPr>
                    <w:t>产生量(t/a)</w:t>
                  </w:r>
                </w:p>
              </w:tc>
              <w:tc>
                <w:tcPr>
                  <w:tcW w:w="503" w:type="pct"/>
                  <w:noWrap w:val="0"/>
                  <w:vAlign w:val="center"/>
                </w:tcPr>
                <w:p w14:paraId="550A9822">
                  <w:pPr>
                    <w:pStyle w:val="141"/>
                    <w:spacing w:line="320" w:lineRule="atLeast"/>
                    <w:rPr>
                      <w:rFonts w:ascii="Times New Roman" w:eastAsia="宋体"/>
                      <w:bCs/>
                      <w:szCs w:val="21"/>
                    </w:rPr>
                  </w:pPr>
                  <w:r>
                    <w:rPr>
                      <w:rFonts w:ascii="Times New Roman" w:eastAsia="宋体"/>
                      <w:bCs/>
                      <w:szCs w:val="21"/>
                    </w:rPr>
                    <w:t>产生工序</w:t>
                  </w:r>
                </w:p>
              </w:tc>
              <w:tc>
                <w:tcPr>
                  <w:tcW w:w="308" w:type="pct"/>
                  <w:noWrap w:val="0"/>
                  <w:vAlign w:val="center"/>
                </w:tcPr>
                <w:p w14:paraId="0CDDF45C">
                  <w:pPr>
                    <w:pStyle w:val="141"/>
                    <w:spacing w:line="320" w:lineRule="atLeast"/>
                    <w:rPr>
                      <w:rFonts w:ascii="Times New Roman" w:eastAsia="宋体"/>
                      <w:bCs/>
                      <w:szCs w:val="21"/>
                    </w:rPr>
                  </w:pPr>
                  <w:r>
                    <w:rPr>
                      <w:rFonts w:ascii="Times New Roman" w:eastAsia="宋体"/>
                      <w:bCs/>
                      <w:szCs w:val="21"/>
                    </w:rPr>
                    <w:t>形态</w:t>
                  </w:r>
                </w:p>
              </w:tc>
              <w:tc>
                <w:tcPr>
                  <w:tcW w:w="480" w:type="pct"/>
                  <w:noWrap w:val="0"/>
                  <w:vAlign w:val="center"/>
                </w:tcPr>
                <w:p w14:paraId="547D77B1">
                  <w:pPr>
                    <w:pStyle w:val="141"/>
                    <w:spacing w:line="320" w:lineRule="atLeast"/>
                    <w:rPr>
                      <w:rFonts w:ascii="Times New Roman" w:eastAsia="宋体"/>
                      <w:bCs/>
                      <w:szCs w:val="21"/>
                    </w:rPr>
                  </w:pPr>
                  <w:r>
                    <w:rPr>
                      <w:rFonts w:ascii="Times New Roman" w:eastAsia="宋体"/>
                      <w:bCs/>
                      <w:szCs w:val="21"/>
                    </w:rPr>
                    <w:t>主要成分</w:t>
                  </w:r>
                </w:p>
              </w:tc>
              <w:tc>
                <w:tcPr>
                  <w:tcW w:w="476" w:type="pct"/>
                  <w:noWrap w:val="0"/>
                  <w:vAlign w:val="center"/>
                </w:tcPr>
                <w:p w14:paraId="4A558E05">
                  <w:pPr>
                    <w:pStyle w:val="141"/>
                    <w:spacing w:line="320" w:lineRule="atLeast"/>
                    <w:rPr>
                      <w:rFonts w:ascii="Times New Roman" w:eastAsia="宋体"/>
                      <w:bCs/>
                      <w:szCs w:val="21"/>
                    </w:rPr>
                  </w:pPr>
                  <w:r>
                    <w:rPr>
                      <w:rFonts w:ascii="Times New Roman" w:eastAsia="宋体"/>
                      <w:bCs/>
                      <w:szCs w:val="21"/>
                    </w:rPr>
                    <w:t>性质</w:t>
                  </w:r>
                </w:p>
              </w:tc>
              <w:tc>
                <w:tcPr>
                  <w:tcW w:w="780" w:type="pct"/>
                  <w:noWrap w:val="0"/>
                  <w:vAlign w:val="center"/>
                </w:tcPr>
                <w:p w14:paraId="0925F727">
                  <w:pPr>
                    <w:pStyle w:val="141"/>
                    <w:spacing w:line="320" w:lineRule="atLeast"/>
                    <w:rPr>
                      <w:rFonts w:ascii="Times New Roman" w:eastAsia="宋体"/>
                      <w:bCs/>
                      <w:szCs w:val="21"/>
                    </w:rPr>
                  </w:pPr>
                  <w:r>
                    <w:rPr>
                      <w:rFonts w:ascii="Times New Roman" w:eastAsia="宋体"/>
                      <w:bCs/>
                      <w:szCs w:val="21"/>
                    </w:rPr>
                    <w:t>处理方式</w:t>
                  </w:r>
                </w:p>
              </w:tc>
            </w:tr>
            <w:tr w14:paraId="304C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383E0D8C">
                  <w:pPr>
                    <w:pStyle w:val="141"/>
                    <w:spacing w:line="320" w:lineRule="atLeast"/>
                    <w:rPr>
                      <w:rFonts w:ascii="Times New Roman" w:eastAsia="宋体"/>
                      <w:bCs/>
                      <w:szCs w:val="21"/>
                    </w:rPr>
                  </w:pPr>
                  <w:r>
                    <w:rPr>
                      <w:rFonts w:ascii="Times New Roman" w:eastAsia="宋体"/>
                      <w:bCs/>
                      <w:szCs w:val="21"/>
                    </w:rPr>
                    <w:t>1</w:t>
                  </w:r>
                </w:p>
              </w:tc>
              <w:tc>
                <w:tcPr>
                  <w:tcW w:w="645" w:type="pct"/>
                  <w:noWrap w:val="0"/>
                  <w:vAlign w:val="center"/>
                </w:tcPr>
                <w:p w14:paraId="7682910E">
                  <w:pPr>
                    <w:pStyle w:val="141"/>
                    <w:spacing w:line="320" w:lineRule="atLeast"/>
                    <w:rPr>
                      <w:rFonts w:ascii="Times New Roman" w:eastAsia="宋体"/>
                      <w:bCs/>
                      <w:szCs w:val="21"/>
                    </w:rPr>
                  </w:pPr>
                  <w:r>
                    <w:rPr>
                      <w:rFonts w:ascii="Times New Roman" w:eastAsia="宋体"/>
                      <w:bCs/>
                      <w:szCs w:val="21"/>
                    </w:rPr>
                    <w:t>磁选废物</w:t>
                  </w:r>
                </w:p>
              </w:tc>
              <w:tc>
                <w:tcPr>
                  <w:tcW w:w="962" w:type="pct"/>
                  <w:noWrap w:val="0"/>
                  <w:vAlign w:val="center"/>
                </w:tcPr>
                <w:p w14:paraId="34D0A499">
                  <w:pPr>
                    <w:spacing w:line="320" w:lineRule="atLeast"/>
                    <w:jc w:val="center"/>
                    <w:rPr>
                      <w:bCs/>
                      <w:szCs w:val="21"/>
                    </w:rPr>
                  </w:pPr>
                  <w:r>
                    <w:rPr>
                      <w:bCs/>
                      <w:szCs w:val="21"/>
                    </w:rPr>
                    <w:t>SW59  900-099-S59</w:t>
                  </w:r>
                </w:p>
              </w:tc>
              <w:tc>
                <w:tcPr>
                  <w:tcW w:w="534" w:type="pct"/>
                  <w:noWrap w:val="0"/>
                  <w:vAlign w:val="center"/>
                </w:tcPr>
                <w:p w14:paraId="3089C8D7">
                  <w:pPr>
                    <w:spacing w:line="320" w:lineRule="atLeast"/>
                    <w:jc w:val="center"/>
                    <w:rPr>
                      <w:bCs/>
                      <w:szCs w:val="21"/>
                    </w:rPr>
                  </w:pPr>
                  <w:r>
                    <w:rPr>
                      <w:bCs/>
                      <w:szCs w:val="21"/>
                    </w:rPr>
                    <w:t>12</w:t>
                  </w:r>
                </w:p>
              </w:tc>
              <w:tc>
                <w:tcPr>
                  <w:tcW w:w="503" w:type="pct"/>
                  <w:noWrap w:val="0"/>
                  <w:vAlign w:val="center"/>
                </w:tcPr>
                <w:p w14:paraId="12F74B0F">
                  <w:pPr>
                    <w:pStyle w:val="141"/>
                    <w:spacing w:line="320" w:lineRule="atLeast"/>
                    <w:rPr>
                      <w:rFonts w:ascii="Times New Roman" w:eastAsia="宋体"/>
                      <w:bCs/>
                      <w:szCs w:val="21"/>
                    </w:rPr>
                  </w:pPr>
                  <w:r>
                    <w:rPr>
                      <w:rFonts w:ascii="Times New Roman" w:eastAsia="宋体"/>
                      <w:bCs/>
                      <w:szCs w:val="21"/>
                    </w:rPr>
                    <w:t>磁选</w:t>
                  </w:r>
                </w:p>
              </w:tc>
              <w:tc>
                <w:tcPr>
                  <w:tcW w:w="308" w:type="pct"/>
                  <w:noWrap w:val="0"/>
                  <w:vAlign w:val="center"/>
                </w:tcPr>
                <w:p w14:paraId="6BDFD0C7">
                  <w:pPr>
                    <w:pStyle w:val="141"/>
                    <w:spacing w:line="320" w:lineRule="atLeast"/>
                    <w:rPr>
                      <w:rFonts w:ascii="Times New Roman" w:eastAsia="宋体"/>
                      <w:bCs/>
                      <w:szCs w:val="21"/>
                    </w:rPr>
                  </w:pPr>
                  <w:r>
                    <w:rPr>
                      <w:rFonts w:ascii="Times New Roman" w:eastAsia="宋体"/>
                      <w:bCs/>
                      <w:szCs w:val="21"/>
                    </w:rPr>
                    <w:t>固态</w:t>
                  </w:r>
                </w:p>
              </w:tc>
              <w:tc>
                <w:tcPr>
                  <w:tcW w:w="480" w:type="pct"/>
                  <w:noWrap w:val="0"/>
                  <w:vAlign w:val="center"/>
                </w:tcPr>
                <w:p w14:paraId="7B3B6091">
                  <w:pPr>
                    <w:pStyle w:val="141"/>
                    <w:spacing w:line="320" w:lineRule="atLeast"/>
                    <w:rPr>
                      <w:rFonts w:ascii="Times New Roman" w:eastAsia="宋体"/>
                      <w:bCs/>
                      <w:szCs w:val="21"/>
                    </w:rPr>
                  </w:pPr>
                  <w:r>
                    <w:rPr>
                      <w:rFonts w:ascii="Times New Roman" w:eastAsia="宋体"/>
                      <w:bCs/>
                      <w:szCs w:val="21"/>
                    </w:rPr>
                    <w:t>铁</w:t>
                  </w:r>
                </w:p>
              </w:tc>
              <w:tc>
                <w:tcPr>
                  <w:tcW w:w="476" w:type="pct"/>
                  <w:vMerge w:val="restart"/>
                  <w:noWrap w:val="0"/>
                  <w:vAlign w:val="center"/>
                </w:tcPr>
                <w:p w14:paraId="5296E1C8">
                  <w:pPr>
                    <w:pStyle w:val="141"/>
                    <w:spacing w:line="320" w:lineRule="atLeast"/>
                    <w:rPr>
                      <w:rFonts w:ascii="Times New Roman" w:eastAsia="宋体"/>
                      <w:bCs/>
                      <w:szCs w:val="21"/>
                    </w:rPr>
                  </w:pPr>
                  <w:r>
                    <w:rPr>
                      <w:rFonts w:ascii="Times New Roman" w:eastAsia="宋体"/>
                      <w:bCs/>
                      <w:szCs w:val="21"/>
                    </w:rPr>
                    <w:t>一般工业固体废物</w:t>
                  </w:r>
                </w:p>
              </w:tc>
              <w:tc>
                <w:tcPr>
                  <w:tcW w:w="780" w:type="pct"/>
                  <w:vMerge w:val="restart"/>
                  <w:noWrap w:val="0"/>
                  <w:vAlign w:val="center"/>
                </w:tcPr>
                <w:p w14:paraId="342B75D4">
                  <w:pPr>
                    <w:pStyle w:val="141"/>
                    <w:spacing w:line="320" w:lineRule="atLeast"/>
                    <w:rPr>
                      <w:rFonts w:ascii="Times New Roman" w:eastAsia="宋体"/>
                      <w:bCs/>
                      <w:szCs w:val="21"/>
                    </w:rPr>
                  </w:pPr>
                  <w:r>
                    <w:rPr>
                      <w:rFonts w:ascii="Times New Roman" w:eastAsia="宋体"/>
                      <w:bCs/>
                      <w:szCs w:val="21"/>
                    </w:rPr>
                    <w:t>收集后外售综合利用</w:t>
                  </w:r>
                </w:p>
              </w:tc>
            </w:tr>
            <w:tr w14:paraId="5447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4A2DDB6F">
                  <w:pPr>
                    <w:pStyle w:val="141"/>
                    <w:spacing w:line="320" w:lineRule="atLeast"/>
                    <w:rPr>
                      <w:rFonts w:ascii="Times New Roman" w:eastAsia="宋体"/>
                      <w:bCs/>
                      <w:szCs w:val="21"/>
                    </w:rPr>
                  </w:pPr>
                  <w:r>
                    <w:rPr>
                      <w:rFonts w:ascii="Times New Roman" w:eastAsia="宋体"/>
                      <w:bCs/>
                      <w:szCs w:val="21"/>
                    </w:rPr>
                    <w:t>2</w:t>
                  </w:r>
                </w:p>
              </w:tc>
              <w:tc>
                <w:tcPr>
                  <w:tcW w:w="645" w:type="pct"/>
                  <w:noWrap w:val="0"/>
                  <w:vAlign w:val="center"/>
                </w:tcPr>
                <w:p w14:paraId="7C6AFD1D">
                  <w:pPr>
                    <w:pStyle w:val="141"/>
                    <w:spacing w:line="320" w:lineRule="atLeast"/>
                    <w:rPr>
                      <w:rFonts w:ascii="Times New Roman" w:eastAsia="宋体"/>
                      <w:bCs/>
                      <w:szCs w:val="21"/>
                    </w:rPr>
                  </w:pPr>
                  <w:r>
                    <w:rPr>
                      <w:rFonts w:ascii="Times New Roman" w:eastAsia="宋体"/>
                      <w:bCs/>
                      <w:szCs w:val="21"/>
                    </w:rPr>
                    <w:t>废布袋</w:t>
                  </w:r>
                </w:p>
              </w:tc>
              <w:tc>
                <w:tcPr>
                  <w:tcW w:w="962" w:type="pct"/>
                  <w:noWrap w:val="0"/>
                  <w:vAlign w:val="center"/>
                </w:tcPr>
                <w:p w14:paraId="79AC7974">
                  <w:pPr>
                    <w:spacing w:line="320" w:lineRule="atLeast"/>
                    <w:jc w:val="center"/>
                    <w:rPr>
                      <w:bCs/>
                      <w:szCs w:val="21"/>
                    </w:rPr>
                  </w:pPr>
                  <w:r>
                    <w:rPr>
                      <w:bCs/>
                      <w:szCs w:val="21"/>
                    </w:rPr>
                    <w:t>SW59  900-099-S59</w:t>
                  </w:r>
                </w:p>
              </w:tc>
              <w:tc>
                <w:tcPr>
                  <w:tcW w:w="534" w:type="pct"/>
                  <w:noWrap w:val="0"/>
                  <w:vAlign w:val="center"/>
                </w:tcPr>
                <w:p w14:paraId="6437DA9D">
                  <w:pPr>
                    <w:spacing w:line="320" w:lineRule="atLeast"/>
                    <w:jc w:val="center"/>
                    <w:rPr>
                      <w:rFonts w:hint="eastAsia"/>
                      <w:bCs/>
                      <w:szCs w:val="21"/>
                    </w:rPr>
                  </w:pPr>
                  <w:r>
                    <w:rPr>
                      <w:bCs/>
                      <w:szCs w:val="21"/>
                    </w:rPr>
                    <w:t>0.</w:t>
                  </w:r>
                  <w:r>
                    <w:rPr>
                      <w:rFonts w:hint="eastAsia"/>
                      <w:bCs/>
                      <w:szCs w:val="21"/>
                    </w:rPr>
                    <w:t>2</w:t>
                  </w:r>
                </w:p>
              </w:tc>
              <w:tc>
                <w:tcPr>
                  <w:tcW w:w="503" w:type="pct"/>
                  <w:noWrap w:val="0"/>
                  <w:vAlign w:val="center"/>
                </w:tcPr>
                <w:p w14:paraId="7CFD6E3F">
                  <w:pPr>
                    <w:pStyle w:val="141"/>
                    <w:spacing w:line="320" w:lineRule="atLeast"/>
                    <w:rPr>
                      <w:rFonts w:ascii="Times New Roman" w:eastAsia="宋体"/>
                      <w:bCs/>
                      <w:szCs w:val="21"/>
                    </w:rPr>
                  </w:pPr>
                  <w:r>
                    <w:rPr>
                      <w:rFonts w:ascii="Times New Roman" w:eastAsia="宋体"/>
                      <w:bCs/>
                      <w:szCs w:val="21"/>
                    </w:rPr>
                    <w:t>废气治理</w:t>
                  </w:r>
                </w:p>
              </w:tc>
              <w:tc>
                <w:tcPr>
                  <w:tcW w:w="308" w:type="pct"/>
                  <w:noWrap w:val="0"/>
                  <w:vAlign w:val="center"/>
                </w:tcPr>
                <w:p w14:paraId="1C4F2B79">
                  <w:pPr>
                    <w:pStyle w:val="141"/>
                    <w:spacing w:line="320" w:lineRule="atLeast"/>
                    <w:rPr>
                      <w:rFonts w:ascii="Times New Roman" w:eastAsia="宋体"/>
                      <w:bCs/>
                      <w:szCs w:val="21"/>
                    </w:rPr>
                  </w:pPr>
                  <w:r>
                    <w:rPr>
                      <w:rFonts w:ascii="Times New Roman" w:eastAsia="宋体"/>
                      <w:bCs/>
                      <w:szCs w:val="21"/>
                    </w:rPr>
                    <w:t>固态</w:t>
                  </w:r>
                </w:p>
              </w:tc>
              <w:tc>
                <w:tcPr>
                  <w:tcW w:w="480" w:type="pct"/>
                  <w:noWrap w:val="0"/>
                  <w:vAlign w:val="center"/>
                </w:tcPr>
                <w:p w14:paraId="609B1888">
                  <w:pPr>
                    <w:pStyle w:val="141"/>
                    <w:spacing w:line="320" w:lineRule="atLeast"/>
                    <w:rPr>
                      <w:rFonts w:ascii="Times New Roman" w:eastAsia="宋体"/>
                      <w:bCs/>
                      <w:szCs w:val="21"/>
                    </w:rPr>
                  </w:pPr>
                  <w:r>
                    <w:rPr>
                      <w:rFonts w:ascii="Times New Roman" w:eastAsia="宋体"/>
                      <w:bCs/>
                      <w:szCs w:val="21"/>
                    </w:rPr>
                    <w:t>纤维</w:t>
                  </w:r>
                </w:p>
              </w:tc>
              <w:tc>
                <w:tcPr>
                  <w:tcW w:w="476" w:type="pct"/>
                  <w:vMerge w:val="continue"/>
                  <w:noWrap w:val="0"/>
                  <w:vAlign w:val="center"/>
                </w:tcPr>
                <w:p w14:paraId="3B7A8796">
                  <w:pPr>
                    <w:pStyle w:val="141"/>
                    <w:spacing w:line="320" w:lineRule="atLeast"/>
                    <w:rPr>
                      <w:rFonts w:ascii="Times New Roman" w:eastAsia="宋体"/>
                      <w:bCs/>
                      <w:szCs w:val="21"/>
                    </w:rPr>
                  </w:pPr>
                </w:p>
              </w:tc>
              <w:tc>
                <w:tcPr>
                  <w:tcW w:w="780" w:type="pct"/>
                  <w:vMerge w:val="continue"/>
                  <w:noWrap w:val="0"/>
                  <w:vAlign w:val="center"/>
                </w:tcPr>
                <w:p w14:paraId="37DAF0A4">
                  <w:pPr>
                    <w:pStyle w:val="141"/>
                    <w:spacing w:line="320" w:lineRule="atLeast"/>
                    <w:rPr>
                      <w:rFonts w:ascii="Times New Roman" w:eastAsia="宋体"/>
                      <w:bCs/>
                      <w:szCs w:val="21"/>
                    </w:rPr>
                  </w:pPr>
                </w:p>
              </w:tc>
            </w:tr>
            <w:tr w14:paraId="0FA1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68046698">
                  <w:pPr>
                    <w:pStyle w:val="141"/>
                    <w:spacing w:line="320" w:lineRule="atLeast"/>
                    <w:rPr>
                      <w:rFonts w:ascii="Times New Roman" w:eastAsia="宋体"/>
                      <w:bCs/>
                      <w:szCs w:val="21"/>
                    </w:rPr>
                  </w:pPr>
                  <w:r>
                    <w:rPr>
                      <w:rFonts w:ascii="Times New Roman" w:eastAsia="宋体"/>
                      <w:bCs/>
                      <w:szCs w:val="21"/>
                    </w:rPr>
                    <w:t>3</w:t>
                  </w:r>
                </w:p>
              </w:tc>
              <w:tc>
                <w:tcPr>
                  <w:tcW w:w="645" w:type="pct"/>
                  <w:noWrap w:val="0"/>
                  <w:vAlign w:val="center"/>
                </w:tcPr>
                <w:p w14:paraId="0D8FCA2B">
                  <w:pPr>
                    <w:pStyle w:val="141"/>
                    <w:spacing w:line="320" w:lineRule="atLeast"/>
                    <w:rPr>
                      <w:rFonts w:ascii="Times New Roman" w:eastAsia="宋体"/>
                      <w:bCs/>
                      <w:szCs w:val="21"/>
                    </w:rPr>
                  </w:pPr>
                  <w:r>
                    <w:rPr>
                      <w:rFonts w:ascii="Times New Roman" w:eastAsia="宋体"/>
                      <w:bCs/>
                      <w:szCs w:val="21"/>
                    </w:rPr>
                    <w:t>布袋除尘器收集的粉尘</w:t>
                  </w:r>
                </w:p>
              </w:tc>
              <w:tc>
                <w:tcPr>
                  <w:tcW w:w="962" w:type="pct"/>
                  <w:noWrap w:val="0"/>
                  <w:vAlign w:val="center"/>
                </w:tcPr>
                <w:p w14:paraId="5ECE8460">
                  <w:pPr>
                    <w:spacing w:line="320" w:lineRule="atLeast"/>
                    <w:jc w:val="center"/>
                    <w:rPr>
                      <w:bCs/>
                      <w:szCs w:val="21"/>
                    </w:rPr>
                  </w:pPr>
                  <w:r>
                    <w:rPr>
                      <w:bCs/>
                      <w:szCs w:val="21"/>
                    </w:rPr>
                    <w:t>SW59  900-099-S59</w:t>
                  </w:r>
                </w:p>
              </w:tc>
              <w:tc>
                <w:tcPr>
                  <w:tcW w:w="534" w:type="pct"/>
                  <w:noWrap w:val="0"/>
                  <w:vAlign w:val="center"/>
                </w:tcPr>
                <w:p w14:paraId="3B22FFFB">
                  <w:pPr>
                    <w:spacing w:line="320" w:lineRule="atLeast"/>
                    <w:jc w:val="center"/>
                    <w:rPr>
                      <w:rFonts w:hint="default" w:eastAsia="宋体"/>
                      <w:bCs/>
                      <w:szCs w:val="21"/>
                      <w:lang w:val="en-US" w:eastAsia="zh-CN"/>
                    </w:rPr>
                  </w:pPr>
                  <w:r>
                    <w:rPr>
                      <w:rFonts w:hint="eastAsia"/>
                      <w:bCs/>
                      <w:szCs w:val="21"/>
                      <w:lang w:val="en-US" w:eastAsia="zh-CN"/>
                    </w:rPr>
                    <w:t>58</w:t>
                  </w:r>
                </w:p>
              </w:tc>
              <w:tc>
                <w:tcPr>
                  <w:tcW w:w="503" w:type="pct"/>
                  <w:noWrap w:val="0"/>
                  <w:vAlign w:val="center"/>
                </w:tcPr>
                <w:p w14:paraId="094BAE5B">
                  <w:pPr>
                    <w:pStyle w:val="141"/>
                    <w:spacing w:line="320" w:lineRule="atLeast"/>
                    <w:rPr>
                      <w:rFonts w:ascii="Times New Roman" w:eastAsia="宋体"/>
                      <w:bCs/>
                      <w:szCs w:val="21"/>
                    </w:rPr>
                  </w:pPr>
                  <w:r>
                    <w:rPr>
                      <w:rFonts w:ascii="Times New Roman" w:eastAsia="宋体"/>
                      <w:bCs/>
                      <w:szCs w:val="21"/>
                    </w:rPr>
                    <w:t>废气治理</w:t>
                  </w:r>
                </w:p>
              </w:tc>
              <w:tc>
                <w:tcPr>
                  <w:tcW w:w="308" w:type="pct"/>
                  <w:noWrap w:val="0"/>
                  <w:vAlign w:val="center"/>
                </w:tcPr>
                <w:p w14:paraId="68C41535">
                  <w:pPr>
                    <w:pStyle w:val="141"/>
                    <w:spacing w:line="320" w:lineRule="atLeast"/>
                    <w:rPr>
                      <w:rFonts w:ascii="Times New Roman" w:eastAsia="宋体"/>
                      <w:bCs/>
                      <w:szCs w:val="21"/>
                    </w:rPr>
                  </w:pPr>
                  <w:r>
                    <w:rPr>
                      <w:rFonts w:ascii="Times New Roman" w:eastAsia="宋体"/>
                      <w:bCs/>
                      <w:szCs w:val="21"/>
                    </w:rPr>
                    <w:t>固态</w:t>
                  </w:r>
                </w:p>
              </w:tc>
              <w:tc>
                <w:tcPr>
                  <w:tcW w:w="480" w:type="pct"/>
                  <w:noWrap w:val="0"/>
                  <w:vAlign w:val="center"/>
                </w:tcPr>
                <w:p w14:paraId="3CFCE63D">
                  <w:pPr>
                    <w:pStyle w:val="141"/>
                    <w:spacing w:line="320" w:lineRule="atLeast"/>
                    <w:rPr>
                      <w:rFonts w:ascii="Times New Roman" w:eastAsia="宋体"/>
                      <w:bCs/>
                      <w:szCs w:val="21"/>
                    </w:rPr>
                  </w:pPr>
                  <w:r>
                    <w:rPr>
                      <w:rFonts w:ascii="Times New Roman" w:eastAsia="宋体"/>
                      <w:bCs/>
                      <w:szCs w:val="21"/>
                    </w:rPr>
                    <w:t>粉尘</w:t>
                  </w:r>
                </w:p>
              </w:tc>
              <w:tc>
                <w:tcPr>
                  <w:tcW w:w="476" w:type="pct"/>
                  <w:vMerge w:val="continue"/>
                  <w:noWrap w:val="0"/>
                  <w:vAlign w:val="center"/>
                </w:tcPr>
                <w:p w14:paraId="2C67ED06">
                  <w:pPr>
                    <w:pStyle w:val="141"/>
                    <w:spacing w:line="320" w:lineRule="atLeast"/>
                    <w:rPr>
                      <w:rFonts w:ascii="Times New Roman" w:eastAsia="宋体"/>
                      <w:bCs/>
                      <w:szCs w:val="21"/>
                    </w:rPr>
                  </w:pPr>
                </w:p>
              </w:tc>
              <w:tc>
                <w:tcPr>
                  <w:tcW w:w="780" w:type="pct"/>
                  <w:vMerge w:val="restart"/>
                  <w:noWrap w:val="0"/>
                  <w:vAlign w:val="center"/>
                </w:tcPr>
                <w:p w14:paraId="28B58DC7">
                  <w:pPr>
                    <w:pStyle w:val="141"/>
                    <w:spacing w:line="320" w:lineRule="atLeast"/>
                    <w:rPr>
                      <w:rFonts w:ascii="Times New Roman" w:eastAsia="宋体"/>
                      <w:bCs/>
                      <w:szCs w:val="21"/>
                    </w:rPr>
                  </w:pPr>
                  <w:r>
                    <w:rPr>
                      <w:rFonts w:ascii="Times New Roman" w:eastAsia="宋体"/>
                      <w:bCs/>
                      <w:szCs w:val="21"/>
                    </w:rPr>
                    <w:t>收集后，回用于生产</w:t>
                  </w:r>
                </w:p>
              </w:tc>
            </w:tr>
            <w:tr w14:paraId="1B58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29259BD1">
                  <w:pPr>
                    <w:pStyle w:val="141"/>
                    <w:spacing w:line="320" w:lineRule="atLeast"/>
                    <w:rPr>
                      <w:rFonts w:ascii="Times New Roman" w:eastAsia="宋体"/>
                      <w:bCs/>
                      <w:szCs w:val="21"/>
                    </w:rPr>
                  </w:pPr>
                  <w:r>
                    <w:rPr>
                      <w:rFonts w:ascii="Times New Roman" w:eastAsia="宋体"/>
                      <w:bCs/>
                      <w:szCs w:val="21"/>
                    </w:rPr>
                    <w:t>4</w:t>
                  </w:r>
                </w:p>
              </w:tc>
              <w:tc>
                <w:tcPr>
                  <w:tcW w:w="645" w:type="pct"/>
                  <w:noWrap w:val="0"/>
                  <w:vAlign w:val="center"/>
                </w:tcPr>
                <w:p w14:paraId="602338CC">
                  <w:pPr>
                    <w:pStyle w:val="141"/>
                    <w:spacing w:line="320" w:lineRule="atLeast"/>
                    <w:rPr>
                      <w:rFonts w:ascii="Times New Roman" w:eastAsia="宋体"/>
                      <w:bCs/>
                      <w:szCs w:val="21"/>
                    </w:rPr>
                  </w:pPr>
                  <w:r>
                    <w:rPr>
                      <w:rFonts w:ascii="Times New Roman" w:eastAsia="宋体"/>
                      <w:bCs/>
                      <w:szCs w:val="21"/>
                    </w:rPr>
                    <w:t>脱硫系统沉渣</w:t>
                  </w:r>
                </w:p>
              </w:tc>
              <w:tc>
                <w:tcPr>
                  <w:tcW w:w="962" w:type="pct"/>
                  <w:noWrap w:val="0"/>
                  <w:vAlign w:val="center"/>
                </w:tcPr>
                <w:p w14:paraId="6C9BFC15">
                  <w:pPr>
                    <w:spacing w:line="320" w:lineRule="atLeast"/>
                    <w:jc w:val="center"/>
                    <w:rPr>
                      <w:bCs/>
                      <w:szCs w:val="21"/>
                    </w:rPr>
                  </w:pPr>
                  <w:r>
                    <w:rPr>
                      <w:bCs/>
                      <w:szCs w:val="21"/>
                    </w:rPr>
                    <w:t>SW06  900-099-S06</w:t>
                  </w:r>
                </w:p>
              </w:tc>
              <w:tc>
                <w:tcPr>
                  <w:tcW w:w="534" w:type="pct"/>
                  <w:noWrap w:val="0"/>
                  <w:vAlign w:val="center"/>
                </w:tcPr>
                <w:p w14:paraId="07C24E6E">
                  <w:pPr>
                    <w:spacing w:line="320" w:lineRule="atLeast"/>
                    <w:jc w:val="center"/>
                    <w:rPr>
                      <w:rFonts w:hint="default" w:eastAsia="宋体"/>
                      <w:bCs/>
                      <w:szCs w:val="21"/>
                      <w:lang w:val="en-US" w:eastAsia="zh-CN"/>
                    </w:rPr>
                  </w:pPr>
                  <w:r>
                    <w:rPr>
                      <w:rFonts w:hint="eastAsia"/>
                      <w:bCs/>
                      <w:szCs w:val="21"/>
                      <w:lang w:val="en-US" w:eastAsia="zh-CN"/>
                    </w:rPr>
                    <w:t>800</w:t>
                  </w:r>
                </w:p>
              </w:tc>
              <w:tc>
                <w:tcPr>
                  <w:tcW w:w="503" w:type="pct"/>
                  <w:noWrap w:val="0"/>
                  <w:vAlign w:val="center"/>
                </w:tcPr>
                <w:p w14:paraId="53CF0DA4">
                  <w:pPr>
                    <w:pStyle w:val="141"/>
                    <w:spacing w:line="320" w:lineRule="atLeast"/>
                    <w:rPr>
                      <w:rFonts w:ascii="Times New Roman" w:eastAsia="宋体"/>
                      <w:bCs/>
                      <w:szCs w:val="21"/>
                    </w:rPr>
                  </w:pPr>
                  <w:r>
                    <w:rPr>
                      <w:rFonts w:ascii="Times New Roman" w:eastAsia="宋体"/>
                      <w:bCs/>
                      <w:szCs w:val="21"/>
                    </w:rPr>
                    <w:t>废水治理</w:t>
                  </w:r>
                </w:p>
              </w:tc>
              <w:tc>
                <w:tcPr>
                  <w:tcW w:w="308" w:type="pct"/>
                  <w:noWrap w:val="0"/>
                  <w:vAlign w:val="center"/>
                </w:tcPr>
                <w:p w14:paraId="589D36DB">
                  <w:pPr>
                    <w:pStyle w:val="141"/>
                    <w:spacing w:line="320" w:lineRule="atLeast"/>
                    <w:rPr>
                      <w:rFonts w:ascii="Times New Roman" w:eastAsia="宋体"/>
                      <w:bCs/>
                      <w:szCs w:val="21"/>
                    </w:rPr>
                  </w:pPr>
                  <w:r>
                    <w:rPr>
                      <w:rFonts w:ascii="Times New Roman" w:eastAsia="宋体"/>
                      <w:bCs/>
                      <w:szCs w:val="21"/>
                    </w:rPr>
                    <w:t>固态</w:t>
                  </w:r>
                </w:p>
              </w:tc>
              <w:tc>
                <w:tcPr>
                  <w:tcW w:w="480" w:type="pct"/>
                  <w:noWrap w:val="0"/>
                  <w:vAlign w:val="center"/>
                </w:tcPr>
                <w:p w14:paraId="0D89B812">
                  <w:pPr>
                    <w:pStyle w:val="141"/>
                    <w:spacing w:line="320" w:lineRule="atLeast"/>
                    <w:rPr>
                      <w:rFonts w:ascii="Times New Roman" w:eastAsia="宋体"/>
                      <w:bCs/>
                      <w:szCs w:val="21"/>
                    </w:rPr>
                  </w:pPr>
                  <w:r>
                    <w:rPr>
                      <w:rFonts w:ascii="Times New Roman" w:eastAsia="宋体"/>
                      <w:bCs/>
                      <w:szCs w:val="21"/>
                    </w:rPr>
                    <w:t>石膏</w:t>
                  </w:r>
                </w:p>
              </w:tc>
              <w:tc>
                <w:tcPr>
                  <w:tcW w:w="476" w:type="pct"/>
                  <w:vMerge w:val="continue"/>
                  <w:noWrap w:val="0"/>
                  <w:vAlign w:val="center"/>
                </w:tcPr>
                <w:p w14:paraId="41752894">
                  <w:pPr>
                    <w:pStyle w:val="141"/>
                    <w:spacing w:line="320" w:lineRule="atLeast"/>
                    <w:rPr>
                      <w:rFonts w:ascii="Times New Roman" w:eastAsia="宋体"/>
                      <w:bCs/>
                      <w:szCs w:val="21"/>
                    </w:rPr>
                  </w:pPr>
                </w:p>
              </w:tc>
              <w:tc>
                <w:tcPr>
                  <w:tcW w:w="780" w:type="pct"/>
                  <w:vMerge w:val="continue"/>
                  <w:noWrap w:val="0"/>
                  <w:vAlign w:val="center"/>
                </w:tcPr>
                <w:p w14:paraId="4BB73B07">
                  <w:pPr>
                    <w:pStyle w:val="141"/>
                    <w:spacing w:line="320" w:lineRule="atLeast"/>
                    <w:rPr>
                      <w:rFonts w:ascii="Times New Roman" w:eastAsia="宋体"/>
                      <w:bCs/>
                      <w:szCs w:val="21"/>
                    </w:rPr>
                  </w:pPr>
                </w:p>
              </w:tc>
            </w:tr>
            <w:tr w14:paraId="37BE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6D331A87">
                  <w:pPr>
                    <w:pStyle w:val="141"/>
                    <w:spacing w:line="320" w:lineRule="atLeast"/>
                    <w:rPr>
                      <w:rFonts w:ascii="Times New Roman" w:eastAsia="宋体"/>
                      <w:bCs/>
                      <w:szCs w:val="21"/>
                    </w:rPr>
                  </w:pPr>
                  <w:r>
                    <w:rPr>
                      <w:rFonts w:ascii="Times New Roman" w:eastAsia="宋体"/>
                      <w:bCs/>
                      <w:szCs w:val="21"/>
                    </w:rPr>
                    <w:t>5</w:t>
                  </w:r>
                </w:p>
              </w:tc>
              <w:tc>
                <w:tcPr>
                  <w:tcW w:w="645" w:type="pct"/>
                  <w:noWrap w:val="0"/>
                  <w:vAlign w:val="center"/>
                </w:tcPr>
                <w:p w14:paraId="183D6617">
                  <w:pPr>
                    <w:pStyle w:val="141"/>
                    <w:spacing w:line="320" w:lineRule="atLeast"/>
                    <w:rPr>
                      <w:rFonts w:ascii="Times New Roman" w:eastAsia="宋体"/>
                      <w:bCs/>
                      <w:szCs w:val="21"/>
                    </w:rPr>
                  </w:pPr>
                  <w:r>
                    <w:rPr>
                      <w:rFonts w:ascii="Times New Roman" w:eastAsia="宋体"/>
                      <w:bCs/>
                      <w:szCs w:val="21"/>
                    </w:rPr>
                    <w:t>湿电除尘系统沉渣</w:t>
                  </w:r>
                </w:p>
              </w:tc>
              <w:tc>
                <w:tcPr>
                  <w:tcW w:w="962" w:type="pct"/>
                  <w:noWrap w:val="0"/>
                  <w:vAlign w:val="center"/>
                </w:tcPr>
                <w:p w14:paraId="7DAF285C">
                  <w:pPr>
                    <w:spacing w:line="320" w:lineRule="atLeast"/>
                    <w:jc w:val="center"/>
                    <w:rPr>
                      <w:bCs/>
                      <w:szCs w:val="21"/>
                    </w:rPr>
                  </w:pPr>
                  <w:r>
                    <w:rPr>
                      <w:bCs/>
                      <w:szCs w:val="21"/>
                    </w:rPr>
                    <w:t>SW59  900-099-S59</w:t>
                  </w:r>
                </w:p>
              </w:tc>
              <w:tc>
                <w:tcPr>
                  <w:tcW w:w="534" w:type="pct"/>
                  <w:noWrap w:val="0"/>
                  <w:vAlign w:val="center"/>
                </w:tcPr>
                <w:p w14:paraId="6F37CD0D">
                  <w:pPr>
                    <w:spacing w:line="320" w:lineRule="atLeast"/>
                    <w:jc w:val="center"/>
                    <w:rPr>
                      <w:rFonts w:hint="default" w:eastAsia="宋体"/>
                      <w:bCs/>
                      <w:szCs w:val="21"/>
                      <w:lang w:val="en-US" w:eastAsia="zh-CN"/>
                    </w:rPr>
                  </w:pPr>
                  <w:r>
                    <w:rPr>
                      <w:rFonts w:hint="eastAsia"/>
                      <w:bCs/>
                      <w:szCs w:val="21"/>
                      <w:lang w:val="en-US" w:eastAsia="zh-CN"/>
                    </w:rPr>
                    <w:t>50</w:t>
                  </w:r>
                </w:p>
              </w:tc>
              <w:tc>
                <w:tcPr>
                  <w:tcW w:w="503" w:type="pct"/>
                  <w:noWrap w:val="0"/>
                  <w:vAlign w:val="center"/>
                </w:tcPr>
                <w:p w14:paraId="6DB894FE">
                  <w:pPr>
                    <w:pStyle w:val="141"/>
                    <w:spacing w:line="320" w:lineRule="atLeast"/>
                    <w:rPr>
                      <w:rFonts w:ascii="Times New Roman" w:eastAsia="宋体"/>
                      <w:bCs/>
                      <w:szCs w:val="21"/>
                    </w:rPr>
                  </w:pPr>
                  <w:r>
                    <w:rPr>
                      <w:rFonts w:ascii="Times New Roman" w:eastAsia="宋体"/>
                      <w:bCs/>
                      <w:szCs w:val="21"/>
                    </w:rPr>
                    <w:t>废气治理</w:t>
                  </w:r>
                </w:p>
              </w:tc>
              <w:tc>
                <w:tcPr>
                  <w:tcW w:w="308" w:type="pct"/>
                  <w:noWrap w:val="0"/>
                  <w:vAlign w:val="center"/>
                </w:tcPr>
                <w:p w14:paraId="13AE1A09">
                  <w:pPr>
                    <w:pStyle w:val="141"/>
                    <w:spacing w:line="320" w:lineRule="atLeast"/>
                    <w:rPr>
                      <w:rFonts w:ascii="Times New Roman" w:eastAsia="宋体"/>
                      <w:bCs/>
                      <w:szCs w:val="21"/>
                    </w:rPr>
                  </w:pPr>
                  <w:r>
                    <w:rPr>
                      <w:rFonts w:ascii="Times New Roman" w:eastAsia="宋体"/>
                      <w:bCs/>
                      <w:szCs w:val="21"/>
                    </w:rPr>
                    <w:t>固态</w:t>
                  </w:r>
                </w:p>
              </w:tc>
              <w:tc>
                <w:tcPr>
                  <w:tcW w:w="480" w:type="pct"/>
                  <w:noWrap w:val="0"/>
                  <w:vAlign w:val="center"/>
                </w:tcPr>
                <w:p w14:paraId="1F4B88A6">
                  <w:pPr>
                    <w:pStyle w:val="141"/>
                    <w:spacing w:line="320" w:lineRule="atLeast"/>
                    <w:rPr>
                      <w:rFonts w:ascii="Times New Roman" w:eastAsia="宋体"/>
                      <w:bCs/>
                      <w:szCs w:val="21"/>
                    </w:rPr>
                  </w:pPr>
                  <w:r>
                    <w:rPr>
                      <w:rFonts w:ascii="Times New Roman" w:eastAsia="宋体"/>
                      <w:bCs/>
                      <w:szCs w:val="21"/>
                    </w:rPr>
                    <w:t>粉尘</w:t>
                  </w:r>
                </w:p>
              </w:tc>
              <w:tc>
                <w:tcPr>
                  <w:tcW w:w="476" w:type="pct"/>
                  <w:vMerge w:val="continue"/>
                  <w:noWrap w:val="0"/>
                  <w:vAlign w:val="center"/>
                </w:tcPr>
                <w:p w14:paraId="53CBD72F">
                  <w:pPr>
                    <w:pStyle w:val="141"/>
                    <w:spacing w:line="320" w:lineRule="atLeast"/>
                    <w:rPr>
                      <w:rFonts w:ascii="Times New Roman" w:eastAsia="宋体"/>
                      <w:bCs/>
                      <w:szCs w:val="21"/>
                    </w:rPr>
                  </w:pPr>
                </w:p>
              </w:tc>
              <w:tc>
                <w:tcPr>
                  <w:tcW w:w="780" w:type="pct"/>
                  <w:vMerge w:val="continue"/>
                  <w:noWrap w:val="0"/>
                  <w:vAlign w:val="center"/>
                </w:tcPr>
                <w:p w14:paraId="3B075EC4">
                  <w:pPr>
                    <w:pStyle w:val="141"/>
                    <w:spacing w:line="320" w:lineRule="atLeast"/>
                    <w:rPr>
                      <w:rFonts w:ascii="Times New Roman" w:eastAsia="宋体"/>
                      <w:bCs/>
                      <w:szCs w:val="21"/>
                    </w:rPr>
                  </w:pPr>
                </w:p>
              </w:tc>
            </w:tr>
            <w:tr w14:paraId="6D8E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0F616EEA">
                  <w:pPr>
                    <w:pStyle w:val="141"/>
                    <w:spacing w:line="320" w:lineRule="atLeast"/>
                    <w:rPr>
                      <w:rFonts w:ascii="Times New Roman" w:eastAsia="宋体"/>
                      <w:bCs/>
                      <w:szCs w:val="21"/>
                    </w:rPr>
                  </w:pPr>
                  <w:r>
                    <w:rPr>
                      <w:rFonts w:ascii="Times New Roman" w:eastAsia="宋体"/>
                      <w:bCs/>
                      <w:szCs w:val="21"/>
                    </w:rPr>
                    <w:t>5</w:t>
                  </w:r>
                </w:p>
              </w:tc>
              <w:tc>
                <w:tcPr>
                  <w:tcW w:w="645" w:type="pct"/>
                  <w:noWrap w:val="0"/>
                  <w:vAlign w:val="center"/>
                </w:tcPr>
                <w:p w14:paraId="57EB229D">
                  <w:pPr>
                    <w:pStyle w:val="141"/>
                    <w:spacing w:line="320" w:lineRule="atLeast"/>
                    <w:rPr>
                      <w:rFonts w:ascii="Times New Roman" w:eastAsia="宋体"/>
                      <w:bCs/>
                      <w:szCs w:val="21"/>
                    </w:rPr>
                  </w:pPr>
                  <w:r>
                    <w:rPr>
                      <w:rFonts w:ascii="Times New Roman" w:eastAsia="宋体"/>
                      <w:bCs/>
                      <w:szCs w:val="21"/>
                    </w:rPr>
                    <w:t>废机油</w:t>
                  </w:r>
                </w:p>
              </w:tc>
              <w:tc>
                <w:tcPr>
                  <w:tcW w:w="962" w:type="pct"/>
                  <w:noWrap w:val="0"/>
                  <w:vAlign w:val="center"/>
                </w:tcPr>
                <w:p w14:paraId="049174F4">
                  <w:pPr>
                    <w:spacing w:line="320" w:lineRule="atLeast"/>
                    <w:jc w:val="center"/>
                    <w:rPr>
                      <w:bCs/>
                      <w:szCs w:val="21"/>
                    </w:rPr>
                  </w:pPr>
                  <w:r>
                    <w:rPr>
                      <w:bCs/>
                      <w:szCs w:val="21"/>
                    </w:rPr>
                    <w:t>HW08  900-214-08</w:t>
                  </w:r>
                </w:p>
              </w:tc>
              <w:tc>
                <w:tcPr>
                  <w:tcW w:w="534" w:type="pct"/>
                  <w:noWrap w:val="0"/>
                  <w:vAlign w:val="center"/>
                </w:tcPr>
                <w:p w14:paraId="415105BA">
                  <w:pPr>
                    <w:spacing w:line="320" w:lineRule="atLeast"/>
                    <w:jc w:val="center"/>
                    <w:rPr>
                      <w:bCs/>
                      <w:szCs w:val="21"/>
                    </w:rPr>
                  </w:pPr>
                  <w:r>
                    <w:rPr>
                      <w:bCs/>
                      <w:szCs w:val="21"/>
                    </w:rPr>
                    <w:t>0.</w:t>
                  </w:r>
                  <w:r>
                    <w:rPr>
                      <w:rFonts w:hint="eastAsia"/>
                      <w:bCs/>
                      <w:szCs w:val="21"/>
                    </w:rPr>
                    <w:t>05</w:t>
                  </w:r>
                </w:p>
              </w:tc>
              <w:tc>
                <w:tcPr>
                  <w:tcW w:w="503" w:type="pct"/>
                  <w:noWrap w:val="0"/>
                  <w:vAlign w:val="center"/>
                </w:tcPr>
                <w:p w14:paraId="7F7D82CB">
                  <w:pPr>
                    <w:pStyle w:val="141"/>
                    <w:spacing w:line="320" w:lineRule="atLeast"/>
                    <w:rPr>
                      <w:rFonts w:ascii="Times New Roman" w:eastAsia="宋体"/>
                      <w:bCs/>
                      <w:szCs w:val="21"/>
                    </w:rPr>
                  </w:pPr>
                  <w:r>
                    <w:rPr>
                      <w:rFonts w:ascii="Times New Roman" w:eastAsia="宋体"/>
                      <w:bCs/>
                      <w:szCs w:val="21"/>
                    </w:rPr>
                    <w:t>机修</w:t>
                  </w:r>
                </w:p>
              </w:tc>
              <w:tc>
                <w:tcPr>
                  <w:tcW w:w="308" w:type="pct"/>
                  <w:noWrap w:val="0"/>
                  <w:vAlign w:val="center"/>
                </w:tcPr>
                <w:p w14:paraId="6EA6E868">
                  <w:pPr>
                    <w:pStyle w:val="141"/>
                    <w:spacing w:line="320" w:lineRule="atLeast"/>
                    <w:rPr>
                      <w:rFonts w:ascii="Times New Roman" w:eastAsia="宋体"/>
                      <w:bCs/>
                      <w:szCs w:val="21"/>
                    </w:rPr>
                  </w:pPr>
                  <w:r>
                    <w:rPr>
                      <w:rFonts w:ascii="Times New Roman" w:eastAsia="宋体"/>
                      <w:bCs/>
                      <w:szCs w:val="21"/>
                    </w:rPr>
                    <w:t>液态</w:t>
                  </w:r>
                </w:p>
              </w:tc>
              <w:tc>
                <w:tcPr>
                  <w:tcW w:w="480" w:type="pct"/>
                  <w:noWrap w:val="0"/>
                  <w:vAlign w:val="center"/>
                </w:tcPr>
                <w:p w14:paraId="5DA0D133">
                  <w:pPr>
                    <w:pStyle w:val="141"/>
                    <w:spacing w:line="320" w:lineRule="atLeast"/>
                    <w:rPr>
                      <w:rFonts w:ascii="Times New Roman" w:eastAsia="宋体"/>
                      <w:bCs/>
                      <w:szCs w:val="21"/>
                    </w:rPr>
                  </w:pPr>
                  <w:r>
                    <w:rPr>
                      <w:rFonts w:ascii="Times New Roman" w:eastAsia="宋体"/>
                      <w:bCs/>
                      <w:szCs w:val="21"/>
                    </w:rPr>
                    <w:t>矿物油</w:t>
                  </w:r>
                </w:p>
              </w:tc>
              <w:tc>
                <w:tcPr>
                  <w:tcW w:w="476" w:type="pct"/>
                  <w:vMerge w:val="restart"/>
                  <w:noWrap w:val="0"/>
                  <w:vAlign w:val="center"/>
                </w:tcPr>
                <w:p w14:paraId="50D3E3BF">
                  <w:pPr>
                    <w:pStyle w:val="141"/>
                    <w:spacing w:line="320" w:lineRule="atLeast"/>
                    <w:rPr>
                      <w:rFonts w:ascii="Times New Roman" w:eastAsia="宋体"/>
                      <w:bCs/>
                      <w:szCs w:val="21"/>
                    </w:rPr>
                  </w:pPr>
                  <w:r>
                    <w:rPr>
                      <w:rFonts w:ascii="Times New Roman" w:eastAsia="宋体"/>
                      <w:bCs/>
                      <w:szCs w:val="21"/>
                    </w:rPr>
                    <w:t>危险废物</w:t>
                  </w:r>
                </w:p>
              </w:tc>
              <w:tc>
                <w:tcPr>
                  <w:tcW w:w="780" w:type="pct"/>
                  <w:vMerge w:val="restart"/>
                  <w:noWrap w:val="0"/>
                  <w:vAlign w:val="center"/>
                </w:tcPr>
                <w:p w14:paraId="488D8A9A">
                  <w:pPr>
                    <w:pStyle w:val="141"/>
                    <w:spacing w:line="320" w:lineRule="atLeast"/>
                    <w:rPr>
                      <w:rFonts w:ascii="Times New Roman" w:eastAsia="宋体"/>
                      <w:bCs/>
                      <w:szCs w:val="21"/>
                    </w:rPr>
                  </w:pPr>
                  <w:r>
                    <w:rPr>
                      <w:rFonts w:ascii="Times New Roman" w:eastAsia="宋体"/>
                      <w:bCs/>
                      <w:szCs w:val="21"/>
                    </w:rPr>
                    <w:t>收集后，委托有资质单位定期处置</w:t>
                  </w:r>
                </w:p>
              </w:tc>
            </w:tr>
            <w:tr w14:paraId="753A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noWrap w:val="0"/>
                  <w:vAlign w:val="center"/>
                </w:tcPr>
                <w:p w14:paraId="799FD5FE">
                  <w:pPr>
                    <w:pStyle w:val="141"/>
                    <w:spacing w:line="320" w:lineRule="atLeast"/>
                    <w:rPr>
                      <w:rFonts w:ascii="Times New Roman" w:eastAsia="宋体"/>
                      <w:bCs/>
                      <w:szCs w:val="21"/>
                    </w:rPr>
                  </w:pPr>
                  <w:r>
                    <w:rPr>
                      <w:rFonts w:ascii="Times New Roman" w:eastAsia="宋体"/>
                      <w:bCs/>
                      <w:szCs w:val="21"/>
                    </w:rPr>
                    <w:t>6</w:t>
                  </w:r>
                </w:p>
              </w:tc>
              <w:tc>
                <w:tcPr>
                  <w:tcW w:w="645" w:type="pct"/>
                  <w:noWrap w:val="0"/>
                  <w:vAlign w:val="center"/>
                </w:tcPr>
                <w:p w14:paraId="12E6181D">
                  <w:pPr>
                    <w:pStyle w:val="141"/>
                    <w:spacing w:line="320" w:lineRule="atLeast"/>
                    <w:rPr>
                      <w:rFonts w:ascii="Times New Roman" w:eastAsia="宋体"/>
                      <w:bCs/>
                      <w:szCs w:val="21"/>
                    </w:rPr>
                  </w:pPr>
                  <w:r>
                    <w:rPr>
                      <w:rFonts w:ascii="Times New Roman" w:eastAsia="宋体"/>
                      <w:bCs/>
                      <w:szCs w:val="21"/>
                    </w:rPr>
                    <w:t>废机油桶</w:t>
                  </w:r>
                </w:p>
              </w:tc>
              <w:tc>
                <w:tcPr>
                  <w:tcW w:w="962" w:type="pct"/>
                  <w:noWrap w:val="0"/>
                  <w:vAlign w:val="center"/>
                </w:tcPr>
                <w:p w14:paraId="19903392">
                  <w:pPr>
                    <w:spacing w:line="320" w:lineRule="atLeast"/>
                    <w:jc w:val="center"/>
                    <w:rPr>
                      <w:bCs/>
                      <w:szCs w:val="21"/>
                    </w:rPr>
                  </w:pPr>
                  <w:r>
                    <w:rPr>
                      <w:bCs/>
                      <w:szCs w:val="21"/>
                    </w:rPr>
                    <w:t>HW08  900-249-08</w:t>
                  </w:r>
                </w:p>
              </w:tc>
              <w:tc>
                <w:tcPr>
                  <w:tcW w:w="534" w:type="pct"/>
                  <w:noWrap w:val="0"/>
                  <w:vAlign w:val="center"/>
                </w:tcPr>
                <w:p w14:paraId="230E7BB5">
                  <w:pPr>
                    <w:spacing w:line="320" w:lineRule="atLeast"/>
                    <w:jc w:val="center"/>
                    <w:rPr>
                      <w:rFonts w:hint="eastAsia"/>
                      <w:bCs/>
                      <w:szCs w:val="21"/>
                    </w:rPr>
                  </w:pPr>
                  <w:r>
                    <w:rPr>
                      <w:bCs/>
                      <w:szCs w:val="21"/>
                    </w:rPr>
                    <w:t>0.0</w:t>
                  </w:r>
                  <w:r>
                    <w:rPr>
                      <w:rFonts w:hint="eastAsia"/>
                      <w:bCs/>
                      <w:szCs w:val="21"/>
                    </w:rPr>
                    <w:t>1</w:t>
                  </w:r>
                </w:p>
              </w:tc>
              <w:tc>
                <w:tcPr>
                  <w:tcW w:w="503" w:type="pct"/>
                  <w:noWrap w:val="0"/>
                  <w:vAlign w:val="center"/>
                </w:tcPr>
                <w:p w14:paraId="50B48A25">
                  <w:pPr>
                    <w:pStyle w:val="141"/>
                    <w:spacing w:line="320" w:lineRule="atLeast"/>
                    <w:rPr>
                      <w:rFonts w:ascii="Times New Roman" w:eastAsia="宋体"/>
                      <w:bCs/>
                      <w:szCs w:val="21"/>
                    </w:rPr>
                  </w:pPr>
                  <w:r>
                    <w:rPr>
                      <w:rFonts w:ascii="Times New Roman" w:eastAsia="宋体"/>
                      <w:bCs/>
                      <w:szCs w:val="21"/>
                    </w:rPr>
                    <w:t>机修</w:t>
                  </w:r>
                </w:p>
              </w:tc>
              <w:tc>
                <w:tcPr>
                  <w:tcW w:w="308" w:type="pct"/>
                  <w:noWrap w:val="0"/>
                  <w:vAlign w:val="center"/>
                </w:tcPr>
                <w:p w14:paraId="17FB3E2D">
                  <w:pPr>
                    <w:pStyle w:val="141"/>
                    <w:spacing w:line="320" w:lineRule="atLeast"/>
                    <w:rPr>
                      <w:rFonts w:ascii="Times New Roman" w:eastAsia="宋体"/>
                      <w:bCs/>
                      <w:szCs w:val="21"/>
                    </w:rPr>
                  </w:pPr>
                  <w:r>
                    <w:rPr>
                      <w:rFonts w:ascii="Times New Roman" w:eastAsia="宋体"/>
                      <w:bCs/>
                      <w:szCs w:val="21"/>
                    </w:rPr>
                    <w:t>固态</w:t>
                  </w:r>
                </w:p>
              </w:tc>
              <w:tc>
                <w:tcPr>
                  <w:tcW w:w="480" w:type="pct"/>
                  <w:noWrap w:val="0"/>
                  <w:vAlign w:val="center"/>
                </w:tcPr>
                <w:p w14:paraId="13F93939">
                  <w:pPr>
                    <w:pStyle w:val="141"/>
                    <w:spacing w:line="320" w:lineRule="atLeast"/>
                    <w:rPr>
                      <w:rFonts w:ascii="Times New Roman" w:eastAsia="宋体"/>
                      <w:bCs/>
                      <w:szCs w:val="21"/>
                    </w:rPr>
                  </w:pPr>
                  <w:r>
                    <w:rPr>
                      <w:rFonts w:ascii="Times New Roman" w:eastAsia="宋体"/>
                      <w:bCs/>
                      <w:szCs w:val="21"/>
                    </w:rPr>
                    <w:t>矿物油</w:t>
                  </w:r>
                </w:p>
              </w:tc>
              <w:tc>
                <w:tcPr>
                  <w:tcW w:w="476" w:type="pct"/>
                  <w:vMerge w:val="continue"/>
                  <w:noWrap w:val="0"/>
                  <w:vAlign w:val="center"/>
                </w:tcPr>
                <w:p w14:paraId="02E41D6B">
                  <w:pPr>
                    <w:pStyle w:val="141"/>
                    <w:spacing w:line="320" w:lineRule="atLeast"/>
                    <w:rPr>
                      <w:rFonts w:ascii="Times New Roman" w:eastAsia="宋体"/>
                      <w:bCs/>
                      <w:szCs w:val="21"/>
                    </w:rPr>
                  </w:pPr>
                </w:p>
              </w:tc>
              <w:tc>
                <w:tcPr>
                  <w:tcW w:w="780" w:type="pct"/>
                  <w:vMerge w:val="continue"/>
                  <w:noWrap w:val="0"/>
                  <w:vAlign w:val="center"/>
                </w:tcPr>
                <w:p w14:paraId="2C4CC475">
                  <w:pPr>
                    <w:pStyle w:val="141"/>
                    <w:spacing w:line="320" w:lineRule="atLeast"/>
                    <w:rPr>
                      <w:rFonts w:ascii="Times New Roman" w:eastAsia="宋体"/>
                      <w:bCs/>
                      <w:szCs w:val="21"/>
                    </w:rPr>
                  </w:pPr>
                </w:p>
              </w:tc>
            </w:tr>
          </w:tbl>
          <w:p w14:paraId="1FAA264F">
            <w:pPr>
              <w:spacing w:line="480" w:lineRule="exact"/>
              <w:ind w:firstLine="422" w:firstLineChars="200"/>
              <w:rPr>
                <w:rFonts w:hint="eastAsia"/>
                <w:b/>
              </w:rPr>
            </w:pPr>
          </w:p>
          <w:p w14:paraId="690F7325">
            <w:pPr>
              <w:spacing w:line="480" w:lineRule="exact"/>
              <w:ind w:firstLine="480" w:firstLineChars="200"/>
              <w:rPr>
                <w:bCs/>
                <w:sz w:val="24"/>
              </w:rPr>
            </w:pPr>
            <w:r>
              <w:rPr>
                <w:rFonts w:hint="eastAsia"/>
                <w:bCs/>
                <w:sz w:val="24"/>
              </w:rPr>
              <w:t>(4)</w:t>
            </w:r>
            <w:r>
              <w:rPr>
                <w:bCs/>
                <w:sz w:val="24"/>
              </w:rPr>
              <w:t>运营期固废环境保护措施</w:t>
            </w:r>
          </w:p>
          <w:p w14:paraId="59B0CC0A">
            <w:pPr>
              <w:spacing w:line="480" w:lineRule="exact"/>
              <w:ind w:firstLine="480" w:firstLineChars="200"/>
              <w:rPr>
                <w:bCs/>
                <w:sz w:val="24"/>
              </w:rPr>
            </w:pPr>
            <w:r>
              <w:rPr>
                <w:rFonts w:hint="eastAsia"/>
                <w:bCs/>
                <w:sz w:val="24"/>
              </w:rPr>
              <w:t>①</w:t>
            </w:r>
            <w:r>
              <w:rPr>
                <w:bCs/>
                <w:sz w:val="24"/>
              </w:rPr>
              <w:t>贮存场所(设施)污染防治设施</w:t>
            </w:r>
          </w:p>
          <w:p w14:paraId="15EA6BAC">
            <w:pPr>
              <w:spacing w:line="480" w:lineRule="exact"/>
              <w:ind w:firstLine="480" w:firstLineChars="200"/>
              <w:rPr>
                <w:rFonts w:hint="eastAsia"/>
                <w:bCs/>
                <w:sz w:val="24"/>
              </w:rPr>
            </w:pPr>
            <w:r>
              <w:rPr>
                <w:rFonts w:hint="eastAsia"/>
                <w:bCs/>
                <w:sz w:val="24"/>
              </w:rPr>
              <w:t>1)原料库</w:t>
            </w:r>
          </w:p>
          <w:p w14:paraId="2E23BD08">
            <w:pPr>
              <w:spacing w:line="480" w:lineRule="exact"/>
              <w:ind w:firstLine="480" w:firstLineChars="200"/>
              <w:rPr>
                <w:bCs/>
                <w:sz w:val="24"/>
              </w:rPr>
            </w:pPr>
            <w:r>
              <w:rPr>
                <w:bCs/>
                <w:sz w:val="24"/>
              </w:rPr>
              <w:t>本项目属于一般固废综合利用，原料煤矸石储存在原料库内，现有原料库面积为</w:t>
            </w:r>
            <w:r>
              <w:rPr>
                <w:rFonts w:hint="eastAsia"/>
                <w:bCs/>
                <w:sz w:val="24"/>
              </w:rPr>
              <w:t>2000m</w:t>
            </w:r>
            <w:r>
              <w:rPr>
                <w:rFonts w:hint="eastAsia"/>
                <w:bCs/>
                <w:sz w:val="24"/>
                <w:vertAlign w:val="superscript"/>
              </w:rPr>
              <w:t>2</w:t>
            </w:r>
            <w:r>
              <w:rPr>
                <w:rFonts w:hint="eastAsia"/>
                <w:bCs/>
                <w:sz w:val="24"/>
              </w:rPr>
              <w:t>，位于厂区西部，本次改扩建项目将原料库面积扩大至3000m</w:t>
            </w:r>
            <w:r>
              <w:rPr>
                <w:rFonts w:hint="eastAsia"/>
                <w:bCs/>
                <w:sz w:val="24"/>
                <w:vertAlign w:val="superscript"/>
              </w:rPr>
              <w:t>2</w:t>
            </w:r>
            <w:r>
              <w:rPr>
                <w:rFonts w:hint="eastAsia"/>
                <w:bCs/>
                <w:sz w:val="24"/>
              </w:rPr>
              <w:t>，原料库的建设需要按照《一般工业固体废物贮存和填埋污染控制标准》(</w:t>
            </w:r>
            <w:r>
              <w:rPr>
                <w:bCs/>
                <w:sz w:val="24"/>
              </w:rPr>
              <w:t>GB18599-2020</w:t>
            </w:r>
            <w:r>
              <w:rPr>
                <w:rFonts w:hint="eastAsia"/>
                <w:bCs/>
                <w:sz w:val="24"/>
              </w:rPr>
              <w:t>)的要求进行建设，其贮存过程应满足相应防渗漏、防雨淋、防扬尘等环境保护要求。</w:t>
            </w:r>
          </w:p>
          <w:p w14:paraId="6FAFF8E9">
            <w:pPr>
              <w:spacing w:line="480" w:lineRule="exact"/>
              <w:ind w:firstLine="480" w:firstLineChars="200"/>
              <w:rPr>
                <w:bCs/>
                <w:sz w:val="24"/>
              </w:rPr>
            </w:pPr>
            <w:r>
              <w:rPr>
                <w:rFonts w:hint="eastAsia"/>
                <w:bCs/>
                <w:sz w:val="24"/>
              </w:rPr>
              <w:t>2)一般固废暂存场所</w:t>
            </w:r>
          </w:p>
          <w:p w14:paraId="0119A9F4">
            <w:pPr>
              <w:adjustRightInd w:val="0"/>
              <w:spacing w:line="480" w:lineRule="exact"/>
              <w:ind w:firstLine="480" w:firstLineChars="200"/>
              <w:rPr>
                <w:bCs/>
                <w:sz w:val="24"/>
              </w:rPr>
            </w:pPr>
            <w:r>
              <w:rPr>
                <w:rFonts w:hint="eastAsia"/>
                <w:bCs/>
                <w:sz w:val="24"/>
              </w:rPr>
              <w:t>项目依托现有厂区一般工业固体废物暂存间，位于生产厂房南侧，占地面积20</w:t>
            </w:r>
            <w:r>
              <w:rPr>
                <w:bCs/>
                <w:sz w:val="24"/>
              </w:rPr>
              <w:t>m</w:t>
            </w:r>
            <w:r>
              <w:rPr>
                <w:bCs/>
                <w:sz w:val="24"/>
                <w:vertAlign w:val="superscript"/>
              </w:rPr>
              <w:t>2</w:t>
            </w:r>
            <w:r>
              <w:rPr>
                <w:rFonts w:hint="eastAsia"/>
                <w:bCs/>
                <w:sz w:val="24"/>
              </w:rPr>
              <w:t>。一般固体废物暂存间暂存能力为20t，现有项目一般固体废物最大暂存量为4t，本项目产生的磁选废物最大暂存量为2t，现有一般工业固体废物暂存间能够满足暂存要求，因此依托现有一般工业固体废物暂存间暂存本项目产生的一般工业固体废物可行，贮存过程应满足相应防渗漏、防雨淋、防扬尘等环境保护要求。</w:t>
            </w:r>
          </w:p>
          <w:p w14:paraId="42849E1F">
            <w:pPr>
              <w:spacing w:line="480" w:lineRule="exact"/>
              <w:ind w:firstLine="480" w:firstLineChars="200"/>
              <w:rPr>
                <w:bCs/>
                <w:sz w:val="24"/>
              </w:rPr>
            </w:pPr>
            <w:r>
              <w:rPr>
                <w:rFonts w:hint="eastAsia"/>
                <w:bCs/>
                <w:sz w:val="24"/>
              </w:rPr>
              <w:t>2)</w:t>
            </w:r>
            <w:r>
              <w:rPr>
                <w:bCs/>
                <w:sz w:val="24"/>
              </w:rPr>
              <w:t>危险废物暂存场所</w:t>
            </w:r>
          </w:p>
          <w:p w14:paraId="0F7A8437">
            <w:pPr>
              <w:spacing w:line="480" w:lineRule="exact"/>
              <w:ind w:firstLine="480" w:firstLineChars="200"/>
              <w:rPr>
                <w:rFonts w:hint="eastAsia"/>
                <w:bCs/>
                <w:sz w:val="24"/>
              </w:rPr>
            </w:pPr>
            <w:r>
              <w:rPr>
                <w:rFonts w:hint="eastAsia"/>
                <w:bCs/>
                <w:sz w:val="24"/>
              </w:rPr>
              <w:t>本项目仅新增少量废机油和废机油桶，依托现有一座10</w:t>
            </w:r>
            <w:r>
              <w:rPr>
                <w:bCs/>
                <w:sz w:val="24"/>
              </w:rPr>
              <w:t>m</w:t>
            </w:r>
            <w:r>
              <w:rPr>
                <w:bCs/>
                <w:sz w:val="24"/>
                <w:vertAlign w:val="superscript"/>
              </w:rPr>
              <w:t>2</w:t>
            </w:r>
            <w:r>
              <w:rPr>
                <w:rFonts w:hint="eastAsia"/>
                <w:bCs/>
                <w:sz w:val="24"/>
              </w:rPr>
              <w:t>危险废物暂存间进行暂存，位于生产厂房南侧。危险废物暂存间暂存能力为5t，现有危险废物暂存间最大暂存量为0.4t，本项目产生的废机油和废机油桶最大暂存量为0.06t，现有危险废物暂存间能够满足暂存要求，因此依托现有危险废物暂存间暂存本项目产生的危险废物可行。废机油暂存于闭口容器内，单层码放在防渗托盘中。</w:t>
            </w:r>
          </w:p>
          <w:p w14:paraId="07B4512D">
            <w:pPr>
              <w:spacing w:line="480" w:lineRule="exact"/>
              <w:ind w:firstLine="480" w:firstLineChars="200"/>
              <w:rPr>
                <w:bCs/>
                <w:sz w:val="24"/>
              </w:rPr>
            </w:pPr>
            <w:r>
              <w:rPr>
                <w:bCs/>
                <w:sz w:val="24"/>
              </w:rPr>
              <w:t>根据现场勘察，现有危废库已设置分区，并且已设置重点防渗，满足《危险废物贮存污染控制标准》(GB18597-2023)中要求。</w:t>
            </w:r>
          </w:p>
          <w:p w14:paraId="331A20F3">
            <w:pPr>
              <w:pStyle w:val="5"/>
              <w:spacing w:before="0" w:after="0" w:line="480" w:lineRule="exact"/>
              <w:ind w:firstLine="352" w:firstLineChars="147"/>
              <w:outlineLvl w:val="2"/>
              <w:rPr>
                <w:b w:val="0"/>
                <w:sz w:val="24"/>
                <w:szCs w:val="24"/>
              </w:rPr>
            </w:pPr>
            <w:r>
              <w:rPr>
                <w:b w:val="0"/>
                <w:sz w:val="24"/>
                <w:szCs w:val="24"/>
              </w:rPr>
              <w:t>所有纳入危险废物范畴的固体废物在企业内的存放地设置符合《危险废物贮存污染控制标准》(GB18597-20</w:t>
            </w:r>
            <w:r>
              <w:rPr>
                <w:rFonts w:hint="eastAsia"/>
                <w:b w:val="0"/>
                <w:sz w:val="24"/>
                <w:szCs w:val="24"/>
              </w:rPr>
              <w:t>23</w:t>
            </w:r>
            <w:r>
              <w:rPr>
                <w:b w:val="0"/>
                <w:sz w:val="24"/>
                <w:szCs w:val="24"/>
              </w:rPr>
              <w:t>)的专用标志。危险废物必须使用专用的容器贮存，除非在常温常压下不水解、不挥发的固体危险废物可在贮存设施内分别堆放。贮存容器应有明显标志，并且标明废物的特性，是否具有耐腐蚀、与所贮存的废物发生反应等特性。贮存场所严格按照“四防”(防风、防雨、防晒、防渗漏)要求进行设置，有集排水设施且贮存场所符合消防要求，贮存场所内采用安全照明设施，并设置观察窗口。</w:t>
            </w:r>
          </w:p>
          <w:p w14:paraId="64804001">
            <w:pPr>
              <w:pStyle w:val="5"/>
              <w:spacing w:before="0" w:after="0" w:line="480" w:lineRule="exact"/>
              <w:ind w:firstLine="352" w:firstLineChars="147"/>
              <w:outlineLvl w:val="2"/>
              <w:rPr>
                <w:rFonts w:hint="eastAsia" w:ascii="黑体" w:hAnsi="黑体" w:eastAsia="黑体" w:cs="黑体"/>
                <w:b w:val="0"/>
                <w:sz w:val="24"/>
                <w:szCs w:val="24"/>
              </w:rPr>
            </w:pPr>
            <w:r>
              <w:rPr>
                <w:rFonts w:hint="eastAsia" w:ascii="黑体" w:hAnsi="黑体" w:eastAsia="黑体" w:cs="黑体"/>
                <w:b w:val="0"/>
                <w:sz w:val="24"/>
                <w:szCs w:val="24"/>
              </w:rPr>
              <w:t>5、地下水、土壤</w:t>
            </w:r>
          </w:p>
          <w:p w14:paraId="51496933">
            <w:pPr>
              <w:spacing w:line="480" w:lineRule="exact"/>
              <w:ind w:firstLine="480" w:firstLineChars="200"/>
              <w:rPr>
                <w:bCs/>
                <w:sz w:val="24"/>
              </w:rPr>
            </w:pPr>
            <w:r>
              <w:rPr>
                <w:bCs/>
                <w:sz w:val="24"/>
              </w:rPr>
              <w:t>(1)地下水、土壤污染源、污染物类型及污染途径分析</w:t>
            </w:r>
          </w:p>
          <w:p w14:paraId="56EB3FF5">
            <w:pPr>
              <w:spacing w:line="480" w:lineRule="exact"/>
              <w:ind w:firstLine="480" w:firstLineChars="200"/>
              <w:rPr>
                <w:bCs/>
                <w:sz w:val="24"/>
              </w:rPr>
            </w:pPr>
            <w:r>
              <w:rPr>
                <w:bCs/>
                <w:sz w:val="24"/>
              </w:rPr>
              <w:t>生产过程中产生的污染物主要以水为载体，通过包气带中的裂隙、孔隙向地下垂直渗漏和渗透。在遇砂性土会较快进入地下水体，如遇粘性土，载体则沿层面做水平运动，使污染范围扩大，当遇到下渗通道时再垂向渗漏，进入地下水体。</w:t>
            </w:r>
          </w:p>
          <w:p w14:paraId="5E65A76D">
            <w:pPr>
              <w:spacing w:line="480" w:lineRule="exact"/>
              <w:ind w:firstLine="480" w:firstLineChars="200"/>
              <w:rPr>
                <w:bCs/>
                <w:sz w:val="24"/>
              </w:rPr>
            </w:pPr>
            <w:r>
              <w:rPr>
                <w:bCs/>
                <w:sz w:val="24"/>
              </w:rPr>
              <w:t>包气带的防护能力大小，直接影响着地下水的防护，包气带防护条件与包气带厚度、岩性结构、弱渗透性地层的渗透性能及厚度有关，若包气带粘性土厚度小，且分布不连续、不稳定，则地下水自然防护条件就差，污水渗漏就易对地下水产生污染，若包气带粘性土厚度虽小，但分布连续，稳定，则地下水自然防护条件相对就好些，污染物对地下水影响就相对小些，拟建项目地下水污染途径主要是各类污水池的渗漏对浅层地下水的影响，其中预处理阶段的污水池由于浓度高，其影响比其它池体要大。</w:t>
            </w:r>
          </w:p>
          <w:p w14:paraId="5F119E6C">
            <w:pPr>
              <w:spacing w:line="480" w:lineRule="exact"/>
              <w:ind w:firstLine="480" w:firstLineChars="200"/>
              <w:rPr>
                <w:bCs/>
                <w:sz w:val="24"/>
              </w:rPr>
            </w:pPr>
            <w:r>
              <w:rPr>
                <w:bCs/>
                <w:sz w:val="24"/>
              </w:rPr>
              <w:t>对土壤的污染途径主要为废气通过大气沉降对土壤环境造成污染。</w:t>
            </w:r>
          </w:p>
          <w:p w14:paraId="6A7AC9BD">
            <w:pPr>
              <w:spacing w:line="480" w:lineRule="exact"/>
              <w:ind w:firstLine="480" w:firstLineChars="200"/>
              <w:rPr>
                <w:bCs/>
                <w:sz w:val="24"/>
              </w:rPr>
            </w:pPr>
            <w:r>
              <w:rPr>
                <w:bCs/>
                <w:sz w:val="24"/>
              </w:rPr>
              <w:t>(2)污染防控措施</w:t>
            </w:r>
          </w:p>
          <w:p w14:paraId="14B4A41D">
            <w:pPr>
              <w:spacing w:line="480" w:lineRule="exact"/>
              <w:ind w:firstLine="480" w:firstLineChars="200"/>
              <w:rPr>
                <w:bCs/>
                <w:sz w:val="24"/>
              </w:rPr>
            </w:pPr>
            <w:r>
              <w:rPr>
                <w:bCs/>
                <w:sz w:val="24"/>
              </w:rPr>
              <w:t>①分区防渗</w:t>
            </w:r>
          </w:p>
          <w:p w14:paraId="3E32F12F">
            <w:pPr>
              <w:spacing w:line="480" w:lineRule="exact"/>
              <w:ind w:firstLine="480" w:firstLineChars="200"/>
              <w:rPr>
                <w:bCs/>
                <w:sz w:val="24"/>
              </w:rPr>
            </w:pPr>
            <w:r>
              <w:rPr>
                <w:bCs/>
                <w:sz w:val="24"/>
              </w:rPr>
              <w:t>针对可能对地下水和土壤造成影响的各环节，按照“考虑重点，辐射全面”的防腐防渗原则、防渗技术要求进行划分。</w:t>
            </w:r>
          </w:p>
          <w:p w14:paraId="42E06FE9">
            <w:pPr>
              <w:spacing w:line="480" w:lineRule="exact"/>
              <w:ind w:firstLine="480" w:firstLineChars="200"/>
              <w:rPr>
                <w:snapToGrid w:val="0"/>
                <w:sz w:val="24"/>
              </w:rPr>
            </w:pPr>
            <w:r>
              <w:rPr>
                <w:rFonts w:hint="eastAsia"/>
                <w:snapToGrid w:val="0"/>
                <w:sz w:val="24"/>
              </w:rPr>
              <w:t>参照(HJ 610-2016)要求，并根据厂区可能泄漏至地面区域污染物的性质以及各设施及建构筑物污染物难易控制程度进行分级，本项目分区防渗情况如下。</w:t>
            </w:r>
          </w:p>
          <w:p w14:paraId="313803A2">
            <w:pPr>
              <w:spacing w:line="480" w:lineRule="exact"/>
              <w:ind w:firstLine="480" w:firstLineChars="200"/>
              <w:rPr>
                <w:sz w:val="24"/>
              </w:rPr>
            </w:pPr>
            <w:r>
              <w:rPr>
                <w:sz w:val="24"/>
              </w:rPr>
              <w:t>重点防渗区：重点防渗区指可能会对地下水和土壤造成污染，风险程度较高，需要重点防治的区域，主要为危险废物暂存间。重点防渗区的防渗技术要求为等效黏土防渗层Mb≥6.0m，K≤10</w:t>
            </w:r>
            <w:r>
              <w:rPr>
                <w:rFonts w:hint="eastAsia"/>
                <w:sz w:val="24"/>
              </w:rPr>
              <w:t>—</w:t>
            </w:r>
            <w:r>
              <w:rPr>
                <w:sz w:val="24"/>
                <w:vertAlign w:val="superscript"/>
              </w:rPr>
              <w:t>7</w:t>
            </w:r>
            <w:r>
              <w:rPr>
                <w:sz w:val="24"/>
              </w:rPr>
              <w:t>cm/s。其中危险废物暂存间还需要满足《危险废物贮存污染控制标准》(GB18597-20</w:t>
            </w:r>
            <w:r>
              <w:rPr>
                <w:rFonts w:hint="eastAsia"/>
                <w:sz w:val="24"/>
              </w:rPr>
              <w:t>23</w:t>
            </w:r>
            <w:r>
              <w:rPr>
                <w:sz w:val="24"/>
              </w:rPr>
              <w:t>)中防渗要求：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粘土层(渗透系数≤10</w:t>
            </w:r>
            <w:r>
              <w:rPr>
                <w:rFonts w:hint="eastAsia"/>
                <w:sz w:val="24"/>
              </w:rPr>
              <w:t>—</w:t>
            </w:r>
            <w:r>
              <w:rPr>
                <w:sz w:val="24"/>
                <w:vertAlign w:val="superscript"/>
              </w:rPr>
              <w:t>7</w:t>
            </w:r>
            <w:r>
              <w:rPr>
                <w:sz w:val="24"/>
              </w:rPr>
              <w:t>cm/s)，或2mm厚高密度聚乙烯，或至少2mm厚的其他人工材料，渗透系数≤10</w:t>
            </w:r>
            <w:r>
              <w:rPr>
                <w:rFonts w:hint="eastAsia"/>
                <w:sz w:val="24"/>
              </w:rPr>
              <w:t>—</w:t>
            </w:r>
            <w:r>
              <w:rPr>
                <w:sz w:val="24"/>
                <w:vertAlign w:val="superscript"/>
              </w:rPr>
              <w:t>10</w:t>
            </w:r>
            <w:r>
              <w:rPr>
                <w:sz w:val="24"/>
              </w:rPr>
              <w:t>cm/s。</w:t>
            </w:r>
            <w:r>
              <w:rPr>
                <w:rFonts w:hint="eastAsia"/>
                <w:sz w:val="24"/>
              </w:rPr>
              <w:t>现有危险废物暂存间</w:t>
            </w:r>
            <w:r>
              <w:rPr>
                <w:sz w:val="24"/>
              </w:rPr>
              <w:t>均已做</w:t>
            </w:r>
            <w:r>
              <w:rPr>
                <w:rFonts w:hint="eastAsia"/>
                <w:sz w:val="24"/>
              </w:rPr>
              <w:t>重点</w:t>
            </w:r>
            <w:r>
              <w:rPr>
                <w:sz w:val="24"/>
              </w:rPr>
              <w:t>防渗。</w:t>
            </w:r>
          </w:p>
          <w:p w14:paraId="1861F808">
            <w:pPr>
              <w:autoSpaceDE w:val="0"/>
              <w:autoSpaceDN w:val="0"/>
              <w:spacing w:line="480" w:lineRule="exact"/>
              <w:ind w:firstLine="480" w:firstLineChars="200"/>
              <w:rPr>
                <w:sz w:val="24"/>
              </w:rPr>
            </w:pPr>
            <w:r>
              <w:rPr>
                <w:sz w:val="24"/>
              </w:rPr>
              <w:t>一般防渗区：一般防渗区是指可能会对地下水和土壤造成污染，但危害性或风险程度相对较低的区域，主要为</w:t>
            </w:r>
            <w:r>
              <w:rPr>
                <w:rFonts w:hint="eastAsia"/>
                <w:sz w:val="24"/>
              </w:rPr>
              <w:t>原料库</w:t>
            </w:r>
            <w:r>
              <w:rPr>
                <w:sz w:val="24"/>
              </w:rPr>
              <w:t>。一般防渗区的防渗技术要求：等效黏土防渗层Mb≥1.5m，K≤10</w:t>
            </w:r>
            <w:r>
              <w:rPr>
                <w:sz w:val="24"/>
                <w:vertAlign w:val="superscript"/>
              </w:rPr>
              <w:t>-7</w:t>
            </w:r>
            <w:r>
              <w:rPr>
                <w:sz w:val="24"/>
              </w:rPr>
              <w:t>cm/s</w:t>
            </w:r>
            <w:r>
              <w:rPr>
                <w:rFonts w:hint="eastAsia"/>
                <w:sz w:val="24"/>
              </w:rPr>
              <w:t>，</w:t>
            </w:r>
            <w:r>
              <w:rPr>
                <w:sz w:val="24"/>
              </w:rPr>
              <w:t>项目</w:t>
            </w:r>
            <w:r>
              <w:rPr>
                <w:rFonts w:hint="eastAsia"/>
                <w:sz w:val="24"/>
              </w:rPr>
              <w:t>依托</w:t>
            </w:r>
            <w:r>
              <w:rPr>
                <w:sz w:val="24"/>
              </w:rPr>
              <w:t>现有厂房进行</w:t>
            </w:r>
            <w:r>
              <w:rPr>
                <w:rFonts w:hint="eastAsia"/>
                <w:sz w:val="24"/>
              </w:rPr>
              <w:t>生产，现有厂房</w:t>
            </w:r>
            <w:r>
              <w:rPr>
                <w:sz w:val="24"/>
              </w:rPr>
              <w:t>地面均已做一般防渗</w:t>
            </w:r>
            <w:r>
              <w:rPr>
                <w:rFonts w:hint="eastAsia"/>
                <w:sz w:val="24"/>
              </w:rPr>
              <w:t>，扩建</w:t>
            </w:r>
            <w:r>
              <w:rPr>
                <w:sz w:val="24"/>
              </w:rPr>
              <w:t>的</w:t>
            </w:r>
            <w:r>
              <w:rPr>
                <w:rFonts w:hint="eastAsia"/>
                <w:sz w:val="24"/>
              </w:rPr>
              <w:t>原料库，</w:t>
            </w:r>
            <w:r>
              <w:rPr>
                <w:sz w:val="24"/>
              </w:rPr>
              <w:t>企业拟做</w:t>
            </w:r>
            <w:r>
              <w:rPr>
                <w:rFonts w:hint="eastAsia"/>
                <w:sz w:val="24"/>
              </w:rPr>
              <w:t>15cm抗渗混凝土</w:t>
            </w:r>
            <w:r>
              <w:rPr>
                <w:sz w:val="24"/>
              </w:rPr>
              <w:t>。</w:t>
            </w:r>
          </w:p>
          <w:p w14:paraId="2F5E399F">
            <w:pPr>
              <w:spacing w:line="480" w:lineRule="exact"/>
              <w:ind w:firstLine="480" w:firstLineChars="200"/>
              <w:rPr>
                <w:sz w:val="24"/>
              </w:rPr>
            </w:pPr>
            <w:r>
              <w:rPr>
                <w:rFonts w:hint="eastAsia"/>
                <w:sz w:val="24"/>
              </w:rPr>
              <w:t>简单防渗：主要为办公区等其他区域，</w:t>
            </w:r>
            <w:r>
              <w:rPr>
                <w:sz w:val="24"/>
              </w:rPr>
              <w:t>一般防渗区的防渗技术要求：一般地面硬化</w:t>
            </w:r>
            <w:r>
              <w:rPr>
                <w:rFonts w:hint="eastAsia"/>
                <w:sz w:val="24"/>
              </w:rPr>
              <w:t>，依托</w:t>
            </w:r>
            <w:r>
              <w:rPr>
                <w:sz w:val="24"/>
              </w:rPr>
              <w:t>现有</w:t>
            </w:r>
            <w:r>
              <w:rPr>
                <w:rFonts w:hint="eastAsia"/>
                <w:sz w:val="24"/>
              </w:rPr>
              <w:t>办公</w:t>
            </w:r>
            <w:r>
              <w:rPr>
                <w:sz w:val="24"/>
              </w:rPr>
              <w:t>区</w:t>
            </w:r>
            <w:r>
              <w:rPr>
                <w:rFonts w:hint="eastAsia"/>
                <w:sz w:val="24"/>
              </w:rPr>
              <w:t>，</w:t>
            </w:r>
            <w:r>
              <w:rPr>
                <w:sz w:val="24"/>
              </w:rPr>
              <w:t>现有办公区地面已做</w:t>
            </w:r>
            <w:r>
              <w:rPr>
                <w:rFonts w:hint="eastAsia"/>
                <w:sz w:val="24"/>
              </w:rPr>
              <w:t>地面硬化处理</w:t>
            </w:r>
            <w:r>
              <w:rPr>
                <w:sz w:val="24"/>
              </w:rPr>
              <w:t>。</w:t>
            </w:r>
          </w:p>
          <w:p w14:paraId="156877C7">
            <w:pPr>
              <w:spacing w:line="480" w:lineRule="exact"/>
              <w:ind w:firstLine="470" w:firstLineChars="196"/>
              <w:rPr>
                <w:bCs/>
                <w:sz w:val="24"/>
              </w:rPr>
            </w:pPr>
            <w:r>
              <w:rPr>
                <w:sz w:val="24"/>
              </w:rPr>
              <w:t>因此，在落实各项防渗措施后，项目不会对区域地下水、土壤环境产生明显影响</w:t>
            </w:r>
            <w:r>
              <w:rPr>
                <w:bCs/>
                <w:sz w:val="24"/>
              </w:rPr>
              <w:t>；具体分区防治措施详见下表。</w:t>
            </w:r>
          </w:p>
          <w:p w14:paraId="3123851D">
            <w:pPr>
              <w:spacing w:line="480" w:lineRule="exact"/>
              <w:ind w:firstLine="480" w:firstLineChars="200"/>
              <w:jc w:val="center"/>
              <w:rPr>
                <w:rFonts w:hint="eastAsia" w:ascii="黑体" w:hAnsi="黑体" w:eastAsia="黑体" w:cs="黑体"/>
                <w:bCs/>
                <w:sz w:val="24"/>
              </w:rPr>
            </w:pPr>
            <w:r>
              <w:rPr>
                <w:rFonts w:hint="eastAsia" w:ascii="黑体" w:hAnsi="黑体" w:eastAsia="黑体" w:cs="黑体"/>
                <w:bCs/>
                <w:sz w:val="24"/>
              </w:rPr>
              <w:t>表4-17项目防渗分区</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1184"/>
              <w:gridCol w:w="2042"/>
              <w:gridCol w:w="1147"/>
              <w:gridCol w:w="1232"/>
              <w:gridCol w:w="1289"/>
            </w:tblGrid>
            <w:tr w14:paraId="7080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92" w:type="dxa"/>
                  <w:noWrap w:val="0"/>
                  <w:vAlign w:val="center"/>
                </w:tcPr>
                <w:p w14:paraId="02C5E564">
                  <w:pPr>
                    <w:autoSpaceDE w:val="0"/>
                    <w:autoSpaceDN w:val="0"/>
                    <w:spacing w:line="276" w:lineRule="auto"/>
                    <w:jc w:val="center"/>
                    <w:rPr>
                      <w:bCs/>
                      <w:szCs w:val="21"/>
                    </w:rPr>
                  </w:pPr>
                  <w:r>
                    <w:rPr>
                      <w:bCs/>
                      <w:szCs w:val="21"/>
                    </w:rPr>
                    <w:t>区域</w:t>
                  </w:r>
                </w:p>
              </w:tc>
              <w:tc>
                <w:tcPr>
                  <w:tcW w:w="1191" w:type="dxa"/>
                  <w:noWrap w:val="0"/>
                  <w:vAlign w:val="center"/>
                </w:tcPr>
                <w:p w14:paraId="57C30012">
                  <w:pPr>
                    <w:autoSpaceDE w:val="0"/>
                    <w:autoSpaceDN w:val="0"/>
                    <w:spacing w:line="276" w:lineRule="auto"/>
                    <w:jc w:val="center"/>
                    <w:rPr>
                      <w:bCs/>
                      <w:szCs w:val="21"/>
                    </w:rPr>
                  </w:pPr>
                  <w:r>
                    <w:rPr>
                      <w:bCs/>
                      <w:szCs w:val="21"/>
                    </w:rPr>
                    <w:t>防渗等级</w:t>
                  </w:r>
                </w:p>
              </w:tc>
              <w:tc>
                <w:tcPr>
                  <w:tcW w:w="2045" w:type="dxa"/>
                  <w:noWrap w:val="0"/>
                  <w:vAlign w:val="center"/>
                </w:tcPr>
                <w:p w14:paraId="2BA4D76A">
                  <w:pPr>
                    <w:autoSpaceDE w:val="0"/>
                    <w:autoSpaceDN w:val="0"/>
                    <w:spacing w:line="276" w:lineRule="auto"/>
                    <w:jc w:val="center"/>
                    <w:rPr>
                      <w:bCs/>
                      <w:szCs w:val="21"/>
                    </w:rPr>
                  </w:pPr>
                  <w:r>
                    <w:rPr>
                      <w:bCs/>
                      <w:szCs w:val="21"/>
                    </w:rPr>
                    <w:t>防渗技术要求</w:t>
                  </w:r>
                </w:p>
              </w:tc>
              <w:tc>
                <w:tcPr>
                  <w:tcW w:w="1153" w:type="dxa"/>
                  <w:noWrap w:val="0"/>
                  <w:vAlign w:val="center"/>
                </w:tcPr>
                <w:p w14:paraId="4D39E728">
                  <w:pPr>
                    <w:autoSpaceDE w:val="0"/>
                    <w:autoSpaceDN w:val="0"/>
                    <w:spacing w:line="276" w:lineRule="auto"/>
                    <w:jc w:val="center"/>
                    <w:rPr>
                      <w:bCs/>
                      <w:szCs w:val="21"/>
                    </w:rPr>
                  </w:pPr>
                  <w:r>
                    <w:rPr>
                      <w:bCs/>
                      <w:szCs w:val="21"/>
                    </w:rPr>
                    <w:t>现有防渗措施</w:t>
                  </w:r>
                </w:p>
              </w:tc>
              <w:tc>
                <w:tcPr>
                  <w:tcW w:w="1239" w:type="dxa"/>
                  <w:noWrap w:val="0"/>
                  <w:vAlign w:val="center"/>
                </w:tcPr>
                <w:p w14:paraId="3C8246C0">
                  <w:pPr>
                    <w:autoSpaceDE w:val="0"/>
                    <w:autoSpaceDN w:val="0"/>
                    <w:spacing w:line="276" w:lineRule="auto"/>
                    <w:jc w:val="center"/>
                    <w:rPr>
                      <w:bCs/>
                      <w:szCs w:val="21"/>
                    </w:rPr>
                  </w:pPr>
                  <w:r>
                    <w:rPr>
                      <w:bCs/>
                      <w:szCs w:val="21"/>
                    </w:rPr>
                    <w:t>拟采取防渗措施</w:t>
                  </w:r>
                </w:p>
              </w:tc>
              <w:tc>
                <w:tcPr>
                  <w:tcW w:w="1297" w:type="dxa"/>
                  <w:noWrap w:val="0"/>
                  <w:vAlign w:val="center"/>
                </w:tcPr>
                <w:p w14:paraId="2B81EAF1">
                  <w:pPr>
                    <w:autoSpaceDE w:val="0"/>
                    <w:autoSpaceDN w:val="0"/>
                    <w:spacing w:line="276" w:lineRule="auto"/>
                    <w:jc w:val="center"/>
                    <w:rPr>
                      <w:bCs/>
                      <w:szCs w:val="21"/>
                    </w:rPr>
                  </w:pPr>
                  <w:r>
                    <w:rPr>
                      <w:bCs/>
                      <w:szCs w:val="21"/>
                    </w:rPr>
                    <w:t>差距</w:t>
                  </w:r>
                </w:p>
              </w:tc>
            </w:tr>
            <w:tr w14:paraId="421C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4" w:hRule="atLeast"/>
                <w:jc w:val="center"/>
              </w:trPr>
              <w:tc>
                <w:tcPr>
                  <w:tcW w:w="1592" w:type="dxa"/>
                  <w:noWrap w:val="0"/>
                  <w:vAlign w:val="center"/>
                </w:tcPr>
                <w:p w14:paraId="7A7D6AEE">
                  <w:pPr>
                    <w:autoSpaceDE w:val="0"/>
                    <w:autoSpaceDN w:val="0"/>
                    <w:spacing w:line="273" w:lineRule="auto"/>
                    <w:jc w:val="center"/>
                    <w:rPr>
                      <w:bCs/>
                      <w:szCs w:val="21"/>
                    </w:rPr>
                  </w:pPr>
                  <w:r>
                    <w:rPr>
                      <w:bCs/>
                      <w:szCs w:val="21"/>
                    </w:rPr>
                    <w:t>危险废物暂存间</w:t>
                  </w:r>
                </w:p>
              </w:tc>
              <w:tc>
                <w:tcPr>
                  <w:tcW w:w="1191" w:type="dxa"/>
                  <w:noWrap w:val="0"/>
                  <w:vAlign w:val="center"/>
                </w:tcPr>
                <w:p w14:paraId="06CA19BC">
                  <w:pPr>
                    <w:autoSpaceDE w:val="0"/>
                    <w:autoSpaceDN w:val="0"/>
                    <w:spacing w:line="273" w:lineRule="auto"/>
                    <w:jc w:val="center"/>
                    <w:rPr>
                      <w:bCs/>
                      <w:szCs w:val="21"/>
                    </w:rPr>
                  </w:pPr>
                  <w:r>
                    <w:rPr>
                      <w:bCs/>
                      <w:szCs w:val="21"/>
                    </w:rPr>
                    <w:t>重点防渗区</w:t>
                  </w:r>
                </w:p>
              </w:tc>
              <w:tc>
                <w:tcPr>
                  <w:tcW w:w="2045" w:type="dxa"/>
                  <w:noWrap w:val="0"/>
                  <w:vAlign w:val="center"/>
                </w:tcPr>
                <w:p w14:paraId="00111696">
                  <w:pPr>
                    <w:autoSpaceDE w:val="0"/>
                    <w:autoSpaceDN w:val="0"/>
                    <w:spacing w:line="273" w:lineRule="auto"/>
                    <w:jc w:val="center"/>
                    <w:rPr>
                      <w:bCs/>
                      <w:szCs w:val="21"/>
                    </w:rPr>
                  </w:pPr>
                  <w:r>
                    <w:rPr>
                      <w:bCs/>
                      <w:szCs w:val="21"/>
                    </w:rPr>
                    <w:t>参照《危险废物贮存污染控制标准》(GB18597-2023)执行，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粘土层(渗透系数≤10</w:t>
                  </w:r>
                  <w:r>
                    <w:rPr>
                      <w:bCs/>
                      <w:szCs w:val="21"/>
                      <w:vertAlign w:val="superscript"/>
                    </w:rPr>
                    <w:t>-7</w:t>
                  </w:r>
                  <w:r>
                    <w:rPr>
                      <w:bCs/>
                      <w:szCs w:val="21"/>
                    </w:rPr>
                    <w:t>cm/s)，或2mm厚高密度聚乙烯，或至少2mm厚的其他人工材料，渗透系数≤10</w:t>
                  </w:r>
                  <w:r>
                    <w:rPr>
                      <w:bCs/>
                      <w:szCs w:val="21"/>
                      <w:vertAlign w:val="superscript"/>
                    </w:rPr>
                    <w:t>-10</w:t>
                  </w:r>
                  <w:r>
                    <w:rPr>
                      <w:bCs/>
                      <w:szCs w:val="21"/>
                    </w:rPr>
                    <w:t>cm/s</w:t>
                  </w:r>
                </w:p>
              </w:tc>
              <w:tc>
                <w:tcPr>
                  <w:tcW w:w="1153" w:type="dxa"/>
                  <w:noWrap w:val="0"/>
                  <w:vAlign w:val="center"/>
                </w:tcPr>
                <w:p w14:paraId="5FB2A92F">
                  <w:pPr>
                    <w:autoSpaceDE w:val="0"/>
                    <w:autoSpaceDN w:val="0"/>
                    <w:spacing w:line="273" w:lineRule="auto"/>
                    <w:jc w:val="center"/>
                    <w:rPr>
                      <w:bCs/>
                      <w:szCs w:val="21"/>
                    </w:rPr>
                  </w:pPr>
                  <w:r>
                    <w:rPr>
                      <w:bCs/>
                      <w:szCs w:val="21"/>
                    </w:rPr>
                    <w:t>防渗混凝土</w:t>
                  </w:r>
                  <w:r>
                    <w:rPr>
                      <w:rFonts w:hint="eastAsia"/>
                      <w:bCs/>
                      <w:szCs w:val="21"/>
                    </w:rPr>
                    <w:t>+环氧地坪</w:t>
                  </w:r>
                </w:p>
              </w:tc>
              <w:tc>
                <w:tcPr>
                  <w:tcW w:w="1239" w:type="dxa"/>
                  <w:noWrap w:val="0"/>
                  <w:vAlign w:val="center"/>
                </w:tcPr>
                <w:p w14:paraId="55D0EAC5">
                  <w:pPr>
                    <w:autoSpaceDE w:val="0"/>
                    <w:autoSpaceDN w:val="0"/>
                    <w:spacing w:line="273" w:lineRule="auto"/>
                    <w:jc w:val="center"/>
                    <w:rPr>
                      <w:bCs/>
                      <w:szCs w:val="21"/>
                    </w:rPr>
                  </w:pPr>
                  <w:r>
                    <w:rPr>
                      <w:rFonts w:hint="eastAsia"/>
                      <w:bCs/>
                      <w:szCs w:val="21"/>
                    </w:rPr>
                    <w:t>/</w:t>
                  </w:r>
                </w:p>
              </w:tc>
              <w:tc>
                <w:tcPr>
                  <w:tcW w:w="1297" w:type="dxa"/>
                  <w:noWrap w:val="0"/>
                  <w:vAlign w:val="center"/>
                </w:tcPr>
                <w:p w14:paraId="6B72CF41">
                  <w:pPr>
                    <w:autoSpaceDE w:val="0"/>
                    <w:autoSpaceDN w:val="0"/>
                    <w:spacing w:line="276" w:lineRule="auto"/>
                    <w:jc w:val="center"/>
                    <w:rPr>
                      <w:bCs/>
                      <w:szCs w:val="21"/>
                    </w:rPr>
                  </w:pPr>
                  <w:r>
                    <w:rPr>
                      <w:bCs/>
                      <w:szCs w:val="21"/>
                    </w:rPr>
                    <w:t>满足</w:t>
                  </w:r>
                  <w:r>
                    <w:rPr>
                      <w:rFonts w:hint="eastAsia"/>
                      <w:bCs/>
                      <w:szCs w:val="21"/>
                    </w:rPr>
                    <w:t>重点</w:t>
                  </w:r>
                  <w:r>
                    <w:rPr>
                      <w:bCs/>
                      <w:szCs w:val="21"/>
                    </w:rPr>
                    <w:t>防渗技术要求</w:t>
                  </w:r>
                </w:p>
              </w:tc>
            </w:tr>
            <w:tr w14:paraId="0FF0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592" w:type="dxa"/>
                  <w:noWrap w:val="0"/>
                  <w:vAlign w:val="center"/>
                </w:tcPr>
                <w:p w14:paraId="7554C3E3">
                  <w:pPr>
                    <w:autoSpaceDE w:val="0"/>
                    <w:autoSpaceDN w:val="0"/>
                    <w:spacing w:line="276" w:lineRule="auto"/>
                    <w:jc w:val="center"/>
                    <w:rPr>
                      <w:bCs/>
                      <w:szCs w:val="21"/>
                    </w:rPr>
                  </w:pPr>
                  <w:r>
                    <w:rPr>
                      <w:rFonts w:hint="eastAsia"/>
                      <w:bCs/>
                      <w:szCs w:val="21"/>
                    </w:rPr>
                    <w:t>生产厂房、原料仓库、一般工业固体废物暂存仓库</w:t>
                  </w:r>
                </w:p>
              </w:tc>
              <w:tc>
                <w:tcPr>
                  <w:tcW w:w="1191" w:type="dxa"/>
                  <w:vMerge w:val="restart"/>
                  <w:noWrap w:val="0"/>
                  <w:vAlign w:val="center"/>
                </w:tcPr>
                <w:p w14:paraId="2C2B1CF5">
                  <w:pPr>
                    <w:autoSpaceDE w:val="0"/>
                    <w:autoSpaceDN w:val="0"/>
                    <w:spacing w:line="276" w:lineRule="auto"/>
                    <w:jc w:val="center"/>
                    <w:rPr>
                      <w:bCs/>
                      <w:szCs w:val="21"/>
                    </w:rPr>
                  </w:pPr>
                  <w:r>
                    <w:rPr>
                      <w:bCs/>
                      <w:szCs w:val="21"/>
                    </w:rPr>
                    <w:t>一般防渗区</w:t>
                  </w:r>
                </w:p>
              </w:tc>
              <w:tc>
                <w:tcPr>
                  <w:tcW w:w="2045" w:type="dxa"/>
                  <w:vMerge w:val="restart"/>
                  <w:noWrap w:val="0"/>
                  <w:vAlign w:val="center"/>
                </w:tcPr>
                <w:p w14:paraId="1331199A">
                  <w:pPr>
                    <w:autoSpaceDE w:val="0"/>
                    <w:autoSpaceDN w:val="0"/>
                    <w:spacing w:line="276" w:lineRule="auto"/>
                    <w:jc w:val="center"/>
                    <w:rPr>
                      <w:bCs/>
                      <w:szCs w:val="21"/>
                    </w:rPr>
                  </w:pPr>
                  <w:r>
                    <w:rPr>
                      <w:bCs/>
                      <w:szCs w:val="21"/>
                    </w:rPr>
                    <w:t>等效黏土防渗层Mb≥1.5m，K≤1×10</w:t>
                  </w:r>
                  <w:r>
                    <w:rPr>
                      <w:bCs/>
                      <w:szCs w:val="21"/>
                      <w:vertAlign w:val="superscript"/>
                    </w:rPr>
                    <w:t>-7</w:t>
                  </w:r>
                  <w:r>
                    <w:rPr>
                      <w:bCs/>
                      <w:szCs w:val="21"/>
                    </w:rPr>
                    <w:t>cm/s</w:t>
                  </w:r>
                </w:p>
              </w:tc>
              <w:tc>
                <w:tcPr>
                  <w:tcW w:w="1153" w:type="dxa"/>
                  <w:noWrap w:val="0"/>
                  <w:vAlign w:val="center"/>
                </w:tcPr>
                <w:p w14:paraId="1915CFE9">
                  <w:pPr>
                    <w:autoSpaceDE w:val="0"/>
                    <w:autoSpaceDN w:val="0"/>
                    <w:spacing w:line="276" w:lineRule="auto"/>
                    <w:jc w:val="center"/>
                    <w:rPr>
                      <w:bCs/>
                      <w:szCs w:val="21"/>
                    </w:rPr>
                  </w:pPr>
                  <w:r>
                    <w:rPr>
                      <w:bCs/>
                      <w:szCs w:val="21"/>
                    </w:rPr>
                    <w:t>防渗混凝土</w:t>
                  </w:r>
                </w:p>
              </w:tc>
              <w:tc>
                <w:tcPr>
                  <w:tcW w:w="1239" w:type="dxa"/>
                  <w:noWrap w:val="0"/>
                  <w:vAlign w:val="center"/>
                </w:tcPr>
                <w:p w14:paraId="2C5134A2">
                  <w:pPr>
                    <w:autoSpaceDE w:val="0"/>
                    <w:autoSpaceDN w:val="0"/>
                    <w:spacing w:line="276" w:lineRule="auto"/>
                    <w:jc w:val="center"/>
                    <w:rPr>
                      <w:bCs/>
                      <w:szCs w:val="21"/>
                    </w:rPr>
                  </w:pPr>
                  <w:r>
                    <w:rPr>
                      <w:rFonts w:hint="eastAsia"/>
                      <w:bCs/>
                      <w:szCs w:val="21"/>
                    </w:rPr>
                    <w:t>/</w:t>
                  </w:r>
                </w:p>
              </w:tc>
              <w:tc>
                <w:tcPr>
                  <w:tcW w:w="1297" w:type="dxa"/>
                  <w:noWrap w:val="0"/>
                  <w:vAlign w:val="center"/>
                </w:tcPr>
                <w:p w14:paraId="723D7D95">
                  <w:pPr>
                    <w:autoSpaceDE w:val="0"/>
                    <w:autoSpaceDN w:val="0"/>
                    <w:spacing w:line="276" w:lineRule="auto"/>
                    <w:jc w:val="center"/>
                    <w:rPr>
                      <w:bCs/>
                      <w:szCs w:val="21"/>
                    </w:rPr>
                  </w:pPr>
                  <w:r>
                    <w:rPr>
                      <w:bCs/>
                      <w:szCs w:val="21"/>
                    </w:rPr>
                    <w:t>满足</w:t>
                  </w:r>
                  <w:r>
                    <w:rPr>
                      <w:rFonts w:hint="eastAsia"/>
                      <w:bCs/>
                      <w:szCs w:val="21"/>
                    </w:rPr>
                    <w:t>一般</w:t>
                  </w:r>
                  <w:r>
                    <w:rPr>
                      <w:bCs/>
                      <w:szCs w:val="21"/>
                    </w:rPr>
                    <w:t>防渗技术要求</w:t>
                  </w:r>
                </w:p>
              </w:tc>
            </w:tr>
            <w:tr w14:paraId="2285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92" w:type="dxa"/>
                  <w:noWrap w:val="0"/>
                  <w:vAlign w:val="center"/>
                </w:tcPr>
                <w:p w14:paraId="50815DC0">
                  <w:pPr>
                    <w:autoSpaceDE w:val="0"/>
                    <w:autoSpaceDN w:val="0"/>
                    <w:spacing w:line="276" w:lineRule="auto"/>
                    <w:jc w:val="center"/>
                    <w:rPr>
                      <w:bCs/>
                      <w:szCs w:val="21"/>
                    </w:rPr>
                  </w:pPr>
                  <w:r>
                    <w:rPr>
                      <w:rFonts w:hint="eastAsia"/>
                      <w:bCs/>
                      <w:szCs w:val="21"/>
                    </w:rPr>
                    <w:t>新增原料库</w:t>
                  </w:r>
                </w:p>
              </w:tc>
              <w:tc>
                <w:tcPr>
                  <w:tcW w:w="1191" w:type="dxa"/>
                  <w:vMerge w:val="continue"/>
                  <w:noWrap w:val="0"/>
                  <w:vAlign w:val="center"/>
                </w:tcPr>
                <w:p w14:paraId="7477525B">
                  <w:pPr>
                    <w:autoSpaceDE w:val="0"/>
                    <w:autoSpaceDN w:val="0"/>
                    <w:spacing w:line="276" w:lineRule="auto"/>
                    <w:jc w:val="center"/>
                    <w:rPr>
                      <w:bCs/>
                      <w:szCs w:val="21"/>
                    </w:rPr>
                  </w:pPr>
                </w:p>
              </w:tc>
              <w:tc>
                <w:tcPr>
                  <w:tcW w:w="2045" w:type="dxa"/>
                  <w:vMerge w:val="continue"/>
                  <w:noWrap w:val="0"/>
                  <w:vAlign w:val="center"/>
                </w:tcPr>
                <w:p w14:paraId="46DF40CE">
                  <w:pPr>
                    <w:autoSpaceDE w:val="0"/>
                    <w:autoSpaceDN w:val="0"/>
                    <w:spacing w:line="276" w:lineRule="auto"/>
                    <w:jc w:val="center"/>
                    <w:rPr>
                      <w:bCs/>
                      <w:szCs w:val="21"/>
                    </w:rPr>
                  </w:pPr>
                </w:p>
              </w:tc>
              <w:tc>
                <w:tcPr>
                  <w:tcW w:w="1153" w:type="dxa"/>
                  <w:noWrap w:val="0"/>
                  <w:vAlign w:val="center"/>
                </w:tcPr>
                <w:p w14:paraId="7E16E9D5">
                  <w:pPr>
                    <w:autoSpaceDE w:val="0"/>
                    <w:autoSpaceDN w:val="0"/>
                    <w:spacing w:line="276" w:lineRule="auto"/>
                    <w:jc w:val="center"/>
                    <w:rPr>
                      <w:bCs/>
                      <w:szCs w:val="21"/>
                    </w:rPr>
                  </w:pPr>
                  <w:r>
                    <w:rPr>
                      <w:rFonts w:hint="eastAsia"/>
                      <w:bCs/>
                      <w:szCs w:val="21"/>
                    </w:rPr>
                    <w:t>/</w:t>
                  </w:r>
                </w:p>
              </w:tc>
              <w:tc>
                <w:tcPr>
                  <w:tcW w:w="1239" w:type="dxa"/>
                  <w:noWrap w:val="0"/>
                  <w:vAlign w:val="center"/>
                </w:tcPr>
                <w:p w14:paraId="13271B64">
                  <w:pPr>
                    <w:autoSpaceDE w:val="0"/>
                    <w:autoSpaceDN w:val="0"/>
                    <w:spacing w:line="276" w:lineRule="auto"/>
                    <w:jc w:val="center"/>
                    <w:rPr>
                      <w:bCs/>
                      <w:szCs w:val="21"/>
                    </w:rPr>
                  </w:pPr>
                  <w:r>
                    <w:rPr>
                      <w:bCs/>
                      <w:szCs w:val="21"/>
                    </w:rPr>
                    <w:t>防渗混凝土</w:t>
                  </w:r>
                </w:p>
              </w:tc>
              <w:tc>
                <w:tcPr>
                  <w:tcW w:w="1297" w:type="dxa"/>
                  <w:noWrap w:val="0"/>
                  <w:vAlign w:val="center"/>
                </w:tcPr>
                <w:p w14:paraId="6B09C00F">
                  <w:pPr>
                    <w:autoSpaceDE w:val="0"/>
                    <w:autoSpaceDN w:val="0"/>
                    <w:spacing w:line="276" w:lineRule="auto"/>
                    <w:jc w:val="center"/>
                    <w:rPr>
                      <w:bCs/>
                      <w:szCs w:val="21"/>
                    </w:rPr>
                  </w:pPr>
                  <w:r>
                    <w:rPr>
                      <w:rFonts w:hint="eastAsia"/>
                      <w:bCs/>
                      <w:szCs w:val="21"/>
                    </w:rPr>
                    <w:t>/</w:t>
                  </w:r>
                </w:p>
              </w:tc>
            </w:tr>
            <w:tr w14:paraId="7405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592" w:type="dxa"/>
                  <w:noWrap w:val="0"/>
                  <w:vAlign w:val="center"/>
                </w:tcPr>
                <w:p w14:paraId="59CB0CBD">
                  <w:pPr>
                    <w:autoSpaceDE w:val="0"/>
                    <w:autoSpaceDN w:val="0"/>
                    <w:spacing w:line="276" w:lineRule="auto"/>
                    <w:jc w:val="center"/>
                    <w:rPr>
                      <w:bCs/>
                      <w:szCs w:val="21"/>
                    </w:rPr>
                  </w:pPr>
                  <w:r>
                    <w:rPr>
                      <w:rFonts w:hint="eastAsia"/>
                      <w:bCs/>
                      <w:szCs w:val="21"/>
                    </w:rPr>
                    <w:t>办公区</w:t>
                  </w:r>
                </w:p>
              </w:tc>
              <w:tc>
                <w:tcPr>
                  <w:tcW w:w="1191" w:type="dxa"/>
                  <w:noWrap w:val="0"/>
                  <w:vAlign w:val="center"/>
                </w:tcPr>
                <w:p w14:paraId="78EE06E4">
                  <w:pPr>
                    <w:autoSpaceDE w:val="0"/>
                    <w:autoSpaceDN w:val="0"/>
                    <w:spacing w:line="276" w:lineRule="auto"/>
                    <w:jc w:val="center"/>
                    <w:rPr>
                      <w:bCs/>
                      <w:szCs w:val="21"/>
                    </w:rPr>
                  </w:pPr>
                  <w:r>
                    <w:rPr>
                      <w:bCs/>
                      <w:szCs w:val="21"/>
                    </w:rPr>
                    <w:t>简单防渗</w:t>
                  </w:r>
                </w:p>
              </w:tc>
              <w:tc>
                <w:tcPr>
                  <w:tcW w:w="2045" w:type="dxa"/>
                  <w:noWrap w:val="0"/>
                  <w:vAlign w:val="center"/>
                </w:tcPr>
                <w:p w14:paraId="1FEA66E3">
                  <w:pPr>
                    <w:autoSpaceDE w:val="0"/>
                    <w:autoSpaceDN w:val="0"/>
                    <w:spacing w:line="276" w:lineRule="auto"/>
                    <w:jc w:val="center"/>
                    <w:rPr>
                      <w:bCs/>
                      <w:szCs w:val="21"/>
                    </w:rPr>
                  </w:pPr>
                  <w:r>
                    <w:rPr>
                      <w:bCs/>
                      <w:szCs w:val="21"/>
                    </w:rPr>
                    <w:t>一般地面硬化</w:t>
                  </w:r>
                </w:p>
              </w:tc>
              <w:tc>
                <w:tcPr>
                  <w:tcW w:w="1153" w:type="dxa"/>
                  <w:noWrap w:val="0"/>
                  <w:vAlign w:val="center"/>
                </w:tcPr>
                <w:p w14:paraId="4305AF10">
                  <w:pPr>
                    <w:autoSpaceDE w:val="0"/>
                    <w:autoSpaceDN w:val="0"/>
                    <w:spacing w:line="276" w:lineRule="auto"/>
                    <w:jc w:val="center"/>
                    <w:rPr>
                      <w:bCs/>
                      <w:szCs w:val="21"/>
                    </w:rPr>
                  </w:pPr>
                  <w:r>
                    <w:rPr>
                      <w:bCs/>
                      <w:szCs w:val="21"/>
                    </w:rPr>
                    <w:t>防渗混凝土</w:t>
                  </w:r>
                </w:p>
              </w:tc>
              <w:tc>
                <w:tcPr>
                  <w:tcW w:w="1239" w:type="dxa"/>
                  <w:noWrap w:val="0"/>
                  <w:vAlign w:val="center"/>
                </w:tcPr>
                <w:p w14:paraId="49264131">
                  <w:pPr>
                    <w:autoSpaceDE w:val="0"/>
                    <w:autoSpaceDN w:val="0"/>
                    <w:spacing w:line="276" w:lineRule="auto"/>
                    <w:jc w:val="center"/>
                    <w:rPr>
                      <w:bCs/>
                      <w:szCs w:val="21"/>
                    </w:rPr>
                  </w:pPr>
                  <w:r>
                    <w:rPr>
                      <w:rFonts w:hint="eastAsia"/>
                      <w:bCs/>
                      <w:szCs w:val="21"/>
                    </w:rPr>
                    <w:t>/</w:t>
                  </w:r>
                </w:p>
              </w:tc>
              <w:tc>
                <w:tcPr>
                  <w:tcW w:w="1297" w:type="dxa"/>
                  <w:noWrap w:val="0"/>
                  <w:vAlign w:val="center"/>
                </w:tcPr>
                <w:p w14:paraId="54F51110">
                  <w:pPr>
                    <w:autoSpaceDE w:val="0"/>
                    <w:autoSpaceDN w:val="0"/>
                    <w:spacing w:line="276" w:lineRule="auto"/>
                    <w:jc w:val="center"/>
                    <w:rPr>
                      <w:bCs/>
                      <w:szCs w:val="21"/>
                    </w:rPr>
                  </w:pPr>
                  <w:r>
                    <w:rPr>
                      <w:bCs/>
                      <w:szCs w:val="21"/>
                    </w:rPr>
                    <w:t>满足简单防渗技术要求</w:t>
                  </w:r>
                </w:p>
              </w:tc>
            </w:tr>
          </w:tbl>
          <w:p w14:paraId="22CE192C">
            <w:pPr>
              <w:spacing w:line="480" w:lineRule="exact"/>
              <w:ind w:firstLine="480"/>
              <w:rPr>
                <w:sz w:val="24"/>
              </w:rPr>
            </w:pPr>
          </w:p>
          <w:p w14:paraId="7674E706">
            <w:pPr>
              <w:spacing w:line="480" w:lineRule="exact"/>
              <w:ind w:firstLine="480"/>
              <w:rPr>
                <w:sz w:val="24"/>
              </w:rPr>
            </w:pPr>
            <w:r>
              <w:rPr>
                <w:rFonts w:hint="eastAsia"/>
                <w:sz w:val="24"/>
              </w:rPr>
              <w:t>综上，</w:t>
            </w:r>
            <w:r>
              <w:rPr>
                <w:sz w:val="24"/>
              </w:rPr>
              <w:t>按照有关的规范要求采取上述污染防治措施，可以避免项目对周边土壤产生明显影响，营运期土壤污染防治措施是可行的。</w:t>
            </w:r>
          </w:p>
          <w:p w14:paraId="5C265406">
            <w:pPr>
              <w:spacing w:line="480" w:lineRule="exact"/>
              <w:ind w:firstLine="480"/>
              <w:rPr>
                <w:rFonts w:hint="eastAsia" w:ascii="黑体" w:hAnsi="黑体" w:eastAsia="黑体" w:cs="黑体"/>
                <w:bCs/>
                <w:sz w:val="24"/>
              </w:rPr>
            </w:pPr>
            <w:r>
              <w:rPr>
                <w:rFonts w:hint="eastAsia" w:ascii="黑体" w:hAnsi="黑体" w:eastAsia="黑体" w:cs="黑体"/>
                <w:bCs/>
                <w:sz w:val="24"/>
              </w:rPr>
              <w:t>6、生态</w:t>
            </w:r>
          </w:p>
          <w:p w14:paraId="6422FCEE">
            <w:pPr>
              <w:spacing w:line="480" w:lineRule="exact"/>
              <w:ind w:firstLine="480"/>
              <w:rPr>
                <w:sz w:val="24"/>
              </w:rPr>
            </w:pPr>
            <w:r>
              <w:rPr>
                <w:sz w:val="24"/>
              </w:rPr>
              <w:t>本项目不新增用地，厂区范围内不含有生态环境保护目标，故项目不需开展生态环境影响评价。</w:t>
            </w:r>
          </w:p>
          <w:p w14:paraId="7E56452B">
            <w:pPr>
              <w:spacing w:line="480" w:lineRule="exact"/>
              <w:ind w:firstLine="480"/>
              <w:rPr>
                <w:rFonts w:hint="eastAsia" w:ascii="黑体" w:hAnsi="黑体" w:eastAsia="黑体" w:cs="黑体"/>
                <w:bCs/>
                <w:sz w:val="24"/>
              </w:rPr>
            </w:pPr>
            <w:r>
              <w:rPr>
                <w:rFonts w:hint="eastAsia" w:ascii="黑体" w:hAnsi="黑体" w:eastAsia="黑体" w:cs="黑体"/>
                <w:bCs/>
                <w:sz w:val="24"/>
              </w:rPr>
              <w:t>7、环境风险分析</w:t>
            </w:r>
          </w:p>
          <w:p w14:paraId="3EF6F3DA">
            <w:pPr>
              <w:spacing w:line="480" w:lineRule="exact"/>
              <w:ind w:firstLine="480" w:firstLineChars="200"/>
              <w:rPr>
                <w:bCs/>
                <w:kern w:val="0"/>
                <w:sz w:val="24"/>
              </w:rPr>
            </w:pPr>
            <w:r>
              <w:rPr>
                <w:bCs/>
                <w:kern w:val="0"/>
                <w:sz w:val="24"/>
              </w:rPr>
              <w:t>①风险调查</w:t>
            </w:r>
          </w:p>
          <w:p w14:paraId="1FAB2ED4">
            <w:pPr>
              <w:spacing w:line="480" w:lineRule="exact"/>
              <w:ind w:firstLine="480" w:firstLineChars="200"/>
              <w:rPr>
                <w:kern w:val="0"/>
                <w:sz w:val="24"/>
              </w:rPr>
            </w:pPr>
            <w:r>
              <w:rPr>
                <w:kern w:val="0"/>
                <w:sz w:val="24"/>
              </w:rPr>
              <w:t>对照《建设项目环境风险评价技术导则》(HJ169-2018)附录B中突发环境事件风险物质及其他危险物质分类，本项目</w:t>
            </w:r>
            <w:r>
              <w:rPr>
                <w:rFonts w:hint="eastAsia"/>
                <w:kern w:val="0"/>
                <w:sz w:val="24"/>
              </w:rPr>
              <w:t>切削液</w:t>
            </w:r>
            <w:r>
              <w:rPr>
                <w:kern w:val="0"/>
                <w:sz w:val="24"/>
              </w:rPr>
              <w:t>为突发环境事件风险物质，本项目主要危险物质的分布情况见下表。</w:t>
            </w:r>
          </w:p>
          <w:p w14:paraId="47E9E17C">
            <w:pPr>
              <w:spacing w:line="480" w:lineRule="exact"/>
              <w:jc w:val="center"/>
              <w:rPr>
                <w:rFonts w:hint="eastAsia" w:ascii="黑体" w:hAnsi="黑体" w:eastAsia="黑体" w:cs="黑体"/>
                <w:bCs/>
                <w:kern w:val="0"/>
                <w:sz w:val="24"/>
              </w:rPr>
            </w:pPr>
            <w:r>
              <w:rPr>
                <w:rFonts w:hint="eastAsia" w:ascii="黑体" w:hAnsi="黑体" w:eastAsia="黑体" w:cs="黑体"/>
                <w:bCs/>
                <w:kern w:val="0"/>
                <w:sz w:val="24"/>
              </w:rPr>
              <w:t>表4-18 风险物质消耗量及储存方式</w:t>
            </w:r>
          </w:p>
          <w:tbl>
            <w:tblPr>
              <w:tblStyle w:val="38"/>
              <w:tblW w:w="8398" w:type="dxa"/>
              <w:jc w:val="center"/>
              <w:tblLayout w:type="autofit"/>
              <w:tblCellMar>
                <w:top w:w="0" w:type="dxa"/>
                <w:left w:w="108" w:type="dxa"/>
                <w:bottom w:w="0" w:type="dxa"/>
                <w:right w:w="108" w:type="dxa"/>
              </w:tblCellMar>
            </w:tblPr>
            <w:tblGrid>
              <w:gridCol w:w="1477"/>
              <w:gridCol w:w="3152"/>
              <w:gridCol w:w="2115"/>
              <w:gridCol w:w="1654"/>
            </w:tblGrid>
            <w:tr w14:paraId="1E906DCA">
              <w:tblPrEx>
                <w:tblCellMar>
                  <w:top w:w="0" w:type="dxa"/>
                  <w:left w:w="108" w:type="dxa"/>
                  <w:bottom w:w="0" w:type="dxa"/>
                  <w:right w:w="108" w:type="dxa"/>
                </w:tblCellMar>
              </w:tblPrEx>
              <w:trPr>
                <w:trHeight w:val="349" w:hRule="atLeast"/>
                <w:jc w:val="center"/>
              </w:trPr>
              <w:tc>
                <w:tcPr>
                  <w:tcW w:w="879" w:type="pct"/>
                  <w:tcBorders>
                    <w:top w:val="single" w:color="auto" w:sz="4" w:space="0"/>
                    <w:left w:val="single" w:color="auto" w:sz="4" w:space="0"/>
                    <w:bottom w:val="single" w:color="auto" w:sz="4" w:space="0"/>
                    <w:right w:val="single" w:color="auto" w:sz="4" w:space="0"/>
                  </w:tcBorders>
                  <w:noWrap w:val="0"/>
                  <w:vAlign w:val="top"/>
                </w:tcPr>
                <w:p w14:paraId="557E0C5D">
                  <w:pPr>
                    <w:autoSpaceDE w:val="0"/>
                    <w:autoSpaceDN w:val="0"/>
                    <w:adjustRightInd w:val="0"/>
                    <w:spacing w:line="320" w:lineRule="exact"/>
                    <w:jc w:val="center"/>
                    <w:rPr>
                      <w:bCs/>
                      <w:kern w:val="0"/>
                      <w:szCs w:val="21"/>
                    </w:rPr>
                  </w:pPr>
                  <w:r>
                    <w:rPr>
                      <w:bCs/>
                      <w:kern w:val="0"/>
                      <w:szCs w:val="21"/>
                    </w:rPr>
                    <w:t>物料名称</w:t>
                  </w:r>
                </w:p>
              </w:tc>
              <w:tc>
                <w:tcPr>
                  <w:tcW w:w="1876" w:type="pct"/>
                  <w:tcBorders>
                    <w:top w:val="single" w:color="auto" w:sz="4" w:space="0"/>
                    <w:left w:val="single" w:color="auto" w:sz="4" w:space="0"/>
                    <w:bottom w:val="single" w:color="auto" w:sz="4" w:space="0"/>
                    <w:right w:val="single" w:color="auto" w:sz="6" w:space="0"/>
                  </w:tcBorders>
                  <w:noWrap w:val="0"/>
                  <w:vAlign w:val="top"/>
                </w:tcPr>
                <w:p w14:paraId="212C3894">
                  <w:pPr>
                    <w:autoSpaceDE w:val="0"/>
                    <w:autoSpaceDN w:val="0"/>
                    <w:adjustRightInd w:val="0"/>
                    <w:spacing w:line="320" w:lineRule="exact"/>
                    <w:jc w:val="center"/>
                    <w:rPr>
                      <w:bCs/>
                      <w:kern w:val="0"/>
                      <w:szCs w:val="21"/>
                    </w:rPr>
                  </w:pPr>
                  <w:r>
                    <w:rPr>
                      <w:bCs/>
                      <w:kern w:val="0"/>
                      <w:szCs w:val="21"/>
                    </w:rPr>
                    <w:t>危险性类别</w:t>
                  </w:r>
                </w:p>
              </w:tc>
              <w:tc>
                <w:tcPr>
                  <w:tcW w:w="1259" w:type="pct"/>
                  <w:tcBorders>
                    <w:top w:val="single" w:color="auto" w:sz="4" w:space="0"/>
                    <w:left w:val="single" w:color="auto" w:sz="4" w:space="0"/>
                    <w:bottom w:val="single" w:color="auto" w:sz="4" w:space="0"/>
                    <w:right w:val="single" w:color="auto" w:sz="4" w:space="0"/>
                  </w:tcBorders>
                  <w:noWrap w:val="0"/>
                  <w:vAlign w:val="top"/>
                </w:tcPr>
                <w:p w14:paraId="64A5E0FE">
                  <w:pPr>
                    <w:autoSpaceDE w:val="0"/>
                    <w:autoSpaceDN w:val="0"/>
                    <w:adjustRightInd w:val="0"/>
                    <w:spacing w:line="320" w:lineRule="exact"/>
                    <w:jc w:val="center"/>
                    <w:rPr>
                      <w:bCs/>
                      <w:kern w:val="0"/>
                      <w:szCs w:val="21"/>
                    </w:rPr>
                  </w:pPr>
                  <w:r>
                    <w:rPr>
                      <w:bCs/>
                      <w:kern w:val="0"/>
                      <w:szCs w:val="21"/>
                    </w:rPr>
                    <w:t>厂区一次最大储存量</w:t>
                  </w:r>
                </w:p>
              </w:tc>
              <w:tc>
                <w:tcPr>
                  <w:tcW w:w="984" w:type="pct"/>
                  <w:tcBorders>
                    <w:top w:val="single" w:color="auto" w:sz="4" w:space="0"/>
                    <w:left w:val="single" w:color="auto" w:sz="4" w:space="0"/>
                    <w:bottom w:val="single" w:color="auto" w:sz="4" w:space="0"/>
                    <w:right w:val="single" w:color="auto" w:sz="4" w:space="0"/>
                  </w:tcBorders>
                  <w:noWrap w:val="0"/>
                  <w:vAlign w:val="top"/>
                </w:tcPr>
                <w:p w14:paraId="055D5537">
                  <w:pPr>
                    <w:autoSpaceDE w:val="0"/>
                    <w:autoSpaceDN w:val="0"/>
                    <w:adjustRightInd w:val="0"/>
                    <w:spacing w:line="320" w:lineRule="exact"/>
                    <w:jc w:val="center"/>
                    <w:rPr>
                      <w:bCs/>
                      <w:kern w:val="0"/>
                      <w:szCs w:val="21"/>
                    </w:rPr>
                  </w:pPr>
                  <w:r>
                    <w:rPr>
                      <w:bCs/>
                      <w:kern w:val="0"/>
                      <w:szCs w:val="21"/>
                    </w:rPr>
                    <w:t>储存方式</w:t>
                  </w:r>
                </w:p>
              </w:tc>
            </w:tr>
            <w:tr w14:paraId="6BEFE275">
              <w:tblPrEx>
                <w:tblCellMar>
                  <w:top w:w="0" w:type="dxa"/>
                  <w:left w:w="108" w:type="dxa"/>
                  <w:bottom w:w="0" w:type="dxa"/>
                  <w:right w:w="108" w:type="dxa"/>
                </w:tblCellMar>
              </w:tblPrEx>
              <w:trPr>
                <w:trHeight w:val="368" w:hRule="atLeast"/>
                <w:jc w:val="center"/>
              </w:trPr>
              <w:tc>
                <w:tcPr>
                  <w:tcW w:w="879" w:type="pct"/>
                  <w:tcBorders>
                    <w:top w:val="single" w:color="auto" w:sz="4" w:space="0"/>
                    <w:left w:val="single" w:color="auto" w:sz="4" w:space="0"/>
                    <w:bottom w:val="single" w:color="auto" w:sz="4" w:space="0"/>
                    <w:right w:val="single" w:color="auto" w:sz="4" w:space="0"/>
                  </w:tcBorders>
                  <w:noWrap w:val="0"/>
                  <w:vAlign w:val="center"/>
                </w:tcPr>
                <w:p w14:paraId="6A7023C2">
                  <w:pPr>
                    <w:spacing w:line="276" w:lineRule="auto"/>
                    <w:jc w:val="center"/>
                    <w:rPr>
                      <w:rFonts w:hint="eastAsia"/>
                      <w:bCs/>
                      <w:kern w:val="0"/>
                      <w:szCs w:val="21"/>
                    </w:rPr>
                  </w:pPr>
                  <w:r>
                    <w:rPr>
                      <w:rFonts w:hint="eastAsia"/>
                      <w:bCs/>
                      <w:szCs w:val="21"/>
                    </w:rPr>
                    <w:t>机油</w:t>
                  </w:r>
                </w:p>
              </w:tc>
              <w:tc>
                <w:tcPr>
                  <w:tcW w:w="1876" w:type="pct"/>
                  <w:tcBorders>
                    <w:top w:val="single" w:color="auto" w:sz="4" w:space="0"/>
                    <w:left w:val="single" w:color="auto" w:sz="4" w:space="0"/>
                    <w:bottom w:val="single" w:color="auto" w:sz="4" w:space="0"/>
                    <w:right w:val="single" w:color="auto" w:sz="6" w:space="0"/>
                  </w:tcBorders>
                  <w:noWrap w:val="0"/>
                  <w:vAlign w:val="center"/>
                </w:tcPr>
                <w:p w14:paraId="4F2063D6">
                  <w:pPr>
                    <w:spacing w:line="320" w:lineRule="exact"/>
                    <w:jc w:val="center"/>
                    <w:rPr>
                      <w:bCs/>
                      <w:szCs w:val="21"/>
                    </w:rPr>
                  </w:pPr>
                  <w:r>
                    <w:rPr>
                      <w:rFonts w:hint="eastAsia"/>
                      <w:bCs/>
                      <w:szCs w:val="21"/>
                    </w:rPr>
                    <w:t>石油类</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F448852">
                  <w:pPr>
                    <w:jc w:val="center"/>
                    <w:rPr>
                      <w:rFonts w:hint="eastAsia"/>
                      <w:bCs/>
                      <w:spacing w:val="-2"/>
                      <w:kern w:val="0"/>
                      <w:szCs w:val="21"/>
                    </w:rPr>
                  </w:pPr>
                  <w:r>
                    <w:rPr>
                      <w:rFonts w:hint="eastAsia"/>
                      <w:bCs/>
                      <w:spacing w:val="-2"/>
                      <w:kern w:val="0"/>
                      <w:szCs w:val="21"/>
                    </w:rPr>
                    <w:t>0.1</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1AA2618D">
                  <w:pPr>
                    <w:ind w:left="-105" w:leftChars="-50" w:right="-105" w:rightChars="-50"/>
                    <w:jc w:val="center"/>
                    <w:rPr>
                      <w:bCs/>
                      <w:spacing w:val="-2"/>
                      <w:kern w:val="0"/>
                      <w:szCs w:val="21"/>
                    </w:rPr>
                  </w:pPr>
                  <w:r>
                    <w:rPr>
                      <w:bCs/>
                      <w:spacing w:val="-2"/>
                      <w:kern w:val="0"/>
                      <w:szCs w:val="21"/>
                    </w:rPr>
                    <w:t>桶装，</w:t>
                  </w:r>
                  <w:r>
                    <w:rPr>
                      <w:rFonts w:hint="eastAsia"/>
                      <w:bCs/>
                      <w:spacing w:val="-2"/>
                      <w:kern w:val="0"/>
                      <w:szCs w:val="21"/>
                    </w:rPr>
                    <w:t>50</w:t>
                  </w:r>
                  <w:r>
                    <w:rPr>
                      <w:bCs/>
                      <w:spacing w:val="-2"/>
                      <w:kern w:val="0"/>
                      <w:szCs w:val="21"/>
                    </w:rPr>
                    <w:t>kg/桶</w:t>
                  </w:r>
                </w:p>
              </w:tc>
            </w:tr>
            <w:tr w14:paraId="0300D9DC">
              <w:tblPrEx>
                <w:tblCellMar>
                  <w:top w:w="0" w:type="dxa"/>
                  <w:left w:w="108" w:type="dxa"/>
                  <w:bottom w:w="0" w:type="dxa"/>
                  <w:right w:w="108" w:type="dxa"/>
                </w:tblCellMar>
              </w:tblPrEx>
              <w:trPr>
                <w:trHeight w:val="368" w:hRule="atLeast"/>
                <w:jc w:val="center"/>
              </w:trPr>
              <w:tc>
                <w:tcPr>
                  <w:tcW w:w="879" w:type="pct"/>
                  <w:tcBorders>
                    <w:top w:val="single" w:color="auto" w:sz="4" w:space="0"/>
                    <w:left w:val="single" w:color="auto" w:sz="4" w:space="0"/>
                    <w:bottom w:val="single" w:color="auto" w:sz="4" w:space="0"/>
                    <w:right w:val="single" w:color="auto" w:sz="4" w:space="0"/>
                  </w:tcBorders>
                  <w:noWrap w:val="0"/>
                  <w:vAlign w:val="center"/>
                </w:tcPr>
                <w:p w14:paraId="3A175231">
                  <w:pPr>
                    <w:spacing w:line="276" w:lineRule="auto"/>
                    <w:jc w:val="center"/>
                    <w:rPr>
                      <w:rFonts w:hint="eastAsia"/>
                      <w:bCs/>
                      <w:kern w:val="0"/>
                      <w:szCs w:val="21"/>
                    </w:rPr>
                  </w:pPr>
                  <w:r>
                    <w:rPr>
                      <w:rFonts w:hint="eastAsia"/>
                      <w:bCs/>
                      <w:szCs w:val="21"/>
                    </w:rPr>
                    <w:t>废机油</w:t>
                  </w:r>
                </w:p>
              </w:tc>
              <w:tc>
                <w:tcPr>
                  <w:tcW w:w="1876" w:type="pct"/>
                  <w:tcBorders>
                    <w:top w:val="single" w:color="auto" w:sz="4" w:space="0"/>
                    <w:left w:val="single" w:color="auto" w:sz="4" w:space="0"/>
                    <w:bottom w:val="single" w:color="auto" w:sz="4" w:space="0"/>
                    <w:right w:val="single" w:color="auto" w:sz="6" w:space="0"/>
                  </w:tcBorders>
                  <w:noWrap w:val="0"/>
                  <w:vAlign w:val="center"/>
                </w:tcPr>
                <w:p w14:paraId="10A39FD0">
                  <w:pPr>
                    <w:spacing w:line="320" w:lineRule="exact"/>
                    <w:jc w:val="center"/>
                    <w:rPr>
                      <w:rFonts w:hint="eastAsia"/>
                      <w:bCs/>
                      <w:szCs w:val="21"/>
                    </w:rPr>
                  </w:pPr>
                  <w:r>
                    <w:rPr>
                      <w:rFonts w:hint="eastAsia"/>
                      <w:bCs/>
                      <w:szCs w:val="21"/>
                    </w:rPr>
                    <w:t>石油类</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206137A">
                  <w:pPr>
                    <w:jc w:val="center"/>
                    <w:rPr>
                      <w:bCs/>
                      <w:spacing w:val="-2"/>
                      <w:kern w:val="0"/>
                      <w:szCs w:val="21"/>
                    </w:rPr>
                  </w:pPr>
                  <w:r>
                    <w:rPr>
                      <w:rFonts w:hint="eastAsia"/>
                      <w:bCs/>
                      <w:spacing w:val="-2"/>
                      <w:kern w:val="0"/>
                      <w:szCs w:val="21"/>
                    </w:rPr>
                    <w:t>0.3</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471C4820">
                  <w:pPr>
                    <w:ind w:left="-105" w:leftChars="-50" w:right="-105" w:rightChars="-50"/>
                    <w:jc w:val="center"/>
                    <w:rPr>
                      <w:bCs/>
                      <w:spacing w:val="-2"/>
                      <w:kern w:val="0"/>
                      <w:szCs w:val="21"/>
                    </w:rPr>
                  </w:pPr>
                  <w:r>
                    <w:rPr>
                      <w:bCs/>
                      <w:spacing w:val="-2"/>
                      <w:kern w:val="0"/>
                      <w:szCs w:val="21"/>
                    </w:rPr>
                    <w:t>桶装</w:t>
                  </w:r>
                </w:p>
              </w:tc>
            </w:tr>
            <w:tr w14:paraId="200476A2">
              <w:tblPrEx>
                <w:tblCellMar>
                  <w:top w:w="0" w:type="dxa"/>
                  <w:left w:w="108" w:type="dxa"/>
                  <w:bottom w:w="0" w:type="dxa"/>
                  <w:right w:w="108" w:type="dxa"/>
                </w:tblCellMar>
              </w:tblPrEx>
              <w:trPr>
                <w:trHeight w:val="579" w:hRule="atLeast"/>
                <w:jc w:val="center"/>
              </w:trPr>
              <w:tc>
                <w:tcPr>
                  <w:tcW w:w="879" w:type="pct"/>
                  <w:tcBorders>
                    <w:top w:val="single" w:color="auto" w:sz="4" w:space="0"/>
                    <w:left w:val="single" w:color="auto" w:sz="4" w:space="0"/>
                    <w:bottom w:val="single" w:color="auto" w:sz="4" w:space="0"/>
                    <w:right w:val="single" w:color="auto" w:sz="4" w:space="0"/>
                  </w:tcBorders>
                  <w:noWrap w:val="0"/>
                  <w:vAlign w:val="center"/>
                </w:tcPr>
                <w:p w14:paraId="5232B72B">
                  <w:pPr>
                    <w:spacing w:line="276" w:lineRule="auto"/>
                    <w:jc w:val="center"/>
                    <w:rPr>
                      <w:rFonts w:hint="eastAsia"/>
                      <w:bCs/>
                      <w:kern w:val="0"/>
                      <w:szCs w:val="21"/>
                    </w:rPr>
                  </w:pPr>
                  <w:r>
                    <w:rPr>
                      <w:rFonts w:hint="eastAsia"/>
                      <w:bCs/>
                      <w:szCs w:val="21"/>
                    </w:rPr>
                    <w:t>废机油桶</w:t>
                  </w:r>
                </w:p>
              </w:tc>
              <w:tc>
                <w:tcPr>
                  <w:tcW w:w="1876" w:type="pct"/>
                  <w:tcBorders>
                    <w:top w:val="single" w:color="auto" w:sz="4" w:space="0"/>
                    <w:left w:val="single" w:color="auto" w:sz="4" w:space="0"/>
                    <w:bottom w:val="single" w:color="auto" w:sz="4" w:space="0"/>
                    <w:right w:val="single" w:color="auto" w:sz="6" w:space="0"/>
                  </w:tcBorders>
                  <w:noWrap w:val="0"/>
                  <w:vAlign w:val="center"/>
                </w:tcPr>
                <w:p w14:paraId="11672BD0">
                  <w:pPr>
                    <w:spacing w:line="320" w:lineRule="exact"/>
                    <w:jc w:val="center"/>
                    <w:rPr>
                      <w:rFonts w:hint="eastAsia"/>
                      <w:bCs/>
                      <w:szCs w:val="21"/>
                    </w:rPr>
                  </w:pPr>
                  <w:r>
                    <w:rPr>
                      <w:rFonts w:hint="eastAsia"/>
                      <w:bCs/>
                      <w:szCs w:val="21"/>
                    </w:rPr>
                    <w:t>健康危险急性毒性物质(类别2)</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BAE6D5C">
                  <w:pPr>
                    <w:jc w:val="center"/>
                    <w:rPr>
                      <w:bCs/>
                      <w:spacing w:val="-2"/>
                      <w:kern w:val="0"/>
                      <w:szCs w:val="21"/>
                    </w:rPr>
                  </w:pPr>
                  <w:r>
                    <w:rPr>
                      <w:rFonts w:hint="eastAsia"/>
                      <w:bCs/>
                      <w:spacing w:val="-2"/>
                      <w:kern w:val="0"/>
                      <w:szCs w:val="21"/>
                    </w:rPr>
                    <w:t>0.06</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4875B227">
                  <w:pPr>
                    <w:ind w:left="-105" w:leftChars="-50" w:right="-105" w:rightChars="-50"/>
                    <w:jc w:val="center"/>
                    <w:rPr>
                      <w:bCs/>
                      <w:spacing w:val="-2"/>
                      <w:kern w:val="0"/>
                      <w:szCs w:val="21"/>
                    </w:rPr>
                  </w:pPr>
                  <w:r>
                    <w:rPr>
                      <w:rFonts w:hint="eastAsia"/>
                      <w:bCs/>
                      <w:szCs w:val="21"/>
                    </w:rPr>
                    <w:t>/</w:t>
                  </w:r>
                </w:p>
              </w:tc>
            </w:tr>
          </w:tbl>
          <w:p w14:paraId="022C3845">
            <w:pPr>
              <w:spacing w:line="360" w:lineRule="auto"/>
              <w:ind w:firstLine="482" w:firstLineChars="200"/>
              <w:rPr>
                <w:b/>
                <w:kern w:val="0"/>
                <w:sz w:val="24"/>
              </w:rPr>
            </w:pPr>
          </w:p>
          <w:p w14:paraId="1445A029">
            <w:pPr>
              <w:spacing w:line="480" w:lineRule="exact"/>
              <w:ind w:firstLine="480" w:firstLineChars="200"/>
              <w:rPr>
                <w:bCs/>
                <w:kern w:val="0"/>
                <w:sz w:val="24"/>
              </w:rPr>
            </w:pPr>
            <w:r>
              <w:rPr>
                <w:bCs/>
                <w:kern w:val="0"/>
                <w:sz w:val="24"/>
              </w:rPr>
              <w:t>②风险潜势初判</w:t>
            </w:r>
          </w:p>
          <w:p w14:paraId="576544C8">
            <w:pPr>
              <w:spacing w:line="480" w:lineRule="exact"/>
              <w:ind w:firstLine="480" w:firstLineChars="200"/>
              <w:rPr>
                <w:kern w:val="0"/>
                <w:sz w:val="24"/>
              </w:rPr>
            </w:pPr>
            <w:r>
              <w:rPr>
                <w:kern w:val="0"/>
                <w:sz w:val="24"/>
              </w:rPr>
              <w:t>A、危险物质数量与临界量比值(Q)</w:t>
            </w:r>
          </w:p>
          <w:p w14:paraId="41899D41">
            <w:pPr>
              <w:spacing w:line="480" w:lineRule="exact"/>
              <w:ind w:firstLine="480" w:firstLineChars="200"/>
              <w:rPr>
                <w:kern w:val="0"/>
                <w:sz w:val="24"/>
              </w:rPr>
            </w:pPr>
            <w:r>
              <w:rPr>
                <w:kern w:val="0"/>
                <w:sz w:val="24"/>
              </w:rPr>
              <w:t>计算所涉及的每种危险物质在厂界内的最大存在总量与其在HJ169－2018附录B中对应临界量的比值Q。在不同厂区的同一种物质，按其在厂界内的最大存在总量计算。对于长输管线项目，按照两个截断阀室之间管段危险物质最大存在总量计算。</w:t>
            </w:r>
          </w:p>
          <w:p w14:paraId="7BE32C52">
            <w:pPr>
              <w:spacing w:line="480" w:lineRule="exact"/>
              <w:ind w:firstLine="480" w:firstLineChars="200"/>
              <w:rPr>
                <w:kern w:val="0"/>
                <w:sz w:val="24"/>
              </w:rPr>
            </w:pPr>
            <w:r>
              <w:rPr>
                <w:kern w:val="0"/>
                <w:sz w:val="24"/>
              </w:rPr>
              <w:t>当只涉及一种危险物质时，计算该物质的总量与其临界量比值，即为Q；</w:t>
            </w:r>
          </w:p>
          <w:p w14:paraId="3B78D2A5">
            <w:pPr>
              <w:spacing w:line="480" w:lineRule="exact"/>
              <w:ind w:firstLine="480" w:firstLineChars="200"/>
              <w:rPr>
                <w:kern w:val="0"/>
                <w:sz w:val="24"/>
              </w:rPr>
            </w:pPr>
            <w:r>
              <w:rPr>
                <w:kern w:val="0"/>
                <w:sz w:val="24"/>
              </w:rPr>
              <w:t>当存在多种危险物质时，则按式(C.1)计算物质总量与其临界量比值(Q)：</w:t>
            </w:r>
          </w:p>
          <w:p w14:paraId="21CB79BF">
            <w:pPr>
              <w:ind w:firstLine="480" w:firstLineChars="200"/>
              <w:rPr>
                <w:kern w:val="0"/>
                <w:sz w:val="24"/>
              </w:rPr>
            </w:pPr>
            <w:r>
              <w:rPr>
                <w:kern w:val="0"/>
                <w:sz w:val="24"/>
              </w:rPr>
              <w:drawing>
                <wp:inline distT="0" distB="0" distL="114300" distR="114300">
                  <wp:extent cx="1467485" cy="370205"/>
                  <wp:effectExtent l="0" t="0" r="18415" b="10795"/>
                  <wp:docPr id="17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2"/>
                          <pic:cNvPicPr>
                            <a:picLocks noChangeAspect="1"/>
                          </pic:cNvPicPr>
                        </pic:nvPicPr>
                        <pic:blipFill>
                          <a:blip r:embed="rId23"/>
                          <a:stretch>
                            <a:fillRect/>
                          </a:stretch>
                        </pic:blipFill>
                        <pic:spPr>
                          <a:xfrm>
                            <a:off x="0" y="0"/>
                            <a:ext cx="1467485" cy="370205"/>
                          </a:xfrm>
                          <a:prstGeom prst="rect">
                            <a:avLst/>
                          </a:prstGeom>
                          <a:noFill/>
                          <a:ln>
                            <a:noFill/>
                          </a:ln>
                        </pic:spPr>
                      </pic:pic>
                    </a:graphicData>
                  </a:graphic>
                </wp:inline>
              </w:drawing>
            </w:r>
          </w:p>
          <w:p w14:paraId="7E0F5B37">
            <w:pPr>
              <w:spacing w:line="480" w:lineRule="exact"/>
              <w:ind w:firstLine="480" w:firstLineChars="200"/>
              <w:rPr>
                <w:kern w:val="0"/>
                <w:sz w:val="24"/>
              </w:rPr>
            </w:pPr>
            <w:r>
              <w:rPr>
                <w:kern w:val="0"/>
                <w:sz w:val="24"/>
              </w:rPr>
              <w:t>式中：q</w:t>
            </w:r>
            <w:r>
              <w:rPr>
                <w:kern w:val="0"/>
                <w:sz w:val="24"/>
                <w:vertAlign w:val="subscript"/>
              </w:rPr>
              <w:t>1</w:t>
            </w:r>
            <w:r>
              <w:rPr>
                <w:kern w:val="0"/>
                <w:sz w:val="24"/>
              </w:rPr>
              <w:t>，q</w:t>
            </w:r>
            <w:r>
              <w:rPr>
                <w:kern w:val="0"/>
                <w:sz w:val="24"/>
                <w:vertAlign w:val="subscript"/>
              </w:rPr>
              <w:t>2</w:t>
            </w:r>
            <w:r>
              <w:rPr>
                <w:kern w:val="0"/>
                <w:sz w:val="24"/>
              </w:rPr>
              <w:t>，...，qn——每种危险物质的最大存在总量，t；</w:t>
            </w:r>
          </w:p>
          <w:p w14:paraId="4072B2D1">
            <w:pPr>
              <w:spacing w:line="480" w:lineRule="exact"/>
              <w:ind w:firstLine="480" w:firstLineChars="200"/>
              <w:rPr>
                <w:kern w:val="0"/>
                <w:sz w:val="24"/>
              </w:rPr>
            </w:pPr>
            <w:r>
              <w:rPr>
                <w:kern w:val="0"/>
                <w:sz w:val="24"/>
              </w:rPr>
              <w:t>Q</w:t>
            </w:r>
            <w:r>
              <w:rPr>
                <w:kern w:val="0"/>
                <w:sz w:val="24"/>
                <w:vertAlign w:val="subscript"/>
              </w:rPr>
              <w:t>1</w:t>
            </w:r>
            <w:r>
              <w:rPr>
                <w:kern w:val="0"/>
                <w:sz w:val="24"/>
              </w:rPr>
              <w:t>,Q</w:t>
            </w:r>
            <w:r>
              <w:rPr>
                <w:kern w:val="0"/>
                <w:sz w:val="24"/>
                <w:vertAlign w:val="subscript"/>
              </w:rPr>
              <w:t>2</w:t>
            </w:r>
            <w:r>
              <w:rPr>
                <w:kern w:val="0"/>
                <w:sz w:val="24"/>
              </w:rPr>
              <w:t>,...,Qn——每种危险物质的临界量，t。</w:t>
            </w:r>
          </w:p>
          <w:p w14:paraId="2580D0F6">
            <w:pPr>
              <w:spacing w:line="480" w:lineRule="exact"/>
              <w:ind w:firstLine="480" w:firstLineChars="200"/>
              <w:rPr>
                <w:kern w:val="0"/>
                <w:sz w:val="24"/>
              </w:rPr>
            </w:pPr>
            <w:r>
              <w:rPr>
                <w:kern w:val="0"/>
                <w:sz w:val="24"/>
              </w:rPr>
              <w:t>当Q＜1时，该项目环境风险潜势为Ⅰ。</w:t>
            </w:r>
          </w:p>
          <w:p w14:paraId="51766F1B">
            <w:pPr>
              <w:spacing w:line="480" w:lineRule="exact"/>
              <w:ind w:firstLine="480" w:firstLineChars="200"/>
              <w:rPr>
                <w:kern w:val="0"/>
                <w:sz w:val="24"/>
              </w:rPr>
            </w:pPr>
            <w:r>
              <w:rPr>
                <w:kern w:val="0"/>
                <w:sz w:val="24"/>
              </w:rPr>
              <w:t>当Q≥1时，将Q值划分为：(1)1≤Q＜10；(2)10≤Q＜100；(3)Q≥100。</w:t>
            </w:r>
          </w:p>
          <w:p w14:paraId="48C18A92">
            <w:pPr>
              <w:spacing w:line="480" w:lineRule="exact"/>
              <w:ind w:firstLine="480" w:firstLineChars="200"/>
              <w:rPr>
                <w:rFonts w:hint="eastAsia"/>
                <w:kern w:val="0"/>
                <w:sz w:val="24"/>
              </w:rPr>
            </w:pPr>
            <w:r>
              <w:rPr>
                <w:kern w:val="0"/>
                <w:sz w:val="24"/>
              </w:rPr>
              <w:t>根据《建设项目环境风险评价技术导则》(HJ169－2018)，项目</w:t>
            </w:r>
            <w:r>
              <w:rPr>
                <w:rFonts w:hint="eastAsia"/>
                <w:kern w:val="0"/>
                <w:sz w:val="24"/>
              </w:rPr>
              <w:t>切削液</w:t>
            </w:r>
            <w:r>
              <w:rPr>
                <w:kern w:val="0"/>
                <w:sz w:val="24"/>
              </w:rPr>
              <w:t>属于</w:t>
            </w:r>
            <w:r>
              <w:rPr>
                <w:rFonts w:hint="eastAsia"/>
                <w:kern w:val="0"/>
                <w:sz w:val="24"/>
              </w:rPr>
              <w:t>油类物质</w:t>
            </w:r>
            <w:r>
              <w:rPr>
                <w:kern w:val="0"/>
                <w:sz w:val="24"/>
              </w:rPr>
              <w:t>，临界量为</w:t>
            </w:r>
            <w:r>
              <w:rPr>
                <w:rFonts w:hint="eastAsia"/>
                <w:kern w:val="0"/>
                <w:sz w:val="24"/>
              </w:rPr>
              <w:t>250</w:t>
            </w:r>
            <w:r>
              <w:rPr>
                <w:kern w:val="0"/>
                <w:sz w:val="24"/>
              </w:rPr>
              <w:t>0t。项目危险物质数量与临界量比值(Q)判定如下：</w:t>
            </w:r>
          </w:p>
          <w:p w14:paraId="1E534519">
            <w:pPr>
              <w:spacing w:line="480" w:lineRule="exact"/>
              <w:jc w:val="center"/>
              <w:rPr>
                <w:rFonts w:hint="eastAsia" w:ascii="黑体" w:hAnsi="黑体" w:eastAsia="黑体" w:cs="黑体"/>
                <w:sz w:val="24"/>
              </w:rPr>
            </w:pPr>
            <w:r>
              <w:rPr>
                <w:rFonts w:hint="eastAsia" w:ascii="黑体" w:hAnsi="黑体" w:eastAsia="黑体" w:cs="黑体"/>
                <w:sz w:val="24"/>
              </w:rPr>
              <w:t>表4-19</w:t>
            </w:r>
            <w:r>
              <w:rPr>
                <w:rFonts w:hint="eastAsia" w:ascii="黑体" w:hAnsi="黑体" w:eastAsia="黑体" w:cs="黑体"/>
                <w:kern w:val="0"/>
                <w:sz w:val="24"/>
              </w:rPr>
              <w:t>危险物质数量与临界量比值(Q)</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2180"/>
              <w:gridCol w:w="1755"/>
              <w:gridCol w:w="1745"/>
              <w:gridCol w:w="1685"/>
            </w:tblGrid>
            <w:tr w14:paraId="4858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53" w:type="dxa"/>
                  <w:noWrap w:val="0"/>
                  <w:vAlign w:val="top"/>
                </w:tcPr>
                <w:p w14:paraId="2B25CBF1">
                  <w:pPr>
                    <w:spacing w:line="320" w:lineRule="exact"/>
                    <w:jc w:val="center"/>
                    <w:rPr>
                      <w:bCs/>
                      <w:szCs w:val="21"/>
                    </w:rPr>
                  </w:pPr>
                  <w:r>
                    <w:rPr>
                      <w:bCs/>
                      <w:szCs w:val="21"/>
                    </w:rPr>
                    <w:t>序号</w:t>
                  </w:r>
                </w:p>
              </w:tc>
              <w:tc>
                <w:tcPr>
                  <w:tcW w:w="2180" w:type="dxa"/>
                  <w:noWrap w:val="0"/>
                  <w:vAlign w:val="center"/>
                </w:tcPr>
                <w:p w14:paraId="64757F52">
                  <w:pPr>
                    <w:spacing w:line="320" w:lineRule="exact"/>
                    <w:jc w:val="center"/>
                    <w:rPr>
                      <w:bCs/>
                      <w:szCs w:val="21"/>
                    </w:rPr>
                  </w:pPr>
                  <w:r>
                    <w:rPr>
                      <w:bCs/>
                      <w:szCs w:val="21"/>
                    </w:rPr>
                    <w:t>物质名称</w:t>
                  </w:r>
                </w:p>
              </w:tc>
              <w:tc>
                <w:tcPr>
                  <w:tcW w:w="1755" w:type="dxa"/>
                  <w:noWrap w:val="0"/>
                  <w:vAlign w:val="center"/>
                </w:tcPr>
                <w:p w14:paraId="1398B5A9">
                  <w:pPr>
                    <w:spacing w:line="320" w:lineRule="exact"/>
                    <w:jc w:val="center"/>
                    <w:rPr>
                      <w:bCs/>
                      <w:szCs w:val="21"/>
                    </w:rPr>
                  </w:pPr>
                  <w:r>
                    <w:rPr>
                      <w:bCs/>
                      <w:szCs w:val="21"/>
                    </w:rPr>
                    <w:t>最大</w:t>
                  </w:r>
                  <w:r>
                    <w:rPr>
                      <w:rFonts w:hint="eastAsia"/>
                      <w:bCs/>
                      <w:szCs w:val="21"/>
                    </w:rPr>
                    <w:t>存在</w:t>
                  </w:r>
                  <w:r>
                    <w:rPr>
                      <w:bCs/>
                      <w:szCs w:val="21"/>
                    </w:rPr>
                    <w:t>量(t)</w:t>
                  </w:r>
                </w:p>
              </w:tc>
              <w:tc>
                <w:tcPr>
                  <w:tcW w:w="1745" w:type="dxa"/>
                  <w:noWrap w:val="0"/>
                  <w:vAlign w:val="center"/>
                </w:tcPr>
                <w:p w14:paraId="0C6BDD72">
                  <w:pPr>
                    <w:spacing w:line="320" w:lineRule="exact"/>
                    <w:jc w:val="center"/>
                    <w:rPr>
                      <w:bCs/>
                      <w:szCs w:val="21"/>
                    </w:rPr>
                  </w:pPr>
                  <w:r>
                    <w:rPr>
                      <w:bCs/>
                      <w:szCs w:val="21"/>
                    </w:rPr>
                    <w:t>临界量(t)</w:t>
                  </w:r>
                </w:p>
              </w:tc>
              <w:tc>
                <w:tcPr>
                  <w:tcW w:w="1685" w:type="dxa"/>
                  <w:noWrap w:val="0"/>
                  <w:vAlign w:val="center"/>
                </w:tcPr>
                <w:p w14:paraId="1D2BE74E">
                  <w:pPr>
                    <w:spacing w:line="320" w:lineRule="exact"/>
                    <w:jc w:val="center"/>
                    <w:rPr>
                      <w:bCs/>
                      <w:szCs w:val="21"/>
                    </w:rPr>
                  </w:pPr>
                  <w:r>
                    <w:rPr>
                      <w:bCs/>
                      <w:szCs w:val="21"/>
                    </w:rPr>
                    <w:t>Q值</w:t>
                  </w:r>
                </w:p>
              </w:tc>
            </w:tr>
            <w:tr w14:paraId="6C51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053" w:type="dxa"/>
                  <w:noWrap w:val="0"/>
                  <w:vAlign w:val="top"/>
                </w:tcPr>
                <w:p w14:paraId="23FC1792">
                  <w:pPr>
                    <w:spacing w:line="320" w:lineRule="exact"/>
                    <w:jc w:val="center"/>
                    <w:rPr>
                      <w:bCs/>
                      <w:szCs w:val="21"/>
                    </w:rPr>
                  </w:pPr>
                  <w:r>
                    <w:rPr>
                      <w:bCs/>
                      <w:szCs w:val="21"/>
                    </w:rPr>
                    <w:t>1</w:t>
                  </w:r>
                </w:p>
              </w:tc>
              <w:tc>
                <w:tcPr>
                  <w:tcW w:w="2180" w:type="dxa"/>
                  <w:noWrap w:val="0"/>
                  <w:vAlign w:val="center"/>
                </w:tcPr>
                <w:p w14:paraId="7BDF8A66">
                  <w:pPr>
                    <w:spacing w:line="320" w:lineRule="exact"/>
                    <w:jc w:val="center"/>
                    <w:rPr>
                      <w:bCs/>
                      <w:szCs w:val="21"/>
                    </w:rPr>
                  </w:pPr>
                  <w:r>
                    <w:rPr>
                      <w:rFonts w:hint="eastAsia"/>
                      <w:bCs/>
                      <w:szCs w:val="21"/>
                    </w:rPr>
                    <w:t>机油</w:t>
                  </w:r>
                </w:p>
              </w:tc>
              <w:tc>
                <w:tcPr>
                  <w:tcW w:w="1755" w:type="dxa"/>
                  <w:noWrap w:val="0"/>
                  <w:vAlign w:val="center"/>
                </w:tcPr>
                <w:p w14:paraId="30513AD6">
                  <w:pPr>
                    <w:spacing w:line="320" w:lineRule="exact"/>
                    <w:jc w:val="center"/>
                    <w:rPr>
                      <w:bCs/>
                      <w:szCs w:val="21"/>
                    </w:rPr>
                  </w:pPr>
                  <w:r>
                    <w:rPr>
                      <w:rFonts w:hint="eastAsia"/>
                      <w:bCs/>
                      <w:spacing w:val="-2"/>
                      <w:kern w:val="0"/>
                      <w:szCs w:val="21"/>
                    </w:rPr>
                    <w:t>0.1</w:t>
                  </w:r>
                </w:p>
              </w:tc>
              <w:tc>
                <w:tcPr>
                  <w:tcW w:w="1745" w:type="dxa"/>
                  <w:noWrap w:val="0"/>
                  <w:vAlign w:val="center"/>
                </w:tcPr>
                <w:p w14:paraId="2AFBAA79">
                  <w:pPr>
                    <w:spacing w:line="320" w:lineRule="exact"/>
                    <w:jc w:val="center"/>
                    <w:rPr>
                      <w:bCs/>
                      <w:szCs w:val="21"/>
                    </w:rPr>
                  </w:pPr>
                  <w:r>
                    <w:rPr>
                      <w:bCs/>
                      <w:szCs w:val="21"/>
                    </w:rPr>
                    <w:t>2500</w:t>
                  </w:r>
                </w:p>
              </w:tc>
              <w:tc>
                <w:tcPr>
                  <w:tcW w:w="1685" w:type="dxa"/>
                  <w:noWrap w:val="0"/>
                  <w:vAlign w:val="center"/>
                </w:tcPr>
                <w:p w14:paraId="2B5C0ED3">
                  <w:pPr>
                    <w:widowControl/>
                    <w:jc w:val="center"/>
                    <w:textAlignment w:val="center"/>
                    <w:rPr>
                      <w:bCs/>
                      <w:szCs w:val="21"/>
                    </w:rPr>
                  </w:pPr>
                  <w:r>
                    <w:rPr>
                      <w:color w:val="000000"/>
                      <w:kern w:val="0"/>
                      <w:sz w:val="22"/>
                      <w:szCs w:val="22"/>
                      <w:lang w:bidi="ar"/>
                    </w:rPr>
                    <w:t>0.00004</w:t>
                  </w:r>
                </w:p>
              </w:tc>
            </w:tr>
            <w:tr w14:paraId="752F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053" w:type="dxa"/>
                  <w:noWrap w:val="0"/>
                  <w:vAlign w:val="top"/>
                </w:tcPr>
                <w:p w14:paraId="29384386">
                  <w:pPr>
                    <w:spacing w:line="320" w:lineRule="exact"/>
                    <w:jc w:val="center"/>
                    <w:rPr>
                      <w:bCs/>
                      <w:szCs w:val="21"/>
                    </w:rPr>
                  </w:pPr>
                  <w:r>
                    <w:rPr>
                      <w:bCs/>
                      <w:szCs w:val="21"/>
                    </w:rPr>
                    <w:t>2</w:t>
                  </w:r>
                </w:p>
              </w:tc>
              <w:tc>
                <w:tcPr>
                  <w:tcW w:w="2180" w:type="dxa"/>
                  <w:noWrap w:val="0"/>
                  <w:vAlign w:val="center"/>
                </w:tcPr>
                <w:p w14:paraId="49E36F8B">
                  <w:pPr>
                    <w:spacing w:line="320" w:lineRule="exact"/>
                    <w:jc w:val="center"/>
                    <w:rPr>
                      <w:bCs/>
                      <w:szCs w:val="21"/>
                    </w:rPr>
                  </w:pPr>
                  <w:r>
                    <w:rPr>
                      <w:rFonts w:hint="eastAsia"/>
                      <w:bCs/>
                      <w:szCs w:val="21"/>
                    </w:rPr>
                    <w:t>废机油</w:t>
                  </w:r>
                </w:p>
              </w:tc>
              <w:tc>
                <w:tcPr>
                  <w:tcW w:w="1755" w:type="dxa"/>
                  <w:noWrap w:val="0"/>
                  <w:vAlign w:val="center"/>
                </w:tcPr>
                <w:p w14:paraId="7D13FB2B">
                  <w:pPr>
                    <w:spacing w:line="320" w:lineRule="exact"/>
                    <w:jc w:val="center"/>
                    <w:rPr>
                      <w:bCs/>
                      <w:szCs w:val="21"/>
                    </w:rPr>
                  </w:pPr>
                  <w:r>
                    <w:rPr>
                      <w:rFonts w:hint="eastAsia"/>
                      <w:bCs/>
                      <w:spacing w:val="-2"/>
                      <w:kern w:val="0"/>
                      <w:szCs w:val="21"/>
                    </w:rPr>
                    <w:t>0.3</w:t>
                  </w:r>
                </w:p>
              </w:tc>
              <w:tc>
                <w:tcPr>
                  <w:tcW w:w="1745" w:type="dxa"/>
                  <w:noWrap w:val="0"/>
                  <w:vAlign w:val="center"/>
                </w:tcPr>
                <w:p w14:paraId="009170B1">
                  <w:pPr>
                    <w:spacing w:line="320" w:lineRule="exact"/>
                    <w:jc w:val="center"/>
                    <w:rPr>
                      <w:bCs/>
                      <w:szCs w:val="21"/>
                    </w:rPr>
                  </w:pPr>
                  <w:r>
                    <w:rPr>
                      <w:bCs/>
                      <w:szCs w:val="21"/>
                    </w:rPr>
                    <w:t>2500</w:t>
                  </w:r>
                </w:p>
              </w:tc>
              <w:tc>
                <w:tcPr>
                  <w:tcW w:w="1685" w:type="dxa"/>
                  <w:noWrap w:val="0"/>
                  <w:vAlign w:val="center"/>
                </w:tcPr>
                <w:p w14:paraId="75110076">
                  <w:pPr>
                    <w:widowControl/>
                    <w:jc w:val="center"/>
                    <w:textAlignment w:val="center"/>
                    <w:rPr>
                      <w:bCs/>
                      <w:szCs w:val="21"/>
                    </w:rPr>
                  </w:pPr>
                  <w:r>
                    <w:rPr>
                      <w:color w:val="000000"/>
                      <w:kern w:val="0"/>
                      <w:sz w:val="22"/>
                      <w:szCs w:val="22"/>
                      <w:lang w:bidi="ar"/>
                    </w:rPr>
                    <w:t>0.00012</w:t>
                  </w:r>
                </w:p>
              </w:tc>
            </w:tr>
            <w:tr w14:paraId="3211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053" w:type="dxa"/>
                  <w:noWrap w:val="0"/>
                  <w:vAlign w:val="top"/>
                </w:tcPr>
                <w:p w14:paraId="26359AFD">
                  <w:pPr>
                    <w:spacing w:line="320" w:lineRule="exact"/>
                    <w:jc w:val="center"/>
                    <w:rPr>
                      <w:bCs/>
                      <w:szCs w:val="21"/>
                    </w:rPr>
                  </w:pPr>
                  <w:r>
                    <w:rPr>
                      <w:rFonts w:hint="eastAsia"/>
                      <w:bCs/>
                      <w:szCs w:val="21"/>
                    </w:rPr>
                    <w:t>3</w:t>
                  </w:r>
                </w:p>
              </w:tc>
              <w:tc>
                <w:tcPr>
                  <w:tcW w:w="2180" w:type="dxa"/>
                  <w:noWrap w:val="0"/>
                  <w:vAlign w:val="center"/>
                </w:tcPr>
                <w:p w14:paraId="38604AD4">
                  <w:pPr>
                    <w:spacing w:line="320" w:lineRule="exact"/>
                    <w:jc w:val="center"/>
                    <w:rPr>
                      <w:bCs/>
                      <w:szCs w:val="21"/>
                    </w:rPr>
                  </w:pPr>
                  <w:r>
                    <w:rPr>
                      <w:rFonts w:hint="eastAsia"/>
                      <w:bCs/>
                      <w:szCs w:val="21"/>
                    </w:rPr>
                    <w:t>废机油桶</w:t>
                  </w:r>
                </w:p>
              </w:tc>
              <w:tc>
                <w:tcPr>
                  <w:tcW w:w="1755" w:type="dxa"/>
                  <w:noWrap w:val="0"/>
                  <w:vAlign w:val="center"/>
                </w:tcPr>
                <w:p w14:paraId="5CB2FFBE">
                  <w:pPr>
                    <w:spacing w:line="320" w:lineRule="exact"/>
                    <w:jc w:val="center"/>
                    <w:rPr>
                      <w:bCs/>
                      <w:szCs w:val="21"/>
                    </w:rPr>
                  </w:pPr>
                  <w:r>
                    <w:rPr>
                      <w:rFonts w:hint="eastAsia"/>
                      <w:bCs/>
                      <w:spacing w:val="-2"/>
                      <w:kern w:val="0"/>
                      <w:szCs w:val="21"/>
                    </w:rPr>
                    <w:t>0.06</w:t>
                  </w:r>
                </w:p>
              </w:tc>
              <w:tc>
                <w:tcPr>
                  <w:tcW w:w="1745" w:type="dxa"/>
                  <w:noWrap w:val="0"/>
                  <w:vAlign w:val="center"/>
                </w:tcPr>
                <w:p w14:paraId="32E67DFE">
                  <w:pPr>
                    <w:spacing w:line="320" w:lineRule="exact"/>
                    <w:jc w:val="center"/>
                    <w:rPr>
                      <w:bCs/>
                      <w:szCs w:val="21"/>
                    </w:rPr>
                  </w:pPr>
                  <w:r>
                    <w:rPr>
                      <w:rFonts w:hint="eastAsia"/>
                      <w:bCs/>
                      <w:szCs w:val="21"/>
                    </w:rPr>
                    <w:t>100</w:t>
                  </w:r>
                </w:p>
              </w:tc>
              <w:tc>
                <w:tcPr>
                  <w:tcW w:w="1685" w:type="dxa"/>
                  <w:noWrap w:val="0"/>
                  <w:vAlign w:val="center"/>
                </w:tcPr>
                <w:p w14:paraId="14A02C12">
                  <w:pPr>
                    <w:widowControl/>
                    <w:jc w:val="center"/>
                    <w:textAlignment w:val="center"/>
                    <w:rPr>
                      <w:bCs/>
                      <w:szCs w:val="21"/>
                    </w:rPr>
                  </w:pPr>
                  <w:r>
                    <w:rPr>
                      <w:color w:val="000000"/>
                      <w:kern w:val="0"/>
                      <w:sz w:val="22"/>
                      <w:szCs w:val="22"/>
                      <w:lang w:bidi="ar"/>
                    </w:rPr>
                    <w:t>0.0006</w:t>
                  </w:r>
                </w:p>
              </w:tc>
            </w:tr>
            <w:tr w14:paraId="1C27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733" w:type="dxa"/>
                  <w:gridSpan w:val="4"/>
                  <w:noWrap w:val="0"/>
                  <w:vAlign w:val="top"/>
                </w:tcPr>
                <w:p w14:paraId="68C9BA25">
                  <w:pPr>
                    <w:spacing w:line="320" w:lineRule="exact"/>
                    <w:jc w:val="center"/>
                    <w:rPr>
                      <w:bCs/>
                      <w:szCs w:val="21"/>
                    </w:rPr>
                  </w:pPr>
                  <w:r>
                    <w:rPr>
                      <w:bCs/>
                      <w:szCs w:val="21"/>
                    </w:rPr>
                    <w:t>合计</w:t>
                  </w:r>
                </w:p>
              </w:tc>
              <w:tc>
                <w:tcPr>
                  <w:tcW w:w="1685" w:type="dxa"/>
                  <w:noWrap w:val="0"/>
                  <w:vAlign w:val="center"/>
                </w:tcPr>
                <w:p w14:paraId="28469C9B">
                  <w:pPr>
                    <w:widowControl/>
                    <w:jc w:val="center"/>
                    <w:textAlignment w:val="center"/>
                    <w:rPr>
                      <w:bCs/>
                      <w:szCs w:val="21"/>
                    </w:rPr>
                  </w:pPr>
                  <w:r>
                    <w:rPr>
                      <w:color w:val="000000"/>
                      <w:kern w:val="0"/>
                      <w:sz w:val="22"/>
                      <w:szCs w:val="22"/>
                      <w:lang w:bidi="ar"/>
                    </w:rPr>
                    <w:t>0.00076</w:t>
                  </w:r>
                </w:p>
              </w:tc>
            </w:tr>
          </w:tbl>
          <w:p w14:paraId="5CA09F96">
            <w:pPr>
              <w:spacing w:line="440" w:lineRule="exact"/>
              <w:ind w:firstLine="480" w:firstLineChars="200"/>
              <w:rPr>
                <w:kern w:val="0"/>
                <w:sz w:val="24"/>
              </w:rPr>
            </w:pPr>
          </w:p>
          <w:p w14:paraId="04B4D07E">
            <w:pPr>
              <w:spacing w:line="480" w:lineRule="exact"/>
              <w:ind w:firstLine="480" w:firstLineChars="200"/>
              <w:rPr>
                <w:kern w:val="0"/>
                <w:sz w:val="24"/>
              </w:rPr>
            </w:pPr>
            <w:r>
              <w:rPr>
                <w:kern w:val="0"/>
                <w:sz w:val="24"/>
              </w:rPr>
              <w:t>根据上表计算，项目危险物质数量与临界量比值Q=0.0</w:t>
            </w:r>
            <w:r>
              <w:rPr>
                <w:rFonts w:hint="eastAsia"/>
                <w:kern w:val="0"/>
                <w:sz w:val="24"/>
              </w:rPr>
              <w:t>0076</w:t>
            </w:r>
            <w:r>
              <w:rPr>
                <w:kern w:val="0"/>
                <w:sz w:val="24"/>
              </w:rPr>
              <w:t>＜1。</w:t>
            </w:r>
          </w:p>
          <w:p w14:paraId="19BE09B8">
            <w:pPr>
              <w:spacing w:line="480" w:lineRule="exact"/>
              <w:ind w:firstLine="480" w:firstLineChars="200"/>
              <w:rPr>
                <w:kern w:val="0"/>
                <w:sz w:val="24"/>
              </w:rPr>
            </w:pPr>
            <w:r>
              <w:rPr>
                <w:kern w:val="0"/>
                <w:sz w:val="24"/>
              </w:rPr>
              <w:t>B、环境风险潜势初判</w:t>
            </w:r>
          </w:p>
          <w:p w14:paraId="5DB7BEB9">
            <w:pPr>
              <w:spacing w:line="480" w:lineRule="exact"/>
              <w:ind w:firstLine="480" w:firstLineChars="200"/>
              <w:rPr>
                <w:kern w:val="0"/>
                <w:sz w:val="24"/>
              </w:rPr>
            </w:pPr>
            <w:r>
              <w:rPr>
                <w:kern w:val="0"/>
                <w:sz w:val="24"/>
              </w:rPr>
              <w:t>根据HJ169－2018，当Q＜1时，该项目环境风险潜势为Ⅰ。</w:t>
            </w:r>
            <w:r>
              <w:rPr>
                <w:rFonts w:hint="eastAsia"/>
                <w:kern w:val="0"/>
                <w:sz w:val="24"/>
              </w:rPr>
              <w:t>开展简单分析。</w:t>
            </w:r>
          </w:p>
          <w:p w14:paraId="078F7E8F">
            <w:pPr>
              <w:spacing w:line="480" w:lineRule="exact"/>
              <w:ind w:firstLine="480" w:firstLineChars="200"/>
              <w:rPr>
                <w:rFonts w:hint="eastAsia"/>
                <w:bCs/>
                <w:kern w:val="0"/>
                <w:sz w:val="24"/>
              </w:rPr>
            </w:pPr>
            <w:r>
              <w:rPr>
                <w:rFonts w:hint="eastAsia" w:ascii="宋体" w:hAnsi="宋体"/>
                <w:bCs/>
                <w:kern w:val="0"/>
                <w:sz w:val="24"/>
              </w:rPr>
              <w:t>③环境风险简单分析内容</w:t>
            </w:r>
          </w:p>
          <w:p w14:paraId="52ED25A9">
            <w:pPr>
              <w:autoSpaceDE w:val="0"/>
              <w:autoSpaceDN w:val="0"/>
              <w:spacing w:line="480" w:lineRule="exact"/>
              <w:ind w:firstLine="480" w:firstLineChars="200"/>
              <w:rPr>
                <w:sz w:val="24"/>
              </w:rPr>
            </w:pPr>
            <w:r>
              <w:rPr>
                <w:rFonts w:hint="eastAsia"/>
                <w:sz w:val="24"/>
              </w:rPr>
              <w:t>1)危废暂存库</w:t>
            </w:r>
            <w:r>
              <w:rPr>
                <w:sz w:val="24"/>
              </w:rPr>
              <w:t>风险防范措施</w:t>
            </w:r>
          </w:p>
          <w:p w14:paraId="033B0F5E">
            <w:pPr>
              <w:autoSpaceDE w:val="0"/>
              <w:autoSpaceDN w:val="0"/>
              <w:spacing w:line="480" w:lineRule="exact"/>
              <w:ind w:firstLine="480" w:firstLineChars="200"/>
              <w:rPr>
                <w:sz w:val="24"/>
              </w:rPr>
            </w:pPr>
            <w:r>
              <w:rPr>
                <w:rFonts w:hint="eastAsia"/>
                <w:sz w:val="24"/>
              </w:rPr>
              <w:t>本项目危废暂存库</w:t>
            </w:r>
            <w:r>
              <w:rPr>
                <w:sz w:val="24"/>
              </w:rPr>
              <w:t>存放有</w:t>
            </w:r>
            <w:r>
              <w:rPr>
                <w:rFonts w:hint="eastAsia"/>
                <w:sz w:val="24"/>
              </w:rPr>
              <w:t>废机油、废机油桶，废机油采用桶装存放。一旦出现危废泄漏的情形，其产生的危害较大。因此建设单位应做到如下：</w:t>
            </w:r>
          </w:p>
          <w:p w14:paraId="6DB31635">
            <w:pPr>
              <w:autoSpaceDE w:val="0"/>
              <w:autoSpaceDN w:val="0"/>
              <w:spacing w:line="480" w:lineRule="exact"/>
              <w:ind w:firstLine="480" w:firstLineChars="200"/>
              <w:rPr>
                <w:bCs/>
                <w:sz w:val="24"/>
              </w:rPr>
            </w:pPr>
            <w:r>
              <w:rPr>
                <w:rFonts w:hint="eastAsia"/>
                <w:bCs/>
                <w:sz w:val="24"/>
              </w:rPr>
              <w:t>a、桶装危废单层码放，禁止多层堆叠。</w:t>
            </w:r>
          </w:p>
          <w:p w14:paraId="2ADC8DA4">
            <w:pPr>
              <w:autoSpaceDE w:val="0"/>
              <w:autoSpaceDN w:val="0"/>
              <w:spacing w:line="480" w:lineRule="exact"/>
              <w:ind w:firstLine="480" w:firstLineChars="200"/>
              <w:rPr>
                <w:bCs/>
                <w:sz w:val="24"/>
              </w:rPr>
            </w:pPr>
            <w:r>
              <w:rPr>
                <w:rFonts w:hint="eastAsia"/>
                <w:bCs/>
                <w:sz w:val="24"/>
              </w:rPr>
              <w:t>b、</w:t>
            </w:r>
            <w:r>
              <w:rPr>
                <w:sz w:val="24"/>
              </w:rPr>
              <w:t>危废暂存库地面、裙</w:t>
            </w:r>
            <w:r>
              <w:rPr>
                <w:rFonts w:hint="eastAsia"/>
                <w:sz w:val="24"/>
              </w:rPr>
              <w:t>脚</w:t>
            </w:r>
            <w:r>
              <w:rPr>
                <w:sz w:val="24"/>
              </w:rPr>
              <w:t>等按照《危险废物贮存污染控制标准》(GB18597-20</w:t>
            </w:r>
            <w:r>
              <w:rPr>
                <w:rFonts w:hint="eastAsia"/>
                <w:sz w:val="24"/>
              </w:rPr>
              <w:t>23</w:t>
            </w:r>
            <w:r>
              <w:rPr>
                <w:sz w:val="24"/>
              </w:rPr>
              <w:t>)的相关要求进行建设</w:t>
            </w:r>
            <w:r>
              <w:rPr>
                <w:rFonts w:hint="eastAsia"/>
                <w:sz w:val="24"/>
              </w:rPr>
              <w:t>。</w:t>
            </w:r>
          </w:p>
          <w:p w14:paraId="5BEA2917">
            <w:pPr>
              <w:autoSpaceDE w:val="0"/>
              <w:autoSpaceDN w:val="0"/>
              <w:spacing w:line="480" w:lineRule="exact"/>
              <w:ind w:firstLine="480" w:firstLineChars="200"/>
              <w:rPr>
                <w:sz w:val="24"/>
              </w:rPr>
            </w:pPr>
            <w:r>
              <w:rPr>
                <w:rFonts w:hint="eastAsia"/>
                <w:sz w:val="24"/>
              </w:rPr>
              <w:t>c、</w:t>
            </w:r>
            <w:r>
              <w:rPr>
                <w:sz w:val="24"/>
              </w:rPr>
              <w:t>危废暂存库安排专人管理，并记录台账。</w:t>
            </w:r>
          </w:p>
          <w:p w14:paraId="0CF12869">
            <w:pPr>
              <w:autoSpaceDE w:val="0"/>
              <w:autoSpaceDN w:val="0"/>
              <w:spacing w:line="480" w:lineRule="exact"/>
              <w:ind w:firstLine="480" w:firstLineChars="200"/>
              <w:rPr>
                <w:rFonts w:hint="eastAsia"/>
                <w:sz w:val="24"/>
              </w:rPr>
            </w:pPr>
            <w:r>
              <w:rPr>
                <w:rFonts w:hint="eastAsia"/>
                <w:sz w:val="24"/>
              </w:rPr>
              <w:t>d、</w:t>
            </w:r>
            <w:r>
              <w:rPr>
                <w:sz w:val="24"/>
              </w:rPr>
              <w:t>加强危废的转运管理，避免转移过程出现倾倒。</w:t>
            </w:r>
          </w:p>
          <w:p w14:paraId="67B926A5">
            <w:pPr>
              <w:autoSpaceDE w:val="0"/>
              <w:autoSpaceDN w:val="0"/>
              <w:spacing w:line="480" w:lineRule="exact"/>
              <w:ind w:firstLine="480" w:firstLineChars="200"/>
              <w:rPr>
                <w:rFonts w:hint="eastAsia"/>
                <w:sz w:val="24"/>
              </w:rPr>
            </w:pPr>
            <w:r>
              <w:rPr>
                <w:rFonts w:hint="eastAsia"/>
                <w:sz w:val="24"/>
              </w:rPr>
              <w:t>2)原料库风险防范措施</w:t>
            </w:r>
          </w:p>
          <w:p w14:paraId="0EBD87A7">
            <w:pPr>
              <w:autoSpaceDE w:val="0"/>
              <w:autoSpaceDN w:val="0"/>
              <w:spacing w:line="480" w:lineRule="exact"/>
              <w:ind w:firstLine="480" w:firstLineChars="200"/>
              <w:rPr>
                <w:rFonts w:hint="eastAsia"/>
                <w:sz w:val="24"/>
              </w:rPr>
            </w:pPr>
            <w:r>
              <w:rPr>
                <w:sz w:val="24"/>
              </w:rPr>
              <w:t>本项目原料库存放有机油、煤矸石、建筑弃土，机油采用桶装存放，煤矸石和建筑弃土分区堆放，一旦出现机油泄露情况</w:t>
            </w:r>
            <w:r>
              <w:rPr>
                <w:rFonts w:hint="eastAsia"/>
                <w:sz w:val="24"/>
              </w:rPr>
              <w:t>、</w:t>
            </w:r>
            <w:r>
              <w:rPr>
                <w:sz w:val="24"/>
              </w:rPr>
              <w:t>或人为操作不当，导致原料库内煤矸石发生火灾爆炸的情形，产生的危害较大。因此建设单位应做到如下：</w:t>
            </w:r>
          </w:p>
          <w:p w14:paraId="5F7E1852">
            <w:pPr>
              <w:autoSpaceDE w:val="0"/>
              <w:autoSpaceDN w:val="0"/>
              <w:spacing w:line="480" w:lineRule="exact"/>
              <w:ind w:firstLine="480" w:firstLineChars="200"/>
              <w:rPr>
                <w:sz w:val="24"/>
              </w:rPr>
            </w:pPr>
            <w:r>
              <w:rPr>
                <w:sz w:val="24"/>
              </w:rPr>
              <w:t>a、原料库内设置托盘，桶装机油单层码放在托盘上；</w:t>
            </w:r>
          </w:p>
          <w:p w14:paraId="7B02B018">
            <w:pPr>
              <w:autoSpaceDE w:val="0"/>
              <w:autoSpaceDN w:val="0"/>
              <w:spacing w:line="480" w:lineRule="exact"/>
              <w:ind w:firstLine="480" w:firstLineChars="200"/>
              <w:rPr>
                <w:sz w:val="24"/>
              </w:rPr>
            </w:pPr>
            <w:r>
              <w:rPr>
                <w:sz w:val="24"/>
              </w:rPr>
              <w:t>b、原料库安排专人管理，加强煤矸石、建筑弃土的转运管理，避免转移过程倾倒；</w:t>
            </w:r>
          </w:p>
          <w:p w14:paraId="571A4F00">
            <w:pPr>
              <w:autoSpaceDE w:val="0"/>
              <w:autoSpaceDN w:val="0"/>
              <w:spacing w:line="480" w:lineRule="exact"/>
              <w:ind w:firstLine="480" w:firstLineChars="200"/>
              <w:rPr>
                <w:sz w:val="24"/>
              </w:rPr>
            </w:pPr>
            <w:r>
              <w:rPr>
                <w:sz w:val="24"/>
              </w:rPr>
              <w:t>c、原料库内设置灭火器；</w:t>
            </w:r>
          </w:p>
          <w:p w14:paraId="5D508528">
            <w:pPr>
              <w:autoSpaceDE w:val="0"/>
              <w:autoSpaceDN w:val="0"/>
              <w:spacing w:line="480" w:lineRule="exact"/>
              <w:ind w:firstLine="480" w:firstLineChars="200"/>
              <w:rPr>
                <w:sz w:val="24"/>
              </w:rPr>
            </w:pPr>
            <w:r>
              <w:rPr>
                <w:sz w:val="24"/>
              </w:rPr>
              <w:t>d、原料库内煤矸石堆放要注意高度，同时定期清理，清除堆内可燃物，降低火灾风险；</w:t>
            </w:r>
          </w:p>
          <w:p w14:paraId="72FFC0C5">
            <w:pPr>
              <w:autoSpaceDE w:val="0"/>
              <w:autoSpaceDN w:val="0"/>
              <w:spacing w:line="480" w:lineRule="exact"/>
              <w:ind w:firstLine="480" w:firstLineChars="200"/>
              <w:rPr>
                <w:sz w:val="24"/>
              </w:rPr>
            </w:pPr>
            <w:r>
              <w:rPr>
                <w:sz w:val="24"/>
              </w:rPr>
              <w:t>e、加强库内通风，确保堆内氧气充足，降低煤矸石自燃风险。</w:t>
            </w:r>
          </w:p>
          <w:p w14:paraId="0665CBB0">
            <w:pPr>
              <w:spacing w:line="460" w:lineRule="exact"/>
              <w:ind w:firstLine="480" w:firstLineChars="200"/>
              <w:rPr>
                <w:rFonts w:hint="eastAsia"/>
                <w:b/>
                <w:sz w:val="24"/>
              </w:rPr>
            </w:pPr>
            <w:r>
              <w:rPr>
                <w:rFonts w:hint="eastAsia"/>
                <w:kern w:val="0"/>
                <w:sz w:val="24"/>
              </w:rPr>
              <w:t>根据《建设项目环境风险评价技术导则》(</w:t>
            </w:r>
            <w:r>
              <w:rPr>
                <w:kern w:val="0"/>
                <w:sz w:val="24"/>
              </w:rPr>
              <w:t>HJ169</w:t>
            </w:r>
            <w:r>
              <w:rPr>
                <w:rFonts w:hint="eastAsia"/>
                <w:kern w:val="0"/>
                <w:sz w:val="24"/>
              </w:rPr>
              <w:t>－</w:t>
            </w:r>
            <w:r>
              <w:rPr>
                <w:kern w:val="0"/>
                <w:sz w:val="24"/>
              </w:rPr>
              <w:t>2018</w:t>
            </w:r>
            <w:r>
              <w:rPr>
                <w:rFonts w:hint="eastAsia"/>
                <w:kern w:val="0"/>
                <w:sz w:val="24"/>
              </w:rPr>
              <w:t>)，简单分析需要填写</w:t>
            </w:r>
            <w:r>
              <w:rPr>
                <w:rFonts w:hint="eastAsia"/>
                <w:sz w:val="24"/>
              </w:rPr>
              <w:t>建设项目环境分析简单分析内容表，具体如下：</w:t>
            </w:r>
          </w:p>
          <w:p w14:paraId="2DB0A152">
            <w:pPr>
              <w:spacing w:line="480" w:lineRule="exact"/>
              <w:jc w:val="center"/>
              <w:rPr>
                <w:rFonts w:hint="eastAsia" w:ascii="黑体" w:hAnsi="黑体" w:eastAsia="黑体" w:cs="黑体"/>
                <w:bCs/>
                <w:sz w:val="24"/>
              </w:rPr>
            </w:pPr>
          </w:p>
          <w:p w14:paraId="7B146087">
            <w:pPr>
              <w:spacing w:line="480" w:lineRule="exact"/>
              <w:jc w:val="center"/>
              <w:rPr>
                <w:rFonts w:hint="eastAsia" w:ascii="黑体" w:hAnsi="黑体" w:eastAsia="黑体" w:cs="黑体"/>
                <w:bCs/>
                <w:sz w:val="24"/>
              </w:rPr>
            </w:pPr>
          </w:p>
          <w:p w14:paraId="606750FC">
            <w:pPr>
              <w:spacing w:line="480" w:lineRule="exact"/>
              <w:jc w:val="center"/>
              <w:rPr>
                <w:rFonts w:hint="eastAsia" w:ascii="黑体" w:hAnsi="黑体" w:eastAsia="黑体" w:cs="黑体"/>
                <w:bCs/>
                <w:sz w:val="24"/>
              </w:rPr>
            </w:pPr>
          </w:p>
          <w:p w14:paraId="62A4E096">
            <w:pPr>
              <w:spacing w:line="480" w:lineRule="exact"/>
              <w:jc w:val="center"/>
              <w:rPr>
                <w:rFonts w:hint="eastAsia" w:ascii="黑体" w:hAnsi="黑体" w:eastAsia="黑体" w:cs="黑体"/>
                <w:bCs/>
                <w:sz w:val="24"/>
              </w:rPr>
            </w:pPr>
          </w:p>
          <w:p w14:paraId="71ECA704">
            <w:pPr>
              <w:spacing w:line="480" w:lineRule="exact"/>
              <w:jc w:val="center"/>
              <w:rPr>
                <w:rFonts w:hint="eastAsia" w:ascii="黑体" w:hAnsi="黑体" w:eastAsia="黑体" w:cs="黑体"/>
                <w:bCs/>
                <w:sz w:val="24"/>
              </w:rPr>
            </w:pPr>
            <w:r>
              <w:rPr>
                <w:rFonts w:hint="eastAsia" w:ascii="黑体" w:hAnsi="黑体" w:eastAsia="黑体" w:cs="黑体"/>
                <w:bCs/>
                <w:sz w:val="24"/>
              </w:rPr>
              <w:t>表4-20建设项目环境风险简单分析内容表</w:t>
            </w:r>
          </w:p>
          <w:tbl>
            <w:tblPr>
              <w:tblStyle w:val="38"/>
              <w:tblW w:w="8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6834"/>
            </w:tblGrid>
            <w:tr w14:paraId="69A1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1625" w:type="dxa"/>
                  <w:noWrap w:val="0"/>
                  <w:vAlign w:val="center"/>
                </w:tcPr>
                <w:p w14:paraId="5B8AAE9A">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建设项目名称</w:t>
                  </w:r>
                </w:p>
              </w:tc>
              <w:tc>
                <w:tcPr>
                  <w:tcW w:w="6834" w:type="dxa"/>
                  <w:noWrap w:val="0"/>
                  <w:vAlign w:val="center"/>
                </w:tcPr>
                <w:p w14:paraId="1338557E">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凤台县粹彬墙体材料有限公司煤矸石烧结砖技术改造项目</w:t>
                  </w:r>
                </w:p>
              </w:tc>
            </w:tr>
            <w:tr w14:paraId="07D1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625" w:type="dxa"/>
                  <w:noWrap w:val="0"/>
                  <w:vAlign w:val="center"/>
                </w:tcPr>
                <w:p w14:paraId="69EFEC0E">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建设地点</w:t>
                  </w:r>
                </w:p>
              </w:tc>
              <w:tc>
                <w:tcPr>
                  <w:tcW w:w="6834" w:type="dxa"/>
                  <w:noWrap w:val="0"/>
                  <w:vAlign w:val="center"/>
                </w:tcPr>
                <w:p w14:paraId="6821202B">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安徽省淮南市凤台县古店乡北芹村</w:t>
                  </w:r>
                </w:p>
              </w:tc>
            </w:tr>
            <w:tr w14:paraId="2F54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625" w:type="dxa"/>
                  <w:noWrap w:val="0"/>
                  <w:vAlign w:val="center"/>
                </w:tcPr>
                <w:p w14:paraId="3A154E57">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地理坐标</w:t>
                  </w:r>
                </w:p>
              </w:tc>
              <w:tc>
                <w:tcPr>
                  <w:tcW w:w="6834" w:type="dxa"/>
                  <w:noWrap w:val="0"/>
                  <w:vAlign w:val="center"/>
                </w:tcPr>
                <w:p w14:paraId="62B1D79B">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bCs/>
                      <w:szCs w:val="21"/>
                    </w:rPr>
                    <w:t>东经：116度32分38.469秒，北纬：32度52分56.715秒</w:t>
                  </w:r>
                </w:p>
              </w:tc>
            </w:tr>
            <w:tr w14:paraId="64D9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625" w:type="dxa"/>
                  <w:noWrap w:val="0"/>
                  <w:vAlign w:val="top"/>
                </w:tcPr>
                <w:p w14:paraId="7844E978">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主要危险物质及分布</w:t>
                  </w:r>
                </w:p>
              </w:tc>
              <w:tc>
                <w:tcPr>
                  <w:tcW w:w="6834" w:type="dxa"/>
                  <w:noWrap w:val="0"/>
                  <w:vAlign w:val="top"/>
                </w:tcPr>
                <w:p w14:paraId="7063DA50">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szCs w:val="21"/>
                    </w:rPr>
                    <w:t>项目涉及的风险物质主要有机油及危废暂存库内的危险废物等；</w:t>
                  </w:r>
                </w:p>
              </w:tc>
            </w:tr>
            <w:tr w14:paraId="3153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625" w:type="dxa"/>
                  <w:noWrap w:val="0"/>
                  <w:vAlign w:val="center"/>
                </w:tcPr>
                <w:p w14:paraId="581687FC">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kern w:val="0"/>
                      <w:szCs w:val="21"/>
                    </w:rPr>
                    <w:t>环境影响途径及危害后果(大气、地表水、地下水等)</w:t>
                  </w:r>
                </w:p>
              </w:tc>
              <w:tc>
                <w:tcPr>
                  <w:tcW w:w="6834" w:type="dxa"/>
                  <w:noWrap w:val="0"/>
                  <w:vAlign w:val="center"/>
                </w:tcPr>
                <w:p w14:paraId="34B8B28E">
                  <w:pPr>
                    <w:spacing w:line="320" w:lineRule="exact"/>
                    <w:rPr>
                      <w:rFonts w:hint="default" w:ascii="Times New Roman" w:hAnsi="Times New Roman" w:eastAsia="宋体" w:cs="Times New Roman"/>
                      <w:szCs w:val="21"/>
                    </w:rPr>
                  </w:pPr>
                  <w:r>
                    <w:rPr>
                      <w:rFonts w:hint="default" w:ascii="Times New Roman" w:hAnsi="Times New Roman" w:eastAsia="宋体" w:cs="Times New Roman"/>
                      <w:szCs w:val="21"/>
                    </w:rPr>
                    <w:t>大气：原料遇明火等点火源引起火灾事故，燃烧产生的CO</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等污染物，产生大气污染；</w:t>
                  </w:r>
                </w:p>
              </w:tc>
            </w:tr>
            <w:tr w14:paraId="29A9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625" w:type="dxa"/>
                  <w:noWrap w:val="0"/>
                  <w:vAlign w:val="center"/>
                </w:tcPr>
                <w:p w14:paraId="394E5071">
                  <w:pPr>
                    <w:spacing w:line="320" w:lineRule="exact"/>
                    <w:jc w:val="center"/>
                    <w:rPr>
                      <w:rFonts w:hint="default" w:ascii="Times New Roman" w:hAnsi="Times New Roman" w:eastAsia="宋体" w:cs="Times New Roman"/>
                      <w:szCs w:val="21"/>
                    </w:rPr>
                  </w:pPr>
                  <w:r>
                    <w:rPr>
                      <w:rFonts w:hint="default" w:ascii="Times New Roman" w:hAnsi="Times New Roman" w:eastAsia="宋体" w:cs="Times New Roman"/>
                      <w:kern w:val="0"/>
                      <w:szCs w:val="21"/>
                    </w:rPr>
                    <w:t>风险防范措施要求</w:t>
                  </w:r>
                </w:p>
              </w:tc>
              <w:tc>
                <w:tcPr>
                  <w:tcW w:w="6834" w:type="dxa"/>
                  <w:noWrap w:val="0"/>
                  <w:vAlign w:val="center"/>
                </w:tcPr>
                <w:p w14:paraId="7AD3CFC3">
                  <w:pPr>
                    <w:pStyle w:val="62"/>
                    <w:numPr>
                      <w:ilvl w:val="0"/>
                      <w:numId w:val="0"/>
                    </w:numPr>
                    <w:spacing w:line="320" w:lineRule="exact"/>
                    <w:jc w:val="both"/>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①贮运工程风险防范措施：原料不得露天堆放，储存于阴凉通风仓间内；远离火种、热源，防止阳光直射，应与易燃或可燃物分开存放；搬运时轻装轻卸，防止原料桶破损或倾倒；划定禁火区，在明显地点设有警示标志，输配电线、灯具、火灾事故照明和疏散指示标志均应符合安全要求，严禁未安装灭火装置的车辆出入生产装置区。</w:t>
                  </w:r>
                </w:p>
                <w:p w14:paraId="4A0CCC7F">
                  <w:pPr>
                    <w:spacing w:line="320" w:lineRule="exact"/>
                    <w:rPr>
                      <w:rFonts w:hint="default" w:ascii="Times New Roman" w:hAnsi="Times New Roman" w:eastAsia="宋体" w:cs="Times New Roman"/>
                      <w:szCs w:val="21"/>
                    </w:rPr>
                  </w:pPr>
                  <w:r>
                    <w:rPr>
                      <w:rFonts w:hint="default" w:ascii="Times New Roman" w:hAnsi="Times New Roman" w:eastAsia="宋体" w:cs="Times New Roman"/>
                      <w:szCs w:val="21"/>
                    </w:rPr>
                    <w:t>②在危废库设置环形收集沟，并进行地面防渗；危废库内液体物质发生泄露沟，引流入环形沟收集。</w:t>
                  </w:r>
                </w:p>
              </w:tc>
            </w:tr>
            <w:tr w14:paraId="26A7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8459" w:type="dxa"/>
                  <w:gridSpan w:val="2"/>
                  <w:noWrap w:val="0"/>
                  <w:vAlign w:val="top"/>
                </w:tcPr>
                <w:p w14:paraId="58998DE3">
                  <w:pPr>
                    <w:autoSpaceDE w:val="0"/>
                    <w:autoSpaceDN w:val="0"/>
                    <w:adjustRightInd w:val="0"/>
                    <w:spacing w:line="320" w:lineRule="exac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填表说明(列出项目相关信息及评价说明)：</w:t>
                  </w:r>
                </w:p>
                <w:p w14:paraId="7AD5E966">
                  <w:pPr>
                    <w:spacing w:line="320" w:lineRule="exact"/>
                    <w:rPr>
                      <w:rFonts w:hint="default" w:ascii="Times New Roman" w:hAnsi="Times New Roman" w:eastAsia="宋体" w:cs="Times New Roman"/>
                      <w:szCs w:val="21"/>
                    </w:rPr>
                  </w:pPr>
                  <w:r>
                    <w:rPr>
                      <w:rFonts w:hint="default" w:ascii="Times New Roman" w:hAnsi="Times New Roman" w:eastAsia="宋体" w:cs="Times New Roman"/>
                      <w:kern w:val="0"/>
                      <w:szCs w:val="21"/>
                    </w:rPr>
                    <w:t>根据计算结果，Q＜1，该项目环境风险潜势为I。根据评价工作等级划分，本项目环境风险评价工作等级为简单分析。通过原料分类堆放、划定防火分区及地面防渗等措施后，可有效防范环境风险事故的发生。</w:t>
                  </w:r>
                </w:p>
              </w:tc>
            </w:tr>
          </w:tbl>
          <w:p w14:paraId="0B3B6526">
            <w:pPr>
              <w:pStyle w:val="5"/>
              <w:spacing w:before="0" w:after="0" w:line="480" w:lineRule="exact"/>
              <w:ind w:firstLine="595" w:firstLineChars="247"/>
              <w:outlineLvl w:val="2"/>
              <w:rPr>
                <w:sz w:val="24"/>
                <w:szCs w:val="24"/>
              </w:rPr>
            </w:pPr>
          </w:p>
          <w:p w14:paraId="27ADB454">
            <w:pPr>
              <w:pStyle w:val="5"/>
              <w:spacing w:before="0" w:after="0" w:line="480" w:lineRule="exact"/>
              <w:ind w:firstLine="592" w:firstLineChars="247"/>
              <w:outlineLvl w:val="2"/>
              <w:rPr>
                <w:rFonts w:hint="eastAsia" w:ascii="黑体" w:hAnsi="黑体" w:eastAsia="黑体" w:cs="黑体"/>
                <w:b w:val="0"/>
                <w:bCs w:val="0"/>
                <w:sz w:val="24"/>
                <w:szCs w:val="24"/>
              </w:rPr>
            </w:pPr>
            <w:r>
              <w:rPr>
                <w:rFonts w:hint="eastAsia" w:ascii="黑体" w:hAnsi="黑体" w:eastAsia="黑体" w:cs="黑体"/>
                <w:b w:val="0"/>
                <w:bCs w:val="0"/>
                <w:sz w:val="24"/>
                <w:szCs w:val="24"/>
              </w:rPr>
              <w:t>8、电磁辐射</w:t>
            </w:r>
          </w:p>
          <w:p w14:paraId="6F739EE0">
            <w:pPr>
              <w:spacing w:line="480" w:lineRule="exact"/>
              <w:ind w:firstLine="470" w:firstLineChars="196"/>
              <w:rPr>
                <w:b/>
                <w:bCs/>
                <w:sz w:val="24"/>
              </w:rPr>
            </w:pPr>
            <w:r>
              <w:rPr>
                <w:sz w:val="24"/>
              </w:rPr>
              <w:t>本项目不属于新建或改建、扩建广播电台、差转台、电视塔台、卫星地球上行站、雷达等电磁辐射类项目，无需开展电磁辐射影响评价。</w:t>
            </w:r>
          </w:p>
          <w:p w14:paraId="1A0FECAF">
            <w:pPr>
              <w:spacing w:line="480" w:lineRule="exact"/>
              <w:ind w:firstLine="470" w:firstLineChars="196"/>
              <w:rPr>
                <w:rFonts w:hint="eastAsia" w:ascii="黑体" w:hAnsi="黑体" w:eastAsia="黑体" w:cs="黑体"/>
                <w:sz w:val="24"/>
              </w:rPr>
            </w:pPr>
            <w:r>
              <w:rPr>
                <w:rFonts w:hint="eastAsia" w:ascii="黑体" w:hAnsi="黑体" w:eastAsia="黑体" w:cs="黑体"/>
                <w:sz w:val="24"/>
              </w:rPr>
              <w:t>9、环保投资</w:t>
            </w:r>
          </w:p>
          <w:p w14:paraId="468BD438">
            <w:pPr>
              <w:spacing w:line="480" w:lineRule="exact"/>
              <w:ind w:firstLine="480" w:firstLineChars="200"/>
              <w:rPr>
                <w:sz w:val="24"/>
              </w:rPr>
            </w:pPr>
            <w:r>
              <w:rPr>
                <w:sz w:val="24"/>
              </w:rPr>
              <w:t>该项目环保投资</w:t>
            </w:r>
            <w:r>
              <w:rPr>
                <w:rFonts w:hint="eastAsia"/>
                <w:sz w:val="24"/>
              </w:rPr>
              <w:t>40</w:t>
            </w:r>
            <w:r>
              <w:rPr>
                <w:sz w:val="24"/>
              </w:rPr>
              <w:t>万元，占项目总投资</w:t>
            </w:r>
            <w:r>
              <w:rPr>
                <w:rFonts w:hint="eastAsia"/>
                <w:sz w:val="24"/>
              </w:rPr>
              <w:t>1500</w:t>
            </w:r>
            <w:r>
              <w:rPr>
                <w:sz w:val="24"/>
              </w:rPr>
              <w:t>万元的</w:t>
            </w:r>
            <w:r>
              <w:rPr>
                <w:rFonts w:hint="eastAsia"/>
                <w:sz w:val="24"/>
              </w:rPr>
              <w:t>2.7</w:t>
            </w:r>
            <w:r>
              <w:rPr>
                <w:sz w:val="24"/>
              </w:rPr>
              <w:t>%，具体见表：</w:t>
            </w:r>
          </w:p>
          <w:p w14:paraId="02502C2C">
            <w:pPr>
              <w:spacing w:line="480" w:lineRule="exact"/>
              <w:ind w:firstLine="480" w:firstLineChars="200"/>
              <w:jc w:val="center"/>
              <w:rPr>
                <w:rFonts w:hint="eastAsia" w:ascii="黑体" w:hAnsi="黑体" w:eastAsia="黑体" w:cs="黑体"/>
                <w:kern w:val="0"/>
                <w:sz w:val="24"/>
              </w:rPr>
            </w:pPr>
            <w:r>
              <w:rPr>
                <w:rFonts w:hint="eastAsia" w:ascii="黑体" w:hAnsi="黑体" w:eastAsia="黑体" w:cs="黑体"/>
                <w:sz w:val="24"/>
              </w:rPr>
              <w:t>表4-21</w:t>
            </w:r>
            <w:r>
              <w:rPr>
                <w:rFonts w:hint="eastAsia" w:ascii="黑体" w:hAnsi="黑体" w:eastAsia="黑体" w:cs="黑体"/>
                <w:kern w:val="0"/>
                <w:sz w:val="24"/>
              </w:rPr>
              <w:t>建设项目环保措施投资一览表单位：万元</w:t>
            </w:r>
          </w:p>
          <w:tbl>
            <w:tblPr>
              <w:tblStyle w:val="38"/>
              <w:tblW w:w="83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63"/>
              <w:gridCol w:w="1275"/>
              <w:gridCol w:w="5570"/>
              <w:gridCol w:w="609"/>
            </w:tblGrid>
            <w:tr w14:paraId="1E8C0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863" w:type="dxa"/>
                  <w:noWrap w:val="0"/>
                  <w:vAlign w:val="center"/>
                </w:tcPr>
                <w:p w14:paraId="05F76EDB">
                  <w:pPr>
                    <w:spacing w:line="320" w:lineRule="exact"/>
                    <w:jc w:val="center"/>
                    <w:rPr>
                      <w:b/>
                      <w:szCs w:val="21"/>
                    </w:rPr>
                  </w:pPr>
                  <w:r>
                    <w:rPr>
                      <w:b/>
                      <w:szCs w:val="21"/>
                    </w:rPr>
                    <w:t>类别</w:t>
                  </w:r>
                </w:p>
              </w:tc>
              <w:tc>
                <w:tcPr>
                  <w:tcW w:w="1275" w:type="dxa"/>
                  <w:noWrap w:val="0"/>
                  <w:vAlign w:val="center"/>
                </w:tcPr>
                <w:p w14:paraId="6345FFFB">
                  <w:pPr>
                    <w:spacing w:line="320" w:lineRule="exact"/>
                    <w:jc w:val="center"/>
                    <w:rPr>
                      <w:b/>
                      <w:szCs w:val="21"/>
                    </w:rPr>
                  </w:pPr>
                  <w:r>
                    <w:rPr>
                      <w:b/>
                      <w:szCs w:val="21"/>
                    </w:rPr>
                    <w:t>治理对象</w:t>
                  </w:r>
                </w:p>
              </w:tc>
              <w:tc>
                <w:tcPr>
                  <w:tcW w:w="5570" w:type="dxa"/>
                  <w:noWrap w:val="0"/>
                  <w:vAlign w:val="center"/>
                </w:tcPr>
                <w:p w14:paraId="4D945F3A">
                  <w:pPr>
                    <w:spacing w:line="320" w:lineRule="exact"/>
                    <w:jc w:val="center"/>
                    <w:rPr>
                      <w:b/>
                      <w:szCs w:val="21"/>
                    </w:rPr>
                  </w:pPr>
                  <w:r>
                    <w:rPr>
                      <w:b/>
                      <w:szCs w:val="21"/>
                    </w:rPr>
                    <w:t>治理方案</w:t>
                  </w:r>
                </w:p>
              </w:tc>
              <w:tc>
                <w:tcPr>
                  <w:tcW w:w="609" w:type="dxa"/>
                  <w:tcBorders>
                    <w:right w:val="single" w:color="auto" w:sz="4" w:space="0"/>
                  </w:tcBorders>
                  <w:noWrap w:val="0"/>
                  <w:vAlign w:val="center"/>
                </w:tcPr>
                <w:p w14:paraId="1EF4CEF7">
                  <w:pPr>
                    <w:spacing w:line="320" w:lineRule="exact"/>
                    <w:ind w:left="-105" w:leftChars="-50" w:right="-105" w:rightChars="-50"/>
                    <w:jc w:val="center"/>
                    <w:rPr>
                      <w:b/>
                      <w:szCs w:val="21"/>
                    </w:rPr>
                  </w:pPr>
                  <w:r>
                    <w:rPr>
                      <w:b/>
                      <w:szCs w:val="21"/>
                    </w:rPr>
                    <w:t>投资</w:t>
                  </w:r>
                </w:p>
              </w:tc>
            </w:tr>
            <w:tr w14:paraId="6CD6B8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863" w:type="dxa"/>
                  <w:vMerge w:val="restart"/>
                  <w:tcBorders>
                    <w:top w:val="single" w:color="auto" w:sz="4" w:space="0"/>
                  </w:tcBorders>
                  <w:noWrap w:val="0"/>
                  <w:vAlign w:val="center"/>
                </w:tcPr>
                <w:p w14:paraId="055E4D9E">
                  <w:pPr>
                    <w:spacing w:line="320" w:lineRule="exact"/>
                    <w:jc w:val="center"/>
                    <w:rPr>
                      <w:b/>
                      <w:szCs w:val="21"/>
                    </w:rPr>
                  </w:pPr>
                  <w:r>
                    <w:rPr>
                      <w:color w:val="000000"/>
                      <w:szCs w:val="21"/>
                    </w:rPr>
                    <w:t>废气防治措施</w:t>
                  </w:r>
                </w:p>
              </w:tc>
              <w:tc>
                <w:tcPr>
                  <w:tcW w:w="1275" w:type="dxa"/>
                  <w:tcBorders>
                    <w:top w:val="single" w:color="auto" w:sz="4" w:space="0"/>
                  </w:tcBorders>
                  <w:noWrap w:val="0"/>
                  <w:vAlign w:val="center"/>
                </w:tcPr>
                <w:p w14:paraId="6A8C3371">
                  <w:pPr>
                    <w:spacing w:line="320" w:lineRule="exact"/>
                    <w:jc w:val="center"/>
                    <w:rPr>
                      <w:szCs w:val="21"/>
                    </w:rPr>
                  </w:pPr>
                  <w:r>
                    <w:rPr>
                      <w:rFonts w:hint="eastAsia"/>
                      <w:szCs w:val="21"/>
                    </w:rPr>
                    <w:t>原料</w:t>
                  </w:r>
                  <w:r>
                    <w:rPr>
                      <w:rFonts w:hint="eastAsia"/>
                      <w:szCs w:val="21"/>
                      <w:lang w:val="en-US" w:eastAsia="zh-CN"/>
                    </w:rPr>
                    <w:t>卸料</w:t>
                  </w:r>
                  <w:r>
                    <w:rPr>
                      <w:rFonts w:hint="eastAsia"/>
                      <w:szCs w:val="21"/>
                    </w:rPr>
                    <w:t>粉尘</w:t>
                  </w:r>
                </w:p>
              </w:tc>
              <w:tc>
                <w:tcPr>
                  <w:tcW w:w="5570" w:type="dxa"/>
                  <w:tcBorders>
                    <w:top w:val="single" w:color="auto" w:sz="4" w:space="0"/>
                    <w:bottom w:val="single" w:color="000000" w:sz="4" w:space="0"/>
                  </w:tcBorders>
                  <w:noWrap w:val="0"/>
                  <w:vAlign w:val="center"/>
                </w:tcPr>
                <w:p w14:paraId="1FEF991D">
                  <w:pPr>
                    <w:spacing w:line="320" w:lineRule="exact"/>
                    <w:jc w:val="center"/>
                    <w:rPr>
                      <w:rFonts w:hint="eastAsia"/>
                      <w:color w:val="000000"/>
                      <w:szCs w:val="21"/>
                    </w:rPr>
                  </w:pPr>
                  <w:r>
                    <w:rPr>
                      <w:bCs/>
                      <w:szCs w:val="21"/>
                    </w:rPr>
                    <w:t>新建封闭原料库</w:t>
                  </w:r>
                  <w:r>
                    <w:rPr>
                      <w:rFonts w:hint="eastAsia"/>
                      <w:bCs/>
                      <w:szCs w:val="21"/>
                    </w:rPr>
                    <w:t>设置</w:t>
                  </w:r>
                  <w:r>
                    <w:rPr>
                      <w:bCs/>
                      <w:szCs w:val="21"/>
                    </w:rPr>
                    <w:t>喷雾装置</w:t>
                  </w:r>
                </w:p>
              </w:tc>
              <w:tc>
                <w:tcPr>
                  <w:tcW w:w="609" w:type="dxa"/>
                  <w:tcBorders>
                    <w:top w:val="single" w:color="auto" w:sz="4" w:space="0"/>
                    <w:right w:val="single" w:color="auto" w:sz="4" w:space="0"/>
                  </w:tcBorders>
                  <w:noWrap w:val="0"/>
                  <w:vAlign w:val="center"/>
                </w:tcPr>
                <w:p w14:paraId="1202C06F">
                  <w:pPr>
                    <w:spacing w:line="320" w:lineRule="exact"/>
                    <w:jc w:val="center"/>
                    <w:rPr>
                      <w:rFonts w:hint="eastAsia"/>
                      <w:szCs w:val="21"/>
                    </w:rPr>
                  </w:pPr>
                  <w:r>
                    <w:rPr>
                      <w:rFonts w:hint="eastAsia"/>
                      <w:szCs w:val="21"/>
                    </w:rPr>
                    <w:t>5</w:t>
                  </w:r>
                </w:p>
              </w:tc>
            </w:tr>
            <w:tr w14:paraId="65E5A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863" w:type="dxa"/>
                  <w:vMerge w:val="continue"/>
                  <w:noWrap w:val="0"/>
                  <w:vAlign w:val="center"/>
                </w:tcPr>
                <w:p w14:paraId="308C75B8">
                  <w:pPr>
                    <w:spacing w:line="320" w:lineRule="exact"/>
                    <w:jc w:val="center"/>
                    <w:rPr>
                      <w:b/>
                      <w:szCs w:val="21"/>
                    </w:rPr>
                  </w:pPr>
                </w:p>
              </w:tc>
              <w:tc>
                <w:tcPr>
                  <w:tcW w:w="1275" w:type="dxa"/>
                  <w:tcBorders>
                    <w:top w:val="single" w:color="auto" w:sz="4" w:space="0"/>
                  </w:tcBorders>
                  <w:noWrap w:val="0"/>
                  <w:vAlign w:val="center"/>
                </w:tcPr>
                <w:p w14:paraId="11C56104">
                  <w:pPr>
                    <w:spacing w:line="320" w:lineRule="exact"/>
                    <w:jc w:val="center"/>
                    <w:rPr>
                      <w:szCs w:val="21"/>
                    </w:rPr>
                  </w:pPr>
                  <w:r>
                    <w:rPr>
                      <w:rFonts w:hint="eastAsia"/>
                      <w:szCs w:val="21"/>
                      <w:lang w:val="en-US" w:eastAsia="zh-CN"/>
                    </w:rPr>
                    <w:t>上料、</w:t>
                  </w:r>
                  <w:r>
                    <w:rPr>
                      <w:rFonts w:hint="eastAsia"/>
                      <w:szCs w:val="21"/>
                    </w:rPr>
                    <w:t>破碎筛分粉尘</w:t>
                  </w:r>
                </w:p>
              </w:tc>
              <w:tc>
                <w:tcPr>
                  <w:tcW w:w="5570" w:type="dxa"/>
                  <w:tcBorders>
                    <w:top w:val="single" w:color="auto" w:sz="4" w:space="0"/>
                    <w:bottom w:val="single" w:color="000000" w:sz="4" w:space="0"/>
                  </w:tcBorders>
                  <w:noWrap w:val="0"/>
                  <w:vAlign w:val="center"/>
                </w:tcPr>
                <w:p w14:paraId="079B4009">
                  <w:pPr>
                    <w:spacing w:line="320" w:lineRule="exact"/>
                    <w:jc w:val="center"/>
                    <w:rPr>
                      <w:color w:val="000000"/>
                      <w:szCs w:val="21"/>
                    </w:rPr>
                  </w:pPr>
                  <w:r>
                    <w:rPr>
                      <w:bCs/>
                      <w:szCs w:val="21"/>
                    </w:rPr>
                    <w:t>集气罩收集+布袋除尘器(TA001)+15m高排气筒(DA001)</w:t>
                  </w:r>
                  <w:r>
                    <w:rPr>
                      <w:rFonts w:hint="eastAsia"/>
                      <w:bCs/>
                      <w:szCs w:val="21"/>
                    </w:rPr>
                    <w:t>排放</w:t>
                  </w:r>
                </w:p>
              </w:tc>
              <w:tc>
                <w:tcPr>
                  <w:tcW w:w="609" w:type="dxa"/>
                  <w:tcBorders>
                    <w:top w:val="single" w:color="auto" w:sz="4" w:space="0"/>
                    <w:right w:val="single" w:color="auto" w:sz="4" w:space="0"/>
                  </w:tcBorders>
                  <w:noWrap w:val="0"/>
                  <w:vAlign w:val="center"/>
                </w:tcPr>
                <w:p w14:paraId="3E81B8BB">
                  <w:pPr>
                    <w:spacing w:line="320" w:lineRule="exact"/>
                    <w:jc w:val="center"/>
                    <w:rPr>
                      <w:rFonts w:hint="eastAsia"/>
                      <w:szCs w:val="21"/>
                    </w:rPr>
                  </w:pPr>
                  <w:r>
                    <w:rPr>
                      <w:rFonts w:hint="eastAsia"/>
                      <w:szCs w:val="21"/>
                    </w:rPr>
                    <w:t>5</w:t>
                  </w:r>
                </w:p>
              </w:tc>
            </w:tr>
            <w:tr w14:paraId="236393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863" w:type="dxa"/>
                  <w:vMerge w:val="continue"/>
                  <w:noWrap w:val="0"/>
                  <w:vAlign w:val="center"/>
                </w:tcPr>
                <w:p w14:paraId="5D5D35AD">
                  <w:pPr>
                    <w:spacing w:line="320" w:lineRule="exact"/>
                    <w:jc w:val="center"/>
                    <w:rPr>
                      <w:color w:val="000000"/>
                      <w:szCs w:val="21"/>
                    </w:rPr>
                  </w:pPr>
                </w:p>
              </w:tc>
              <w:tc>
                <w:tcPr>
                  <w:tcW w:w="1275" w:type="dxa"/>
                  <w:tcBorders>
                    <w:top w:val="single" w:color="auto" w:sz="4" w:space="0"/>
                  </w:tcBorders>
                  <w:noWrap w:val="0"/>
                  <w:vAlign w:val="center"/>
                </w:tcPr>
                <w:p w14:paraId="74067A5E">
                  <w:pPr>
                    <w:spacing w:line="320" w:lineRule="exact"/>
                    <w:jc w:val="center"/>
                    <w:rPr>
                      <w:szCs w:val="21"/>
                    </w:rPr>
                  </w:pPr>
                  <w:r>
                    <w:rPr>
                      <w:rFonts w:hint="eastAsia"/>
                    </w:rPr>
                    <w:t>窑炉焙烧废气</w:t>
                  </w:r>
                </w:p>
              </w:tc>
              <w:tc>
                <w:tcPr>
                  <w:tcW w:w="5570" w:type="dxa"/>
                  <w:tcBorders>
                    <w:top w:val="single" w:color="auto" w:sz="4" w:space="0"/>
                    <w:bottom w:val="single" w:color="000000" w:sz="4" w:space="0"/>
                  </w:tcBorders>
                  <w:noWrap w:val="0"/>
                  <w:vAlign w:val="center"/>
                </w:tcPr>
                <w:p w14:paraId="59399804">
                  <w:pPr>
                    <w:spacing w:line="320" w:lineRule="exact"/>
                    <w:jc w:val="center"/>
                    <w:rPr>
                      <w:color w:val="000000"/>
                      <w:szCs w:val="21"/>
                    </w:rPr>
                  </w:pPr>
                  <w:r>
                    <w:rPr>
                      <w:rFonts w:hint="eastAsia"/>
                      <w:bCs/>
                      <w:szCs w:val="21"/>
                    </w:rPr>
                    <w:t>经</w:t>
                  </w:r>
                  <w:r>
                    <w:rPr>
                      <w:rFonts w:hint="eastAsia"/>
                      <w:bCs/>
                      <w:szCs w:val="21"/>
                      <w:lang w:val="en-US" w:eastAsia="zh-CN"/>
                    </w:rPr>
                    <w:t>负压</w:t>
                  </w:r>
                  <w:r>
                    <w:rPr>
                      <w:bCs/>
                      <w:szCs w:val="21"/>
                    </w:rPr>
                    <w:t>收集+“</w:t>
                  </w:r>
                  <w:r>
                    <w:rPr>
                      <w:rFonts w:hint="eastAsia"/>
                      <w:bCs/>
                      <w:szCs w:val="21"/>
                      <w:lang w:val="en-US" w:eastAsia="zh-CN"/>
                    </w:rPr>
                    <w:t>SNCR+</w:t>
                  </w:r>
                  <w:r>
                    <w:rPr>
                      <w:bCs/>
                      <w:szCs w:val="21"/>
                    </w:rPr>
                    <w:t>石灰石—石膏法+湿电除尘)”(TA002)+</w:t>
                  </w:r>
                  <w:r>
                    <w:rPr>
                      <w:rFonts w:hint="eastAsia"/>
                      <w:bCs/>
                      <w:szCs w:val="21"/>
                    </w:rPr>
                    <w:t>35</w:t>
                  </w:r>
                  <w:r>
                    <w:rPr>
                      <w:bCs/>
                      <w:szCs w:val="21"/>
                    </w:rPr>
                    <w:t>m高排气筒(DA002)</w:t>
                  </w:r>
                  <w:r>
                    <w:rPr>
                      <w:rFonts w:hint="eastAsia"/>
                      <w:bCs/>
                      <w:szCs w:val="21"/>
                    </w:rPr>
                    <w:t>排放</w:t>
                  </w:r>
                </w:p>
              </w:tc>
              <w:tc>
                <w:tcPr>
                  <w:tcW w:w="609" w:type="dxa"/>
                  <w:tcBorders>
                    <w:top w:val="single" w:color="auto" w:sz="4" w:space="0"/>
                    <w:right w:val="single" w:color="auto" w:sz="4" w:space="0"/>
                  </w:tcBorders>
                  <w:noWrap w:val="0"/>
                  <w:vAlign w:val="center"/>
                </w:tcPr>
                <w:p w14:paraId="05DC28CE">
                  <w:pPr>
                    <w:spacing w:line="320" w:lineRule="exact"/>
                    <w:jc w:val="center"/>
                    <w:rPr>
                      <w:szCs w:val="21"/>
                    </w:rPr>
                  </w:pPr>
                  <w:r>
                    <w:rPr>
                      <w:rFonts w:hint="eastAsia"/>
                      <w:szCs w:val="21"/>
                    </w:rPr>
                    <w:t>20</w:t>
                  </w:r>
                </w:p>
              </w:tc>
            </w:tr>
            <w:tr w14:paraId="49FD8B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863" w:type="dxa"/>
                  <w:noWrap w:val="0"/>
                  <w:vAlign w:val="center"/>
                </w:tcPr>
                <w:p w14:paraId="1723C685">
                  <w:pPr>
                    <w:spacing w:line="320" w:lineRule="exact"/>
                    <w:jc w:val="center"/>
                    <w:rPr>
                      <w:szCs w:val="21"/>
                    </w:rPr>
                  </w:pPr>
                  <w:r>
                    <w:rPr>
                      <w:szCs w:val="21"/>
                    </w:rPr>
                    <w:t>废水防治措施</w:t>
                  </w:r>
                </w:p>
              </w:tc>
              <w:tc>
                <w:tcPr>
                  <w:tcW w:w="1275" w:type="dxa"/>
                  <w:noWrap w:val="0"/>
                  <w:vAlign w:val="center"/>
                </w:tcPr>
                <w:p w14:paraId="158D5607">
                  <w:pPr>
                    <w:spacing w:line="320" w:lineRule="exact"/>
                    <w:ind w:left="-108" w:right="-108"/>
                    <w:jc w:val="center"/>
                    <w:rPr>
                      <w:szCs w:val="21"/>
                    </w:rPr>
                  </w:pPr>
                  <w:r>
                    <w:rPr>
                      <w:szCs w:val="21"/>
                    </w:rPr>
                    <w:t>废水</w:t>
                  </w:r>
                </w:p>
              </w:tc>
              <w:tc>
                <w:tcPr>
                  <w:tcW w:w="5570" w:type="dxa"/>
                  <w:tcBorders>
                    <w:top w:val="single" w:color="000000" w:sz="4" w:space="0"/>
                  </w:tcBorders>
                  <w:noWrap w:val="0"/>
                  <w:vAlign w:val="center"/>
                </w:tcPr>
                <w:p w14:paraId="35D369FF">
                  <w:pPr>
                    <w:spacing w:line="320" w:lineRule="exact"/>
                    <w:jc w:val="center"/>
                    <w:rPr>
                      <w:szCs w:val="21"/>
                    </w:rPr>
                  </w:pPr>
                  <w:r>
                    <w:rPr>
                      <w:rFonts w:hint="eastAsia"/>
                      <w:szCs w:val="21"/>
                    </w:rPr>
                    <w:t>依托现有</w:t>
                  </w:r>
                  <w:r>
                    <w:rPr>
                      <w:szCs w:val="21"/>
                    </w:rPr>
                    <w:t>雨污分流，</w:t>
                  </w:r>
                  <w:r>
                    <w:rPr>
                      <w:bCs/>
                      <w:szCs w:val="21"/>
                    </w:rPr>
                    <w:t>新增车辆清洗废水，</w:t>
                  </w:r>
                  <w:r>
                    <w:rPr>
                      <w:rFonts w:hint="eastAsia"/>
                      <w:bCs/>
                      <w:szCs w:val="21"/>
                    </w:rPr>
                    <w:t>经过</w:t>
                  </w:r>
                  <w:r>
                    <w:rPr>
                      <w:bCs/>
                      <w:szCs w:val="21"/>
                    </w:rPr>
                    <w:t>沉淀池</w:t>
                  </w:r>
                  <w:r>
                    <w:rPr>
                      <w:rFonts w:hint="eastAsia"/>
                      <w:bCs/>
                      <w:szCs w:val="21"/>
                      <w:lang w:eastAsia="zh-CN"/>
                    </w:rPr>
                    <w:t>（</w:t>
                  </w:r>
                  <w:r>
                    <w:rPr>
                      <w:rFonts w:hint="eastAsia"/>
                      <w:bCs/>
                      <w:szCs w:val="21"/>
                      <w:lang w:val="en-US" w:eastAsia="zh-CN"/>
                    </w:rPr>
                    <w:t>8×3×2m</w:t>
                  </w:r>
                  <w:r>
                    <w:rPr>
                      <w:rFonts w:hint="eastAsia"/>
                      <w:bCs/>
                      <w:szCs w:val="21"/>
                      <w:lang w:eastAsia="zh-CN"/>
                    </w:rPr>
                    <w:t>）</w:t>
                  </w:r>
                  <w:r>
                    <w:rPr>
                      <w:bCs/>
                      <w:szCs w:val="21"/>
                    </w:rPr>
                    <w:t>沉淀后，回用于车辆清洗</w:t>
                  </w:r>
                </w:p>
              </w:tc>
              <w:tc>
                <w:tcPr>
                  <w:tcW w:w="609" w:type="dxa"/>
                  <w:tcBorders>
                    <w:right w:val="single" w:color="auto" w:sz="4" w:space="0"/>
                  </w:tcBorders>
                  <w:noWrap w:val="0"/>
                  <w:vAlign w:val="center"/>
                </w:tcPr>
                <w:p w14:paraId="16BF8D39">
                  <w:pPr>
                    <w:spacing w:line="320" w:lineRule="exact"/>
                    <w:jc w:val="center"/>
                    <w:rPr>
                      <w:rFonts w:hint="eastAsia"/>
                      <w:szCs w:val="21"/>
                    </w:rPr>
                  </w:pPr>
                  <w:r>
                    <w:rPr>
                      <w:rFonts w:hint="eastAsia"/>
                      <w:szCs w:val="21"/>
                    </w:rPr>
                    <w:t>2</w:t>
                  </w:r>
                </w:p>
              </w:tc>
            </w:tr>
            <w:tr w14:paraId="1C58E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863" w:type="dxa"/>
                  <w:noWrap w:val="0"/>
                  <w:vAlign w:val="center"/>
                </w:tcPr>
                <w:p w14:paraId="150E109F">
                  <w:pPr>
                    <w:spacing w:line="320" w:lineRule="exact"/>
                    <w:jc w:val="center"/>
                    <w:rPr>
                      <w:szCs w:val="21"/>
                    </w:rPr>
                  </w:pPr>
                  <w:r>
                    <w:rPr>
                      <w:szCs w:val="21"/>
                    </w:rPr>
                    <w:t>噪声防治措施</w:t>
                  </w:r>
                </w:p>
              </w:tc>
              <w:tc>
                <w:tcPr>
                  <w:tcW w:w="1275" w:type="dxa"/>
                  <w:noWrap w:val="0"/>
                  <w:vAlign w:val="center"/>
                </w:tcPr>
                <w:p w14:paraId="3D8921C9">
                  <w:pPr>
                    <w:spacing w:line="320" w:lineRule="exact"/>
                    <w:jc w:val="center"/>
                    <w:rPr>
                      <w:szCs w:val="21"/>
                    </w:rPr>
                  </w:pPr>
                  <w:r>
                    <w:rPr>
                      <w:szCs w:val="21"/>
                    </w:rPr>
                    <w:t>产噪设备</w:t>
                  </w:r>
                </w:p>
              </w:tc>
              <w:tc>
                <w:tcPr>
                  <w:tcW w:w="5570" w:type="dxa"/>
                  <w:noWrap w:val="0"/>
                  <w:vAlign w:val="center"/>
                </w:tcPr>
                <w:p w14:paraId="4EA35CBB">
                  <w:pPr>
                    <w:spacing w:line="320" w:lineRule="exact"/>
                    <w:jc w:val="center"/>
                    <w:rPr>
                      <w:szCs w:val="21"/>
                    </w:rPr>
                  </w:pPr>
                  <w:r>
                    <w:rPr>
                      <w:szCs w:val="21"/>
                    </w:rPr>
                    <w:t>设备基础安装减振垫，厂房隔声，风机消声等</w:t>
                  </w:r>
                </w:p>
              </w:tc>
              <w:tc>
                <w:tcPr>
                  <w:tcW w:w="609" w:type="dxa"/>
                  <w:tcBorders>
                    <w:right w:val="single" w:color="auto" w:sz="4" w:space="0"/>
                  </w:tcBorders>
                  <w:noWrap w:val="0"/>
                  <w:vAlign w:val="center"/>
                </w:tcPr>
                <w:p w14:paraId="18880237">
                  <w:pPr>
                    <w:spacing w:line="320" w:lineRule="exact"/>
                    <w:jc w:val="center"/>
                    <w:rPr>
                      <w:rFonts w:hint="eastAsia"/>
                      <w:szCs w:val="21"/>
                    </w:rPr>
                  </w:pPr>
                  <w:r>
                    <w:rPr>
                      <w:rFonts w:hint="eastAsia"/>
                      <w:szCs w:val="21"/>
                    </w:rPr>
                    <w:t>8</w:t>
                  </w:r>
                </w:p>
              </w:tc>
            </w:tr>
            <w:tr w14:paraId="45DBB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2" w:hRule="atLeast"/>
                <w:jc w:val="center"/>
              </w:trPr>
              <w:tc>
                <w:tcPr>
                  <w:tcW w:w="863" w:type="dxa"/>
                  <w:vMerge w:val="restart"/>
                  <w:noWrap w:val="0"/>
                  <w:vAlign w:val="center"/>
                </w:tcPr>
                <w:p w14:paraId="73A24AF3">
                  <w:pPr>
                    <w:spacing w:line="320" w:lineRule="exact"/>
                    <w:jc w:val="center"/>
                    <w:rPr>
                      <w:szCs w:val="21"/>
                    </w:rPr>
                  </w:pPr>
                  <w:r>
                    <w:rPr>
                      <w:szCs w:val="21"/>
                    </w:rPr>
                    <w:t>固废防治措施</w:t>
                  </w:r>
                </w:p>
              </w:tc>
              <w:tc>
                <w:tcPr>
                  <w:tcW w:w="1275" w:type="dxa"/>
                  <w:noWrap w:val="0"/>
                  <w:vAlign w:val="center"/>
                </w:tcPr>
                <w:p w14:paraId="72FFDC48">
                  <w:pPr>
                    <w:spacing w:line="320" w:lineRule="exact"/>
                    <w:jc w:val="center"/>
                    <w:rPr>
                      <w:rFonts w:hint="eastAsia"/>
                      <w:szCs w:val="21"/>
                    </w:rPr>
                  </w:pPr>
                  <w:r>
                    <w:rPr>
                      <w:rFonts w:hint="eastAsia"/>
                      <w:szCs w:val="21"/>
                    </w:rPr>
                    <w:t>一般固废</w:t>
                  </w:r>
                </w:p>
              </w:tc>
              <w:tc>
                <w:tcPr>
                  <w:tcW w:w="5570" w:type="dxa"/>
                  <w:noWrap w:val="0"/>
                  <w:vAlign w:val="center"/>
                </w:tcPr>
                <w:p w14:paraId="276A34E3">
                  <w:pPr>
                    <w:spacing w:line="320" w:lineRule="exact"/>
                    <w:jc w:val="center"/>
                    <w:rPr>
                      <w:szCs w:val="21"/>
                    </w:rPr>
                  </w:pPr>
                  <w:r>
                    <w:rPr>
                      <w:rFonts w:hint="eastAsia"/>
                      <w:szCs w:val="21"/>
                    </w:rPr>
                    <w:t>依托现有</w:t>
                  </w:r>
                  <w:r>
                    <w:rPr>
                      <w:bCs/>
                      <w:szCs w:val="21"/>
                    </w:rPr>
                    <w:t>20m</w:t>
                  </w:r>
                  <w:r>
                    <w:rPr>
                      <w:bCs/>
                      <w:szCs w:val="21"/>
                      <w:vertAlign w:val="superscript"/>
                    </w:rPr>
                    <w:t>2</w:t>
                  </w:r>
                  <w:r>
                    <w:rPr>
                      <w:szCs w:val="21"/>
                    </w:rPr>
                    <w:t>一般固废</w:t>
                  </w:r>
                  <w:r>
                    <w:rPr>
                      <w:rFonts w:hint="eastAsia"/>
                      <w:szCs w:val="21"/>
                    </w:rPr>
                    <w:t>暂存间</w:t>
                  </w:r>
                  <w:r>
                    <w:rPr>
                      <w:szCs w:val="21"/>
                    </w:rPr>
                    <w:t>，集中收集后外售综合利用</w:t>
                  </w:r>
                </w:p>
              </w:tc>
              <w:tc>
                <w:tcPr>
                  <w:tcW w:w="609" w:type="dxa"/>
                  <w:tcBorders>
                    <w:right w:val="single" w:color="auto" w:sz="4" w:space="0"/>
                  </w:tcBorders>
                  <w:noWrap w:val="0"/>
                  <w:vAlign w:val="center"/>
                </w:tcPr>
                <w:p w14:paraId="7CBBDF31">
                  <w:pPr>
                    <w:spacing w:line="320" w:lineRule="exact"/>
                    <w:jc w:val="center"/>
                    <w:rPr>
                      <w:rFonts w:hint="eastAsia"/>
                      <w:szCs w:val="21"/>
                    </w:rPr>
                  </w:pPr>
                  <w:r>
                    <w:rPr>
                      <w:rFonts w:hint="eastAsia"/>
                      <w:szCs w:val="21"/>
                    </w:rPr>
                    <w:t>/</w:t>
                  </w:r>
                </w:p>
              </w:tc>
            </w:tr>
            <w:tr w14:paraId="2258D3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2" w:hRule="atLeast"/>
                <w:jc w:val="center"/>
              </w:trPr>
              <w:tc>
                <w:tcPr>
                  <w:tcW w:w="863" w:type="dxa"/>
                  <w:vMerge w:val="continue"/>
                  <w:noWrap w:val="0"/>
                  <w:vAlign w:val="center"/>
                </w:tcPr>
                <w:p w14:paraId="3571B41F">
                  <w:pPr>
                    <w:spacing w:line="320" w:lineRule="exact"/>
                    <w:jc w:val="center"/>
                    <w:rPr>
                      <w:szCs w:val="21"/>
                    </w:rPr>
                  </w:pPr>
                </w:p>
              </w:tc>
              <w:tc>
                <w:tcPr>
                  <w:tcW w:w="1275" w:type="dxa"/>
                  <w:noWrap w:val="0"/>
                  <w:vAlign w:val="center"/>
                </w:tcPr>
                <w:p w14:paraId="7318E8B1">
                  <w:pPr>
                    <w:adjustRightInd w:val="0"/>
                    <w:spacing w:line="320" w:lineRule="exact"/>
                    <w:ind w:left="-63" w:leftChars="-30" w:right="-63" w:rightChars="-30"/>
                    <w:jc w:val="center"/>
                    <w:rPr>
                      <w:szCs w:val="21"/>
                    </w:rPr>
                  </w:pPr>
                  <w:r>
                    <w:rPr>
                      <w:rFonts w:hint="eastAsia"/>
                      <w:kern w:val="0"/>
                      <w:szCs w:val="21"/>
                    </w:rPr>
                    <w:t>危险废物</w:t>
                  </w:r>
                </w:p>
              </w:tc>
              <w:tc>
                <w:tcPr>
                  <w:tcW w:w="5570" w:type="dxa"/>
                  <w:noWrap w:val="0"/>
                  <w:vAlign w:val="center"/>
                </w:tcPr>
                <w:p w14:paraId="1FD434EE">
                  <w:pPr>
                    <w:adjustRightInd w:val="0"/>
                    <w:spacing w:line="320" w:lineRule="exact"/>
                    <w:jc w:val="center"/>
                    <w:rPr>
                      <w:szCs w:val="21"/>
                    </w:rPr>
                  </w:pPr>
                  <w:r>
                    <w:rPr>
                      <w:rFonts w:hint="eastAsia"/>
                      <w:szCs w:val="21"/>
                    </w:rPr>
                    <w:t>依托现有</w:t>
                  </w:r>
                  <w:r>
                    <w:rPr>
                      <w:rFonts w:hint="eastAsia"/>
                      <w:bCs/>
                      <w:szCs w:val="21"/>
                    </w:rPr>
                    <w:t>1</w:t>
                  </w:r>
                  <w:r>
                    <w:rPr>
                      <w:bCs/>
                      <w:szCs w:val="21"/>
                    </w:rPr>
                    <w:t>0m</w:t>
                  </w:r>
                  <w:r>
                    <w:rPr>
                      <w:bCs/>
                      <w:szCs w:val="21"/>
                      <w:vertAlign w:val="superscript"/>
                    </w:rPr>
                    <w:t>2</w:t>
                  </w:r>
                  <w:r>
                    <w:rPr>
                      <w:szCs w:val="21"/>
                    </w:rPr>
                    <w:t>危废暂存库。</w:t>
                  </w:r>
                  <w:r>
                    <w:rPr>
                      <w:kern w:val="0"/>
                      <w:szCs w:val="21"/>
                    </w:rPr>
                    <w:t>危险废物暂存场所采取防风、防雨、防腐、防渗等措施，</w:t>
                  </w:r>
                  <w:r>
                    <w:rPr>
                      <w:szCs w:val="21"/>
                    </w:rPr>
                    <w:t>危废送有资质的危险固废处置中心处置，并签订危废处置协议。</w:t>
                  </w:r>
                </w:p>
              </w:tc>
              <w:tc>
                <w:tcPr>
                  <w:tcW w:w="609" w:type="dxa"/>
                  <w:tcBorders>
                    <w:right w:val="single" w:color="auto" w:sz="4" w:space="0"/>
                  </w:tcBorders>
                  <w:noWrap w:val="0"/>
                  <w:vAlign w:val="center"/>
                </w:tcPr>
                <w:p w14:paraId="16A9AEA0">
                  <w:pPr>
                    <w:spacing w:line="320" w:lineRule="exact"/>
                    <w:jc w:val="center"/>
                    <w:rPr>
                      <w:rFonts w:hint="eastAsia"/>
                      <w:szCs w:val="21"/>
                    </w:rPr>
                  </w:pPr>
                  <w:r>
                    <w:rPr>
                      <w:rFonts w:hint="eastAsia"/>
                      <w:szCs w:val="21"/>
                    </w:rPr>
                    <w:t>/</w:t>
                  </w:r>
                </w:p>
              </w:tc>
            </w:tr>
            <w:tr w14:paraId="13A44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63" w:type="dxa"/>
                  <w:vMerge w:val="continue"/>
                  <w:noWrap w:val="0"/>
                  <w:vAlign w:val="center"/>
                </w:tcPr>
                <w:p w14:paraId="7E090C2D">
                  <w:pPr>
                    <w:spacing w:line="320" w:lineRule="exact"/>
                    <w:jc w:val="center"/>
                    <w:rPr>
                      <w:szCs w:val="21"/>
                    </w:rPr>
                  </w:pPr>
                </w:p>
              </w:tc>
              <w:tc>
                <w:tcPr>
                  <w:tcW w:w="1275" w:type="dxa"/>
                  <w:noWrap w:val="0"/>
                  <w:vAlign w:val="center"/>
                </w:tcPr>
                <w:p w14:paraId="54C35F32">
                  <w:pPr>
                    <w:spacing w:line="320" w:lineRule="exact"/>
                    <w:jc w:val="center"/>
                    <w:rPr>
                      <w:szCs w:val="21"/>
                    </w:rPr>
                  </w:pPr>
                  <w:r>
                    <w:rPr>
                      <w:szCs w:val="21"/>
                    </w:rPr>
                    <w:t>生活垃圾</w:t>
                  </w:r>
                </w:p>
              </w:tc>
              <w:tc>
                <w:tcPr>
                  <w:tcW w:w="5570" w:type="dxa"/>
                  <w:noWrap w:val="0"/>
                  <w:vAlign w:val="center"/>
                </w:tcPr>
                <w:p w14:paraId="51F81976">
                  <w:pPr>
                    <w:spacing w:line="320" w:lineRule="exact"/>
                    <w:jc w:val="center"/>
                    <w:rPr>
                      <w:szCs w:val="21"/>
                    </w:rPr>
                  </w:pPr>
                  <w:r>
                    <w:rPr>
                      <w:szCs w:val="21"/>
                    </w:rPr>
                    <w:t>垃圾收集桶，收集后委托环卫部门清运处理。</w:t>
                  </w:r>
                </w:p>
              </w:tc>
              <w:tc>
                <w:tcPr>
                  <w:tcW w:w="609" w:type="dxa"/>
                  <w:tcBorders>
                    <w:right w:val="single" w:color="auto" w:sz="4" w:space="0"/>
                  </w:tcBorders>
                  <w:noWrap w:val="0"/>
                  <w:vAlign w:val="center"/>
                </w:tcPr>
                <w:p w14:paraId="371CBAFB">
                  <w:pPr>
                    <w:spacing w:line="320" w:lineRule="exact"/>
                    <w:jc w:val="center"/>
                    <w:rPr>
                      <w:rFonts w:hint="eastAsia"/>
                      <w:szCs w:val="21"/>
                    </w:rPr>
                  </w:pPr>
                  <w:r>
                    <w:rPr>
                      <w:rFonts w:hint="eastAsia"/>
                      <w:szCs w:val="21"/>
                    </w:rPr>
                    <w:t>/</w:t>
                  </w:r>
                </w:p>
              </w:tc>
            </w:tr>
            <w:tr w14:paraId="36FE1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7708" w:type="dxa"/>
                  <w:gridSpan w:val="3"/>
                  <w:tcBorders>
                    <w:left w:val="single" w:color="auto" w:sz="4" w:space="0"/>
                  </w:tcBorders>
                  <w:noWrap w:val="0"/>
                  <w:vAlign w:val="center"/>
                </w:tcPr>
                <w:p w14:paraId="1676E708">
                  <w:pPr>
                    <w:spacing w:line="320" w:lineRule="exact"/>
                    <w:jc w:val="center"/>
                    <w:rPr>
                      <w:szCs w:val="21"/>
                    </w:rPr>
                  </w:pPr>
                  <w:r>
                    <w:rPr>
                      <w:szCs w:val="21"/>
                    </w:rPr>
                    <w:t>总计</w:t>
                  </w:r>
                </w:p>
              </w:tc>
              <w:tc>
                <w:tcPr>
                  <w:tcW w:w="609" w:type="dxa"/>
                  <w:tcBorders>
                    <w:right w:val="single" w:color="auto" w:sz="4" w:space="0"/>
                  </w:tcBorders>
                  <w:noWrap w:val="0"/>
                  <w:vAlign w:val="center"/>
                </w:tcPr>
                <w:p w14:paraId="61FBABF6">
                  <w:pPr>
                    <w:spacing w:line="320" w:lineRule="exact"/>
                    <w:jc w:val="center"/>
                    <w:rPr>
                      <w:szCs w:val="21"/>
                    </w:rPr>
                  </w:pPr>
                  <w:r>
                    <w:rPr>
                      <w:szCs w:val="21"/>
                    </w:rPr>
                    <w:t>40</w:t>
                  </w:r>
                </w:p>
              </w:tc>
            </w:tr>
          </w:tbl>
          <w:p w14:paraId="58FA1183">
            <w:pPr>
              <w:spacing w:line="480" w:lineRule="exact"/>
              <w:ind w:firstLine="472" w:firstLineChars="196"/>
              <w:rPr>
                <w:b/>
                <w:bCs/>
                <w:sz w:val="24"/>
              </w:rPr>
            </w:pPr>
          </w:p>
          <w:p w14:paraId="6788C88A">
            <w:pPr>
              <w:spacing w:line="480" w:lineRule="exact"/>
              <w:ind w:firstLine="470" w:firstLineChars="196"/>
              <w:rPr>
                <w:rFonts w:hint="eastAsia" w:ascii="黑体" w:hAnsi="黑体" w:eastAsia="黑体" w:cs="黑体"/>
                <w:sz w:val="24"/>
              </w:rPr>
            </w:pPr>
            <w:r>
              <w:rPr>
                <w:rFonts w:hint="eastAsia" w:ascii="黑体" w:hAnsi="黑体" w:eastAsia="黑体" w:cs="黑体"/>
                <w:sz w:val="24"/>
              </w:rPr>
              <w:t>10、项目环评与排污许可联动内容</w:t>
            </w:r>
          </w:p>
          <w:p w14:paraId="046182DC">
            <w:pPr>
              <w:spacing w:line="480" w:lineRule="exact"/>
              <w:ind w:firstLine="470" w:firstLineChars="196"/>
              <w:rPr>
                <w:bCs/>
                <w:sz w:val="24"/>
              </w:rPr>
            </w:pPr>
            <w:r>
              <w:rPr>
                <w:bCs/>
                <w:sz w:val="24"/>
              </w:rPr>
              <w:t>根据安徽省生态环境厅于2021年1月30日发布的《安徽省生态环境厅关于统筹做好固定污染源排污许可日常监管工作的通知》(皖环发[2021]7号)，属于现行《固定污染源排污许可分类管理名录》内重点管理和简化管理的行业，在环评文件中应明确“建设项目环境影响评价与排污许可联动内容”和《建设项目排污许可申请与填发信息表》。</w:t>
            </w:r>
          </w:p>
          <w:p w14:paraId="63CB91C0">
            <w:pPr>
              <w:tabs>
                <w:tab w:val="left" w:pos="1890"/>
              </w:tabs>
              <w:spacing w:line="480" w:lineRule="exact"/>
              <w:ind w:firstLine="480" w:firstLineChars="200"/>
              <w:rPr>
                <w:sz w:val="24"/>
              </w:rPr>
            </w:pPr>
            <w:r>
              <w:rPr>
                <w:sz w:val="24"/>
              </w:rPr>
              <w:t>根据《国民经济行业分类》(GB4754-2017)，本项目行业类别为：</w:t>
            </w:r>
            <w:r>
              <w:rPr>
                <w:rFonts w:hint="eastAsia"/>
                <w:sz w:val="24"/>
              </w:rPr>
              <w:t>C3031粘土砖瓦及建筑砌块制造</w:t>
            </w:r>
            <w:r>
              <w:rPr>
                <w:sz w:val="24"/>
              </w:rPr>
              <w:t>；属于排污许可中“</w:t>
            </w:r>
            <w:r>
              <w:rPr>
                <w:rFonts w:hint="eastAsia"/>
                <w:sz w:val="24"/>
              </w:rPr>
              <w:t>重点</w:t>
            </w:r>
            <w:r>
              <w:rPr>
                <w:sz w:val="24"/>
              </w:rPr>
              <w:t>管理”。相关内容如下：</w:t>
            </w:r>
          </w:p>
          <w:p w14:paraId="03089E19">
            <w:pPr>
              <w:adjustRightInd w:val="0"/>
              <w:spacing w:line="480" w:lineRule="exact"/>
              <w:jc w:val="center"/>
              <w:rPr>
                <w:rFonts w:hint="eastAsia" w:ascii="黑体" w:hAnsi="黑体" w:eastAsia="黑体" w:cs="黑体"/>
                <w:bCs/>
                <w:sz w:val="24"/>
              </w:rPr>
            </w:pPr>
            <w:r>
              <w:rPr>
                <w:rFonts w:hint="eastAsia" w:ascii="黑体" w:hAnsi="黑体" w:eastAsia="黑体" w:cs="黑体"/>
                <w:bCs/>
                <w:sz w:val="24"/>
              </w:rPr>
              <w:t>表4-22固定污染源排污许可证分类管理名录(2019版)对照表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051"/>
              <w:gridCol w:w="2469"/>
              <w:gridCol w:w="2810"/>
              <w:gridCol w:w="1594"/>
            </w:tblGrid>
            <w:tr w14:paraId="4DB3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dxa"/>
                  <w:noWrap w:val="0"/>
                  <w:vAlign w:val="center"/>
                </w:tcPr>
                <w:p w14:paraId="2AABCFD5">
                  <w:pPr>
                    <w:spacing w:line="276" w:lineRule="auto"/>
                    <w:jc w:val="center"/>
                    <w:rPr>
                      <w:bCs/>
                      <w:szCs w:val="21"/>
                    </w:rPr>
                  </w:pPr>
                  <w:r>
                    <w:rPr>
                      <w:bCs/>
                      <w:szCs w:val="21"/>
                    </w:rPr>
                    <w:t>序号</w:t>
                  </w:r>
                </w:p>
              </w:tc>
              <w:tc>
                <w:tcPr>
                  <w:tcW w:w="1051" w:type="dxa"/>
                  <w:noWrap w:val="0"/>
                  <w:vAlign w:val="center"/>
                </w:tcPr>
                <w:p w14:paraId="0B05CAAA">
                  <w:pPr>
                    <w:spacing w:line="276" w:lineRule="auto"/>
                    <w:jc w:val="center"/>
                    <w:rPr>
                      <w:bCs/>
                      <w:szCs w:val="21"/>
                    </w:rPr>
                  </w:pPr>
                  <w:r>
                    <w:rPr>
                      <w:bCs/>
                      <w:szCs w:val="21"/>
                    </w:rPr>
                    <w:t>行业类别</w:t>
                  </w:r>
                </w:p>
              </w:tc>
              <w:tc>
                <w:tcPr>
                  <w:tcW w:w="2469" w:type="dxa"/>
                  <w:noWrap w:val="0"/>
                  <w:vAlign w:val="center"/>
                </w:tcPr>
                <w:p w14:paraId="527DFD86">
                  <w:pPr>
                    <w:spacing w:line="276" w:lineRule="auto"/>
                    <w:jc w:val="center"/>
                    <w:rPr>
                      <w:bCs/>
                      <w:szCs w:val="21"/>
                    </w:rPr>
                  </w:pPr>
                  <w:r>
                    <w:rPr>
                      <w:bCs/>
                      <w:szCs w:val="21"/>
                    </w:rPr>
                    <w:t>重点管理</w:t>
                  </w:r>
                </w:p>
              </w:tc>
              <w:tc>
                <w:tcPr>
                  <w:tcW w:w="2810" w:type="dxa"/>
                  <w:noWrap w:val="0"/>
                  <w:vAlign w:val="center"/>
                </w:tcPr>
                <w:p w14:paraId="00709543">
                  <w:pPr>
                    <w:spacing w:line="276" w:lineRule="auto"/>
                    <w:jc w:val="center"/>
                    <w:rPr>
                      <w:bCs/>
                      <w:szCs w:val="21"/>
                    </w:rPr>
                  </w:pPr>
                  <w:r>
                    <w:rPr>
                      <w:bCs/>
                      <w:szCs w:val="21"/>
                    </w:rPr>
                    <w:t>简化管理</w:t>
                  </w:r>
                </w:p>
              </w:tc>
              <w:tc>
                <w:tcPr>
                  <w:tcW w:w="1594" w:type="dxa"/>
                  <w:noWrap w:val="0"/>
                  <w:vAlign w:val="center"/>
                </w:tcPr>
                <w:p w14:paraId="5A35A40A">
                  <w:pPr>
                    <w:spacing w:line="276" w:lineRule="auto"/>
                    <w:jc w:val="center"/>
                    <w:rPr>
                      <w:bCs/>
                      <w:szCs w:val="21"/>
                    </w:rPr>
                  </w:pPr>
                  <w:r>
                    <w:rPr>
                      <w:bCs/>
                      <w:szCs w:val="21"/>
                    </w:rPr>
                    <w:t>登记管理</w:t>
                  </w:r>
                </w:p>
              </w:tc>
            </w:tr>
            <w:tr w14:paraId="1280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7" w:type="dxa"/>
                  <w:gridSpan w:val="5"/>
                  <w:noWrap w:val="0"/>
                  <w:vAlign w:val="center"/>
                </w:tcPr>
                <w:p w14:paraId="4A108FA3">
                  <w:pPr>
                    <w:spacing w:line="276" w:lineRule="auto"/>
                    <w:rPr>
                      <w:bCs/>
                      <w:szCs w:val="21"/>
                    </w:rPr>
                  </w:pPr>
                  <w:r>
                    <w:rPr>
                      <w:bCs/>
                      <w:szCs w:val="21"/>
                    </w:rPr>
                    <w:t>二十五、非金属矿物制品业30</w:t>
                  </w:r>
                </w:p>
              </w:tc>
            </w:tr>
            <w:tr w14:paraId="3BDF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dxa"/>
                  <w:shd w:val="clear" w:color="auto" w:fill="auto"/>
                  <w:noWrap w:val="0"/>
                  <w:vAlign w:val="center"/>
                </w:tcPr>
                <w:p w14:paraId="4747701E">
                  <w:pPr>
                    <w:spacing w:line="276" w:lineRule="auto"/>
                    <w:jc w:val="center"/>
                    <w:rPr>
                      <w:bCs/>
                      <w:szCs w:val="21"/>
                    </w:rPr>
                  </w:pPr>
                  <w:r>
                    <w:rPr>
                      <w:bCs/>
                      <w:szCs w:val="21"/>
                    </w:rPr>
                    <w:t>64</w:t>
                  </w:r>
                </w:p>
              </w:tc>
              <w:tc>
                <w:tcPr>
                  <w:tcW w:w="1051" w:type="dxa"/>
                  <w:shd w:val="clear" w:color="auto" w:fill="auto"/>
                  <w:noWrap w:val="0"/>
                  <w:vAlign w:val="center"/>
                </w:tcPr>
                <w:p w14:paraId="2D508827">
                  <w:pPr>
                    <w:spacing w:line="276" w:lineRule="auto"/>
                    <w:jc w:val="center"/>
                    <w:rPr>
                      <w:bCs/>
                      <w:szCs w:val="21"/>
                    </w:rPr>
                  </w:pPr>
                  <w:r>
                    <w:rPr>
                      <w:bCs/>
                      <w:szCs w:val="21"/>
                    </w:rPr>
                    <w:t>砖瓦、石材等建筑材料制造</w:t>
                  </w:r>
                </w:p>
              </w:tc>
              <w:tc>
                <w:tcPr>
                  <w:tcW w:w="2469" w:type="dxa"/>
                  <w:shd w:val="clear" w:color="auto" w:fill="BEBEBE"/>
                  <w:noWrap w:val="0"/>
                  <w:vAlign w:val="center"/>
                </w:tcPr>
                <w:p w14:paraId="7A47FEE4">
                  <w:pPr>
                    <w:spacing w:line="276" w:lineRule="auto"/>
                    <w:jc w:val="center"/>
                    <w:rPr>
                      <w:bCs/>
                      <w:szCs w:val="21"/>
                    </w:rPr>
                  </w:pPr>
                  <w:r>
                    <w:rPr>
                      <w:bCs/>
                      <w:szCs w:val="21"/>
                    </w:rPr>
                    <w:t>粘土砖瓦及建筑砌块制造3031(以煤或者煤矸石为燃料的烧结砖瓦)</w:t>
                  </w:r>
                </w:p>
              </w:tc>
              <w:tc>
                <w:tcPr>
                  <w:tcW w:w="2810" w:type="dxa"/>
                  <w:noWrap w:val="0"/>
                  <w:vAlign w:val="center"/>
                </w:tcPr>
                <w:p w14:paraId="22DAB957">
                  <w:pPr>
                    <w:pStyle w:val="144"/>
                    <w:spacing w:line="276" w:lineRule="auto"/>
                    <w:rPr>
                      <w:rFonts w:ascii="Times New Roman" w:hAnsi="Times New Roman"/>
                      <w:bCs/>
                      <w:kern w:val="2"/>
                      <w:sz w:val="21"/>
                      <w:szCs w:val="21"/>
                      <w:lang w:eastAsia="zh-CN"/>
                    </w:rPr>
                  </w:pPr>
                  <w:r>
                    <w:rPr>
                      <w:rFonts w:ascii="Times New Roman" w:hAnsi="宋体"/>
                      <w:bCs/>
                      <w:kern w:val="2"/>
                      <w:sz w:val="21"/>
                      <w:szCs w:val="21"/>
                      <w:lang w:eastAsia="zh-CN"/>
                    </w:rPr>
                    <w:t>粘土砖瓦及建筑砌块制造</w:t>
                  </w:r>
                  <w:r>
                    <w:rPr>
                      <w:rFonts w:ascii="Times New Roman" w:hAnsi="Times New Roman"/>
                      <w:bCs/>
                      <w:kern w:val="2"/>
                      <w:sz w:val="21"/>
                      <w:szCs w:val="21"/>
                      <w:lang w:eastAsia="zh-CN"/>
                    </w:rPr>
                    <w:t>3031</w:t>
                  </w:r>
                  <w:r>
                    <w:rPr>
                      <w:rFonts w:ascii="Times New Roman" w:hAnsi="宋体"/>
                      <w:bCs/>
                      <w:kern w:val="2"/>
                      <w:sz w:val="21"/>
                      <w:szCs w:val="21"/>
                      <w:lang w:eastAsia="zh-CN"/>
                    </w:rPr>
                    <w:t>(除以煤或者煤矸石为燃料的烧结砖瓦以外的)，建筑用石加工</w:t>
                  </w:r>
                  <w:r>
                    <w:rPr>
                      <w:rFonts w:ascii="Times New Roman" w:hAnsi="Times New Roman"/>
                      <w:bCs/>
                      <w:kern w:val="2"/>
                      <w:sz w:val="21"/>
                      <w:szCs w:val="21"/>
                      <w:lang w:eastAsia="zh-CN"/>
                    </w:rPr>
                    <w:t>3032</w:t>
                  </w:r>
                  <w:r>
                    <w:rPr>
                      <w:rFonts w:ascii="Times New Roman" w:hAnsi="宋体"/>
                      <w:bCs/>
                      <w:kern w:val="2"/>
                      <w:sz w:val="21"/>
                      <w:szCs w:val="21"/>
                      <w:lang w:eastAsia="zh-CN"/>
                    </w:rPr>
                    <w:t>，防水建筑材料制造</w:t>
                  </w:r>
                  <w:r>
                    <w:rPr>
                      <w:rFonts w:ascii="Times New Roman" w:hAnsi="Times New Roman"/>
                      <w:bCs/>
                      <w:kern w:val="2"/>
                      <w:sz w:val="21"/>
                      <w:szCs w:val="21"/>
                      <w:lang w:eastAsia="zh-CN"/>
                    </w:rPr>
                    <w:t>3033</w:t>
                  </w:r>
                  <w:r>
                    <w:rPr>
                      <w:rFonts w:ascii="Times New Roman" w:hAnsi="宋体"/>
                      <w:bCs/>
                      <w:kern w:val="2"/>
                      <w:sz w:val="21"/>
                      <w:szCs w:val="21"/>
                      <w:lang w:eastAsia="zh-CN"/>
                    </w:rPr>
                    <w:t>，隔热和隔音材料制造</w:t>
                  </w:r>
                  <w:r>
                    <w:rPr>
                      <w:rFonts w:ascii="Times New Roman" w:hAnsi="Times New Roman"/>
                      <w:bCs/>
                      <w:kern w:val="2"/>
                      <w:sz w:val="21"/>
                      <w:szCs w:val="21"/>
                      <w:lang w:eastAsia="zh-CN"/>
                    </w:rPr>
                    <w:t>3034</w:t>
                  </w:r>
                  <w:r>
                    <w:rPr>
                      <w:rFonts w:ascii="Times New Roman" w:hAnsi="宋体"/>
                      <w:bCs/>
                      <w:kern w:val="2"/>
                      <w:sz w:val="21"/>
                      <w:szCs w:val="21"/>
                      <w:lang w:eastAsia="zh-CN"/>
                    </w:rPr>
                    <w:t>，其他建筑材料制造</w:t>
                  </w:r>
                  <w:r>
                    <w:rPr>
                      <w:rFonts w:ascii="Times New Roman" w:hAnsi="Times New Roman"/>
                      <w:bCs/>
                      <w:kern w:val="2"/>
                      <w:sz w:val="21"/>
                      <w:szCs w:val="21"/>
                      <w:lang w:eastAsia="zh-CN"/>
                    </w:rPr>
                    <w:t>3039</w:t>
                  </w:r>
                  <w:r>
                    <w:rPr>
                      <w:rFonts w:ascii="Times New Roman" w:hAnsi="宋体"/>
                      <w:bCs/>
                      <w:kern w:val="2"/>
                      <w:sz w:val="21"/>
                      <w:szCs w:val="21"/>
                      <w:lang w:eastAsia="zh-CN"/>
                    </w:rPr>
                    <w:t>，以上均不含仅切割加工的</w:t>
                  </w:r>
                </w:p>
              </w:tc>
              <w:tc>
                <w:tcPr>
                  <w:tcW w:w="1594" w:type="dxa"/>
                  <w:noWrap w:val="0"/>
                  <w:vAlign w:val="center"/>
                </w:tcPr>
                <w:p w14:paraId="7F5F7A8F">
                  <w:pPr>
                    <w:spacing w:line="276" w:lineRule="auto"/>
                    <w:jc w:val="center"/>
                    <w:rPr>
                      <w:bCs/>
                      <w:szCs w:val="21"/>
                    </w:rPr>
                  </w:pPr>
                  <w:r>
                    <w:rPr>
                      <w:bCs/>
                      <w:szCs w:val="21"/>
                    </w:rPr>
                    <w:t>仅切割加工的</w:t>
                  </w:r>
                </w:p>
              </w:tc>
            </w:tr>
          </w:tbl>
          <w:p w14:paraId="33CE2809">
            <w:pPr>
              <w:spacing w:line="440" w:lineRule="exact"/>
              <w:ind w:firstLine="480" w:firstLineChars="200"/>
              <w:rPr>
                <w:rFonts w:hint="eastAsia"/>
                <w:sz w:val="24"/>
              </w:rPr>
            </w:pPr>
          </w:p>
          <w:p w14:paraId="51125C62">
            <w:pPr>
              <w:spacing w:line="440" w:lineRule="exact"/>
              <w:ind w:firstLine="480" w:firstLineChars="200"/>
              <w:rPr>
                <w:sz w:val="24"/>
              </w:rPr>
            </w:pPr>
            <w:r>
              <w:rPr>
                <w:rFonts w:hint="eastAsia"/>
                <w:bCs/>
                <w:sz w:val="24"/>
              </w:rPr>
              <w:t>本项目</w:t>
            </w:r>
            <w:r>
              <w:rPr>
                <w:bCs/>
                <w:sz w:val="24"/>
              </w:rPr>
              <w:t>《建设项目排污许可申请与填发信息表》</w:t>
            </w:r>
            <w:r>
              <w:rPr>
                <w:rFonts w:hint="eastAsia"/>
                <w:bCs/>
                <w:sz w:val="24"/>
              </w:rPr>
              <w:t>见附表。</w:t>
            </w:r>
          </w:p>
          <w:p w14:paraId="1A4D1056">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pPr>
          </w:p>
        </w:tc>
      </w:tr>
    </w:tbl>
    <w:p w14:paraId="0272080F">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sectPr>
          <w:pgSz w:w="11906" w:h="16838"/>
          <w:pgMar w:top="1440" w:right="1440" w:bottom="1440" w:left="1440" w:header="851" w:footer="851" w:gutter="0"/>
          <w:pgNumType w:fmt="numberInDash"/>
          <w:cols w:space="720" w:num="1"/>
          <w:docGrid w:linePitch="312" w:charSpace="0"/>
        </w:sectPr>
      </w:pPr>
    </w:p>
    <w:p w14:paraId="5A0D8AA5">
      <w:pPr>
        <w:pStyle w:val="34"/>
        <w:spacing w:before="120" w:beforeLines="50" w:beforeAutospacing="0" w:after="0" w:afterAutospacing="0" w:line="360" w:lineRule="auto"/>
        <w:jc w:val="center"/>
        <w:outlineLvl w:val="0"/>
        <w:rPr>
          <w:rFonts w:ascii="Times New Roman" w:hAnsi="Times New Roman" w:eastAsia="黑体"/>
          <w:snapToGrid w:val="0"/>
          <w:sz w:val="28"/>
          <w:szCs w:val="28"/>
        </w:rPr>
      </w:pPr>
      <w:bookmarkStart w:id="22" w:name="_Toc67775555"/>
      <w:r>
        <w:rPr>
          <w:rFonts w:ascii="Times New Roman" w:hAnsi="Times New Roman" w:eastAsia="黑体"/>
          <w:snapToGrid w:val="0"/>
          <w:sz w:val="28"/>
          <w:szCs w:val="28"/>
        </w:rPr>
        <w:t>五、</w:t>
      </w:r>
      <w:bookmarkStart w:id="23" w:name="_Hlk54167917"/>
      <w:r>
        <w:rPr>
          <w:rFonts w:ascii="Times New Roman" w:hAnsi="Times New Roman" w:eastAsia="黑体"/>
          <w:snapToGrid w:val="0"/>
          <w:sz w:val="28"/>
          <w:szCs w:val="28"/>
        </w:rPr>
        <w:t>环境保护措施监督检查清单</w:t>
      </w:r>
      <w:bookmarkEnd w:id="22"/>
      <w:bookmarkEnd w:id="23"/>
    </w:p>
    <w:tbl>
      <w:tblPr>
        <w:tblStyle w:val="38"/>
        <w:tblW w:w="97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620"/>
        <w:gridCol w:w="1172"/>
        <w:gridCol w:w="2092"/>
        <w:gridCol w:w="3936"/>
      </w:tblGrid>
      <w:tr w14:paraId="5D6D8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966" w:type="dxa"/>
            <w:tcBorders>
              <w:tl2br w:val="single" w:color="auto" w:sz="4" w:space="0"/>
            </w:tcBorders>
            <w:noWrap w:val="0"/>
            <w:vAlign w:val="top"/>
          </w:tcPr>
          <w:p w14:paraId="4A636BF1">
            <w:pPr>
              <w:adjustRightInd w:val="0"/>
              <w:jc w:val="right"/>
              <w:rPr>
                <w:b/>
                <w:sz w:val="24"/>
              </w:rPr>
            </w:pPr>
            <w:r>
              <w:rPr>
                <w:b/>
                <w:sz w:val="24"/>
              </w:rPr>
              <w:t>内容</w:t>
            </w:r>
          </w:p>
          <w:p w14:paraId="4B0D3C38">
            <w:pPr>
              <w:adjustRightInd w:val="0"/>
              <w:rPr>
                <w:b/>
                <w:sz w:val="24"/>
              </w:rPr>
            </w:pPr>
          </w:p>
          <w:p w14:paraId="4EB08AD1">
            <w:pPr>
              <w:adjustRightInd w:val="0"/>
              <w:rPr>
                <w:b/>
                <w:sz w:val="24"/>
              </w:rPr>
            </w:pPr>
            <w:r>
              <w:rPr>
                <w:b/>
                <w:sz w:val="24"/>
              </w:rPr>
              <w:t>要素</w:t>
            </w:r>
          </w:p>
        </w:tc>
        <w:tc>
          <w:tcPr>
            <w:tcW w:w="1620" w:type="dxa"/>
            <w:noWrap w:val="0"/>
            <w:vAlign w:val="center"/>
          </w:tcPr>
          <w:p w14:paraId="44F4379E">
            <w:pPr>
              <w:adjustRightInd w:val="0"/>
              <w:jc w:val="center"/>
              <w:rPr>
                <w:b/>
                <w:sz w:val="24"/>
              </w:rPr>
            </w:pPr>
            <w:r>
              <w:rPr>
                <w:b/>
                <w:sz w:val="24"/>
              </w:rPr>
              <w:t>排放口(编号、名称)/污染源</w:t>
            </w:r>
          </w:p>
        </w:tc>
        <w:tc>
          <w:tcPr>
            <w:tcW w:w="1172" w:type="dxa"/>
            <w:noWrap w:val="0"/>
            <w:vAlign w:val="center"/>
          </w:tcPr>
          <w:p w14:paraId="491449F9">
            <w:pPr>
              <w:adjustRightInd w:val="0"/>
              <w:jc w:val="center"/>
              <w:rPr>
                <w:b/>
                <w:sz w:val="24"/>
              </w:rPr>
            </w:pPr>
            <w:r>
              <w:rPr>
                <w:b/>
                <w:sz w:val="24"/>
              </w:rPr>
              <w:t>污染物项目</w:t>
            </w:r>
          </w:p>
        </w:tc>
        <w:tc>
          <w:tcPr>
            <w:tcW w:w="2092" w:type="dxa"/>
            <w:noWrap w:val="0"/>
            <w:vAlign w:val="center"/>
          </w:tcPr>
          <w:p w14:paraId="36868B56">
            <w:pPr>
              <w:adjustRightInd w:val="0"/>
              <w:jc w:val="center"/>
              <w:rPr>
                <w:b/>
                <w:sz w:val="24"/>
              </w:rPr>
            </w:pPr>
            <w:r>
              <w:rPr>
                <w:b/>
                <w:sz w:val="24"/>
              </w:rPr>
              <w:t>环境保护措施</w:t>
            </w:r>
          </w:p>
        </w:tc>
        <w:tc>
          <w:tcPr>
            <w:tcW w:w="3936" w:type="dxa"/>
            <w:noWrap w:val="0"/>
            <w:vAlign w:val="center"/>
          </w:tcPr>
          <w:p w14:paraId="2510AF08">
            <w:pPr>
              <w:adjustRightInd w:val="0"/>
              <w:jc w:val="center"/>
              <w:rPr>
                <w:b/>
                <w:sz w:val="24"/>
              </w:rPr>
            </w:pPr>
            <w:r>
              <w:rPr>
                <w:b/>
                <w:sz w:val="24"/>
              </w:rPr>
              <w:t>执行标准</w:t>
            </w:r>
          </w:p>
        </w:tc>
      </w:tr>
      <w:tr w14:paraId="308120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966" w:type="dxa"/>
            <w:vMerge w:val="restart"/>
            <w:noWrap w:val="0"/>
            <w:vAlign w:val="center"/>
          </w:tcPr>
          <w:p w14:paraId="3CF53D9E">
            <w:pPr>
              <w:adjustRightInd w:val="0"/>
              <w:jc w:val="center"/>
              <w:rPr>
                <w:sz w:val="24"/>
              </w:rPr>
            </w:pPr>
            <w:r>
              <w:rPr>
                <w:sz w:val="24"/>
              </w:rPr>
              <w:t>大气环境</w:t>
            </w:r>
          </w:p>
        </w:tc>
        <w:tc>
          <w:tcPr>
            <w:tcW w:w="1620" w:type="dxa"/>
            <w:noWrap w:val="0"/>
            <w:vAlign w:val="center"/>
          </w:tcPr>
          <w:p w14:paraId="703791A7">
            <w:pPr>
              <w:adjustRightInd w:val="0"/>
              <w:jc w:val="center"/>
              <w:rPr>
                <w:sz w:val="22"/>
                <w:szCs w:val="22"/>
              </w:rPr>
            </w:pPr>
            <w:r>
              <w:rPr>
                <w:rFonts w:hint="eastAsia"/>
                <w:sz w:val="20"/>
                <w:szCs w:val="22"/>
                <w:lang w:val="en-US" w:eastAsia="zh-CN"/>
              </w:rPr>
              <w:t>上料、</w:t>
            </w:r>
            <w:r>
              <w:rPr>
                <w:rFonts w:hint="eastAsia"/>
                <w:sz w:val="20"/>
                <w:szCs w:val="22"/>
              </w:rPr>
              <w:t>破碎筛分废气排气筒/DA001</w:t>
            </w:r>
          </w:p>
        </w:tc>
        <w:tc>
          <w:tcPr>
            <w:tcW w:w="1172" w:type="dxa"/>
            <w:noWrap w:val="0"/>
            <w:vAlign w:val="center"/>
          </w:tcPr>
          <w:p w14:paraId="6B460B1F">
            <w:pPr>
              <w:jc w:val="center"/>
              <w:rPr>
                <w:sz w:val="22"/>
                <w:szCs w:val="22"/>
              </w:rPr>
            </w:pPr>
            <w:r>
              <w:rPr>
                <w:sz w:val="20"/>
                <w:szCs w:val="22"/>
              </w:rPr>
              <w:t>颗粒物</w:t>
            </w:r>
          </w:p>
        </w:tc>
        <w:tc>
          <w:tcPr>
            <w:tcW w:w="2092" w:type="dxa"/>
            <w:noWrap w:val="0"/>
            <w:vAlign w:val="center"/>
          </w:tcPr>
          <w:p w14:paraId="710D3A9C">
            <w:pPr>
              <w:jc w:val="center"/>
              <w:rPr>
                <w:sz w:val="22"/>
                <w:szCs w:val="22"/>
              </w:rPr>
            </w:pPr>
            <w:r>
              <w:rPr>
                <w:rFonts w:hint="eastAsia"/>
                <w:sz w:val="20"/>
                <w:szCs w:val="22"/>
              </w:rPr>
              <w:t>集气罩+脉冲式布袋除尘器+15米高排气筒</w:t>
            </w:r>
          </w:p>
        </w:tc>
        <w:tc>
          <w:tcPr>
            <w:tcW w:w="3936" w:type="dxa"/>
            <w:vMerge w:val="restart"/>
            <w:noWrap w:val="0"/>
            <w:vAlign w:val="center"/>
          </w:tcPr>
          <w:p w14:paraId="4F422440">
            <w:pPr>
              <w:adjustRightInd w:val="0"/>
              <w:jc w:val="center"/>
              <w:rPr>
                <w:sz w:val="22"/>
                <w:szCs w:val="22"/>
              </w:rPr>
            </w:pPr>
            <w:r>
              <w:rPr>
                <w:bCs/>
                <w:sz w:val="20"/>
                <w:szCs w:val="22"/>
              </w:rPr>
              <w:t>《砖瓦工业大气污染物排放标准》(</w:t>
            </w:r>
            <w:r>
              <w:rPr>
                <w:rFonts w:hint="eastAsia"/>
                <w:bCs/>
                <w:sz w:val="20"/>
                <w:szCs w:val="22"/>
              </w:rPr>
              <w:t>DB34/4362-2023</w:t>
            </w:r>
            <w:r>
              <w:rPr>
                <w:bCs/>
                <w:sz w:val="20"/>
                <w:szCs w:val="22"/>
              </w:rPr>
              <w:t>)</w:t>
            </w:r>
          </w:p>
        </w:tc>
      </w:tr>
      <w:tr w14:paraId="74628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966" w:type="dxa"/>
            <w:vMerge w:val="continue"/>
            <w:noWrap w:val="0"/>
            <w:vAlign w:val="center"/>
          </w:tcPr>
          <w:p w14:paraId="213B8E22">
            <w:pPr>
              <w:adjustRightInd w:val="0"/>
              <w:jc w:val="center"/>
              <w:rPr>
                <w:sz w:val="24"/>
              </w:rPr>
            </w:pPr>
          </w:p>
        </w:tc>
        <w:tc>
          <w:tcPr>
            <w:tcW w:w="1620" w:type="dxa"/>
            <w:noWrap w:val="0"/>
            <w:vAlign w:val="center"/>
          </w:tcPr>
          <w:p w14:paraId="1307DC7A">
            <w:pPr>
              <w:adjustRightInd w:val="0"/>
              <w:jc w:val="center"/>
              <w:rPr>
                <w:sz w:val="22"/>
                <w:szCs w:val="22"/>
              </w:rPr>
            </w:pPr>
            <w:r>
              <w:rPr>
                <w:rFonts w:hint="eastAsia"/>
                <w:sz w:val="20"/>
                <w:szCs w:val="22"/>
              </w:rPr>
              <w:t>窑炉废气</w:t>
            </w:r>
            <w:r>
              <w:rPr>
                <w:sz w:val="20"/>
                <w:szCs w:val="22"/>
              </w:rPr>
              <w:t>排气筒</w:t>
            </w:r>
            <w:r>
              <w:rPr>
                <w:rFonts w:hint="eastAsia"/>
                <w:sz w:val="20"/>
                <w:szCs w:val="22"/>
              </w:rPr>
              <w:t>/DA002</w:t>
            </w:r>
          </w:p>
        </w:tc>
        <w:tc>
          <w:tcPr>
            <w:tcW w:w="1172" w:type="dxa"/>
            <w:noWrap w:val="0"/>
            <w:vAlign w:val="center"/>
          </w:tcPr>
          <w:p w14:paraId="4B531B3E">
            <w:pPr>
              <w:jc w:val="center"/>
              <w:rPr>
                <w:rFonts w:hint="eastAsia"/>
                <w:sz w:val="22"/>
                <w:szCs w:val="22"/>
              </w:rPr>
            </w:pPr>
            <w:r>
              <w:rPr>
                <w:rFonts w:hint="eastAsia"/>
                <w:sz w:val="20"/>
                <w:szCs w:val="22"/>
              </w:rPr>
              <w:t>颗粒物</w:t>
            </w:r>
            <w:r>
              <w:rPr>
                <w:sz w:val="20"/>
                <w:szCs w:val="22"/>
              </w:rPr>
              <w:t>、二氧化硫、氮氧化物、氟化物</w:t>
            </w:r>
          </w:p>
        </w:tc>
        <w:tc>
          <w:tcPr>
            <w:tcW w:w="2092" w:type="dxa"/>
            <w:noWrap w:val="0"/>
            <w:vAlign w:val="center"/>
          </w:tcPr>
          <w:p w14:paraId="2197A2DD">
            <w:pPr>
              <w:autoSpaceDE w:val="0"/>
              <w:autoSpaceDN w:val="0"/>
              <w:rPr>
                <w:sz w:val="22"/>
                <w:szCs w:val="22"/>
              </w:rPr>
            </w:pPr>
            <w:r>
              <w:rPr>
                <w:rFonts w:hint="eastAsia"/>
                <w:sz w:val="20"/>
                <w:szCs w:val="21"/>
                <w:lang w:val="en-US" w:eastAsia="zh-CN"/>
              </w:rPr>
              <w:t>负压</w:t>
            </w:r>
            <w:r>
              <w:rPr>
                <w:rFonts w:hint="eastAsia"/>
                <w:sz w:val="20"/>
                <w:szCs w:val="21"/>
              </w:rPr>
              <w:t>收集+“</w:t>
            </w:r>
            <w:r>
              <w:rPr>
                <w:rFonts w:hint="eastAsia"/>
                <w:sz w:val="20"/>
                <w:szCs w:val="21"/>
                <w:lang w:val="en-US" w:eastAsia="zh-CN"/>
              </w:rPr>
              <w:t>SNCR+</w:t>
            </w:r>
            <w:r>
              <w:rPr>
                <w:rFonts w:hint="eastAsia"/>
                <w:sz w:val="20"/>
                <w:szCs w:val="21"/>
              </w:rPr>
              <w:t>石灰石</w:t>
            </w:r>
            <w:r>
              <w:rPr>
                <w:sz w:val="20"/>
                <w:szCs w:val="21"/>
              </w:rPr>
              <w:t>—石膏法</w:t>
            </w:r>
            <w:r>
              <w:rPr>
                <w:rFonts w:hint="eastAsia"/>
                <w:sz w:val="20"/>
                <w:szCs w:val="21"/>
              </w:rPr>
              <w:t>+</w:t>
            </w:r>
            <w:r>
              <w:rPr>
                <w:sz w:val="20"/>
                <w:szCs w:val="21"/>
              </w:rPr>
              <w:t>湿电除尘</w:t>
            </w:r>
            <w:r>
              <w:rPr>
                <w:rFonts w:hint="eastAsia"/>
                <w:sz w:val="20"/>
                <w:szCs w:val="21"/>
              </w:rPr>
              <w:t>”</w:t>
            </w:r>
            <w:r>
              <w:rPr>
                <w:rFonts w:hint="eastAsia"/>
                <w:sz w:val="20"/>
                <w:szCs w:val="22"/>
              </w:rPr>
              <w:t>+35米高排气筒</w:t>
            </w:r>
          </w:p>
        </w:tc>
        <w:tc>
          <w:tcPr>
            <w:tcW w:w="3936" w:type="dxa"/>
            <w:vMerge w:val="continue"/>
            <w:noWrap w:val="0"/>
            <w:vAlign w:val="center"/>
          </w:tcPr>
          <w:p w14:paraId="04BB7B2C">
            <w:pPr>
              <w:adjustRightInd w:val="0"/>
              <w:jc w:val="center"/>
              <w:rPr>
                <w:sz w:val="22"/>
                <w:szCs w:val="22"/>
              </w:rPr>
            </w:pPr>
          </w:p>
        </w:tc>
      </w:tr>
      <w:tr w14:paraId="7ECDF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966" w:type="dxa"/>
            <w:vMerge w:val="continue"/>
            <w:noWrap w:val="0"/>
            <w:vAlign w:val="center"/>
          </w:tcPr>
          <w:p w14:paraId="16AE7890">
            <w:pPr>
              <w:adjustRightInd w:val="0"/>
              <w:jc w:val="center"/>
              <w:rPr>
                <w:sz w:val="24"/>
              </w:rPr>
            </w:pPr>
          </w:p>
        </w:tc>
        <w:tc>
          <w:tcPr>
            <w:tcW w:w="1620" w:type="dxa"/>
            <w:noWrap w:val="0"/>
            <w:vAlign w:val="center"/>
          </w:tcPr>
          <w:p w14:paraId="05D7FB85">
            <w:pPr>
              <w:adjustRightInd w:val="0"/>
              <w:jc w:val="center"/>
              <w:rPr>
                <w:sz w:val="20"/>
                <w:szCs w:val="22"/>
              </w:rPr>
            </w:pPr>
            <w:r>
              <w:rPr>
                <w:rFonts w:hint="eastAsia"/>
                <w:sz w:val="20"/>
                <w:szCs w:val="22"/>
              </w:rPr>
              <w:t>无组织废气</w:t>
            </w:r>
          </w:p>
        </w:tc>
        <w:tc>
          <w:tcPr>
            <w:tcW w:w="1172" w:type="dxa"/>
            <w:noWrap w:val="0"/>
            <w:vAlign w:val="center"/>
          </w:tcPr>
          <w:p w14:paraId="7CEE71E4">
            <w:pPr>
              <w:jc w:val="center"/>
              <w:rPr>
                <w:rFonts w:hint="eastAsia"/>
                <w:sz w:val="20"/>
                <w:szCs w:val="22"/>
              </w:rPr>
            </w:pPr>
            <w:r>
              <w:rPr>
                <w:rFonts w:hint="eastAsia"/>
                <w:sz w:val="20"/>
                <w:szCs w:val="22"/>
              </w:rPr>
              <w:t>颗粒物、氟化物、二氧化硫</w:t>
            </w:r>
          </w:p>
        </w:tc>
        <w:tc>
          <w:tcPr>
            <w:tcW w:w="2092" w:type="dxa"/>
            <w:noWrap w:val="0"/>
            <w:vAlign w:val="center"/>
          </w:tcPr>
          <w:p w14:paraId="42BCB22E">
            <w:pPr>
              <w:autoSpaceDE w:val="0"/>
              <w:autoSpaceDN w:val="0"/>
              <w:rPr>
                <w:rFonts w:hint="eastAsia"/>
                <w:sz w:val="20"/>
                <w:szCs w:val="21"/>
              </w:rPr>
            </w:pPr>
            <w:r>
              <w:rPr>
                <w:sz w:val="20"/>
                <w:szCs w:val="22"/>
              </w:rPr>
              <w:t>于</w:t>
            </w:r>
            <w:r>
              <w:rPr>
                <w:rFonts w:hint="eastAsia"/>
                <w:sz w:val="20"/>
                <w:szCs w:val="22"/>
              </w:rPr>
              <w:t>原料库</w:t>
            </w:r>
            <w:r>
              <w:rPr>
                <w:sz w:val="20"/>
                <w:szCs w:val="22"/>
              </w:rPr>
              <w:t>内卸料</w:t>
            </w:r>
            <w:r>
              <w:rPr>
                <w:rFonts w:hint="eastAsia"/>
                <w:sz w:val="20"/>
                <w:szCs w:val="22"/>
              </w:rPr>
              <w:t>，</w:t>
            </w:r>
            <w:r>
              <w:rPr>
                <w:sz w:val="20"/>
                <w:szCs w:val="22"/>
              </w:rPr>
              <w:t>生产过程中位于</w:t>
            </w:r>
            <w:r>
              <w:rPr>
                <w:rFonts w:hint="eastAsia"/>
                <w:sz w:val="20"/>
                <w:szCs w:val="22"/>
              </w:rPr>
              <w:t>密闭</w:t>
            </w:r>
            <w:r>
              <w:rPr>
                <w:sz w:val="20"/>
                <w:szCs w:val="22"/>
              </w:rPr>
              <w:t>生产车间内</w:t>
            </w:r>
            <w:r>
              <w:rPr>
                <w:rFonts w:hint="eastAsia"/>
                <w:sz w:val="20"/>
                <w:szCs w:val="22"/>
              </w:rPr>
              <w:t>。物料输送加强密闭，喷雾降尘，加强粉尘产生环节的收集效率，场内道路硬化，洒水抑尘</w:t>
            </w:r>
          </w:p>
        </w:tc>
        <w:tc>
          <w:tcPr>
            <w:tcW w:w="3936" w:type="dxa"/>
            <w:vMerge w:val="continue"/>
            <w:noWrap w:val="0"/>
            <w:vAlign w:val="center"/>
          </w:tcPr>
          <w:p w14:paraId="049EA3FB">
            <w:pPr>
              <w:adjustRightInd w:val="0"/>
              <w:jc w:val="center"/>
              <w:rPr>
                <w:sz w:val="22"/>
                <w:szCs w:val="22"/>
              </w:rPr>
            </w:pPr>
          </w:p>
        </w:tc>
      </w:tr>
      <w:tr w14:paraId="48B61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966" w:type="dxa"/>
            <w:noWrap w:val="0"/>
            <w:vAlign w:val="center"/>
          </w:tcPr>
          <w:p w14:paraId="6B795AA5">
            <w:pPr>
              <w:adjustRightInd w:val="0"/>
              <w:jc w:val="center"/>
              <w:rPr>
                <w:sz w:val="24"/>
              </w:rPr>
            </w:pPr>
            <w:r>
              <w:rPr>
                <w:sz w:val="24"/>
              </w:rPr>
              <w:t>地表水环境</w:t>
            </w:r>
          </w:p>
        </w:tc>
        <w:tc>
          <w:tcPr>
            <w:tcW w:w="1620" w:type="dxa"/>
            <w:noWrap w:val="0"/>
            <w:vAlign w:val="center"/>
          </w:tcPr>
          <w:p w14:paraId="47D5ED27">
            <w:pPr>
              <w:ind w:left="-108" w:right="-108"/>
              <w:jc w:val="center"/>
              <w:rPr>
                <w:sz w:val="22"/>
                <w:szCs w:val="22"/>
              </w:rPr>
            </w:pPr>
            <w:r>
              <w:rPr>
                <w:rFonts w:hint="eastAsia"/>
                <w:sz w:val="20"/>
                <w:szCs w:val="22"/>
              </w:rPr>
              <w:t>车辆清洗废水</w:t>
            </w:r>
          </w:p>
        </w:tc>
        <w:tc>
          <w:tcPr>
            <w:tcW w:w="1172" w:type="dxa"/>
            <w:noWrap w:val="0"/>
            <w:vAlign w:val="center"/>
          </w:tcPr>
          <w:p w14:paraId="59AD6042">
            <w:pPr>
              <w:ind w:left="-108" w:right="-108"/>
              <w:jc w:val="center"/>
              <w:rPr>
                <w:sz w:val="22"/>
                <w:szCs w:val="22"/>
              </w:rPr>
            </w:pPr>
            <w:r>
              <w:rPr>
                <w:sz w:val="22"/>
                <w:szCs w:val="22"/>
              </w:rPr>
              <w:t>SS</w:t>
            </w:r>
          </w:p>
        </w:tc>
        <w:tc>
          <w:tcPr>
            <w:tcW w:w="2092" w:type="dxa"/>
            <w:noWrap w:val="0"/>
            <w:vAlign w:val="center"/>
          </w:tcPr>
          <w:p w14:paraId="5F72D1FD">
            <w:pPr>
              <w:pStyle w:val="7"/>
              <w:spacing w:line="240" w:lineRule="auto"/>
              <w:ind w:firstLine="0"/>
              <w:rPr>
                <w:spacing w:val="0"/>
                <w:sz w:val="22"/>
                <w:szCs w:val="22"/>
              </w:rPr>
            </w:pPr>
            <w:r>
              <w:rPr>
                <w:rFonts w:hint="eastAsia"/>
                <w:sz w:val="22"/>
                <w:szCs w:val="22"/>
              </w:rPr>
              <w:t>经厂区沉淀池</w:t>
            </w:r>
            <w:r>
              <w:rPr>
                <w:rFonts w:hint="eastAsia"/>
                <w:bCs/>
                <w:sz w:val="21"/>
                <w:szCs w:val="18"/>
                <w:lang w:eastAsia="zh-CN"/>
              </w:rPr>
              <w:t>（</w:t>
            </w:r>
            <w:r>
              <w:rPr>
                <w:rFonts w:hint="eastAsia"/>
                <w:bCs/>
                <w:sz w:val="21"/>
                <w:szCs w:val="18"/>
                <w:lang w:val="en-US" w:eastAsia="zh-CN"/>
              </w:rPr>
              <w:t>8×3×2m</w:t>
            </w:r>
            <w:r>
              <w:rPr>
                <w:rFonts w:hint="eastAsia"/>
                <w:bCs/>
                <w:sz w:val="21"/>
                <w:szCs w:val="18"/>
                <w:lang w:eastAsia="zh-CN"/>
              </w:rPr>
              <w:t>）</w:t>
            </w:r>
            <w:r>
              <w:rPr>
                <w:rFonts w:hint="eastAsia"/>
                <w:sz w:val="22"/>
                <w:szCs w:val="22"/>
              </w:rPr>
              <w:t>沉淀后回用于车辆清洗，不外排</w:t>
            </w:r>
          </w:p>
        </w:tc>
        <w:tc>
          <w:tcPr>
            <w:tcW w:w="3936" w:type="dxa"/>
            <w:noWrap w:val="0"/>
            <w:vAlign w:val="center"/>
          </w:tcPr>
          <w:p w14:paraId="06878BE0">
            <w:pPr>
              <w:adjustRightInd w:val="0"/>
              <w:jc w:val="center"/>
              <w:rPr>
                <w:rFonts w:hint="eastAsia"/>
                <w:sz w:val="22"/>
                <w:szCs w:val="22"/>
              </w:rPr>
            </w:pPr>
            <w:r>
              <w:rPr>
                <w:rFonts w:hint="eastAsia"/>
                <w:sz w:val="22"/>
                <w:szCs w:val="22"/>
              </w:rPr>
              <w:t>不外排</w:t>
            </w:r>
          </w:p>
        </w:tc>
      </w:tr>
      <w:tr w14:paraId="28C57E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6" w:type="dxa"/>
            <w:noWrap w:val="0"/>
            <w:vAlign w:val="center"/>
          </w:tcPr>
          <w:p w14:paraId="767E4B7E">
            <w:pPr>
              <w:adjustRightInd w:val="0"/>
              <w:jc w:val="center"/>
              <w:rPr>
                <w:sz w:val="24"/>
              </w:rPr>
            </w:pPr>
            <w:r>
              <w:rPr>
                <w:sz w:val="24"/>
              </w:rPr>
              <w:t>声环境</w:t>
            </w:r>
          </w:p>
        </w:tc>
        <w:tc>
          <w:tcPr>
            <w:tcW w:w="1620" w:type="dxa"/>
            <w:noWrap w:val="0"/>
            <w:vAlign w:val="center"/>
          </w:tcPr>
          <w:p w14:paraId="5C0B7F68">
            <w:pPr>
              <w:adjustRightInd w:val="0"/>
              <w:jc w:val="center"/>
              <w:rPr>
                <w:sz w:val="22"/>
                <w:szCs w:val="22"/>
              </w:rPr>
            </w:pPr>
            <w:r>
              <w:rPr>
                <w:sz w:val="22"/>
                <w:szCs w:val="22"/>
              </w:rPr>
              <w:t>生产设备</w:t>
            </w:r>
          </w:p>
        </w:tc>
        <w:tc>
          <w:tcPr>
            <w:tcW w:w="1172" w:type="dxa"/>
            <w:noWrap w:val="0"/>
            <w:vAlign w:val="center"/>
          </w:tcPr>
          <w:p w14:paraId="156D2074">
            <w:pPr>
              <w:adjustRightInd w:val="0"/>
              <w:jc w:val="center"/>
              <w:rPr>
                <w:sz w:val="22"/>
                <w:szCs w:val="22"/>
              </w:rPr>
            </w:pPr>
            <w:r>
              <w:rPr>
                <w:sz w:val="22"/>
                <w:szCs w:val="22"/>
              </w:rPr>
              <w:t>设备噪声</w:t>
            </w:r>
          </w:p>
        </w:tc>
        <w:tc>
          <w:tcPr>
            <w:tcW w:w="2092" w:type="dxa"/>
            <w:noWrap w:val="0"/>
            <w:vAlign w:val="center"/>
          </w:tcPr>
          <w:p w14:paraId="1ABC0273">
            <w:pPr>
              <w:adjustRightInd w:val="0"/>
              <w:jc w:val="center"/>
              <w:rPr>
                <w:sz w:val="22"/>
                <w:szCs w:val="22"/>
              </w:rPr>
            </w:pPr>
            <w:r>
              <w:rPr>
                <w:rFonts w:hint="eastAsia"/>
                <w:sz w:val="22"/>
                <w:szCs w:val="22"/>
              </w:rPr>
              <w:t>厂房</w:t>
            </w:r>
            <w:r>
              <w:rPr>
                <w:sz w:val="22"/>
                <w:szCs w:val="22"/>
              </w:rPr>
              <w:t>隔声、</w:t>
            </w:r>
            <w:r>
              <w:rPr>
                <w:rFonts w:hint="eastAsia"/>
                <w:sz w:val="22"/>
                <w:szCs w:val="22"/>
              </w:rPr>
              <w:t>设备</w:t>
            </w:r>
            <w:r>
              <w:rPr>
                <w:sz w:val="22"/>
                <w:szCs w:val="22"/>
              </w:rPr>
              <w:t>减振</w:t>
            </w:r>
            <w:r>
              <w:rPr>
                <w:rFonts w:hint="eastAsia"/>
                <w:sz w:val="22"/>
                <w:szCs w:val="22"/>
              </w:rPr>
              <w:t>及风机消声</w:t>
            </w:r>
            <w:r>
              <w:rPr>
                <w:sz w:val="22"/>
                <w:szCs w:val="22"/>
              </w:rPr>
              <w:t>等各项降噪措施</w:t>
            </w:r>
          </w:p>
        </w:tc>
        <w:tc>
          <w:tcPr>
            <w:tcW w:w="3936" w:type="dxa"/>
            <w:noWrap w:val="0"/>
            <w:vAlign w:val="center"/>
          </w:tcPr>
          <w:p w14:paraId="26C9C75C">
            <w:pPr>
              <w:adjustRightInd w:val="0"/>
              <w:jc w:val="center"/>
              <w:rPr>
                <w:sz w:val="22"/>
                <w:szCs w:val="22"/>
              </w:rPr>
            </w:pPr>
            <w:r>
              <w:rPr>
                <w:sz w:val="22"/>
                <w:szCs w:val="22"/>
              </w:rPr>
              <w:t>厂界噪声执行GB12348-2008《工业企业厂界环境噪声排放标准》中</w:t>
            </w:r>
            <w:r>
              <w:rPr>
                <w:rFonts w:hint="eastAsia"/>
                <w:sz w:val="22"/>
                <w:szCs w:val="22"/>
              </w:rPr>
              <w:t>2</w:t>
            </w:r>
            <w:r>
              <w:rPr>
                <w:sz w:val="22"/>
                <w:szCs w:val="22"/>
              </w:rPr>
              <w:fldChar w:fldCharType="begin"/>
            </w:r>
            <w:r>
              <w:rPr>
                <w:sz w:val="22"/>
                <w:szCs w:val="22"/>
              </w:rPr>
              <w:instrText xml:space="preserve"> = 3 \* ROMAN </w:instrText>
            </w:r>
            <w:r>
              <w:rPr>
                <w:sz w:val="22"/>
                <w:szCs w:val="22"/>
              </w:rPr>
              <w:fldChar w:fldCharType="separate"/>
            </w:r>
            <w:r>
              <w:rPr>
                <w:sz w:val="22"/>
                <w:szCs w:val="22"/>
              </w:rPr>
              <w:fldChar w:fldCharType="end"/>
            </w:r>
            <w:r>
              <w:rPr>
                <w:sz w:val="22"/>
                <w:szCs w:val="22"/>
              </w:rPr>
              <w:t>类标准。</w:t>
            </w:r>
          </w:p>
        </w:tc>
      </w:tr>
      <w:tr w14:paraId="368AF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66" w:type="dxa"/>
            <w:noWrap w:val="0"/>
            <w:vAlign w:val="center"/>
          </w:tcPr>
          <w:p w14:paraId="739FC36D">
            <w:pPr>
              <w:adjustRightInd w:val="0"/>
              <w:jc w:val="center"/>
              <w:rPr>
                <w:sz w:val="24"/>
              </w:rPr>
            </w:pPr>
            <w:r>
              <w:rPr>
                <w:sz w:val="24"/>
              </w:rPr>
              <w:t>电磁辐射</w:t>
            </w:r>
          </w:p>
        </w:tc>
        <w:tc>
          <w:tcPr>
            <w:tcW w:w="1620" w:type="dxa"/>
            <w:noWrap w:val="0"/>
            <w:vAlign w:val="center"/>
          </w:tcPr>
          <w:p w14:paraId="51EA1CF9">
            <w:pPr>
              <w:adjustRightInd w:val="0"/>
              <w:jc w:val="center"/>
              <w:rPr>
                <w:sz w:val="22"/>
                <w:szCs w:val="22"/>
              </w:rPr>
            </w:pPr>
            <w:r>
              <w:rPr>
                <w:sz w:val="22"/>
                <w:szCs w:val="22"/>
              </w:rPr>
              <w:t>/</w:t>
            </w:r>
          </w:p>
        </w:tc>
        <w:tc>
          <w:tcPr>
            <w:tcW w:w="1172" w:type="dxa"/>
            <w:noWrap w:val="0"/>
            <w:vAlign w:val="center"/>
          </w:tcPr>
          <w:p w14:paraId="76C17155">
            <w:pPr>
              <w:adjustRightInd w:val="0"/>
              <w:jc w:val="center"/>
              <w:rPr>
                <w:sz w:val="22"/>
                <w:szCs w:val="22"/>
              </w:rPr>
            </w:pPr>
            <w:r>
              <w:rPr>
                <w:sz w:val="22"/>
                <w:szCs w:val="22"/>
              </w:rPr>
              <w:t>/</w:t>
            </w:r>
          </w:p>
        </w:tc>
        <w:tc>
          <w:tcPr>
            <w:tcW w:w="2092" w:type="dxa"/>
            <w:noWrap w:val="0"/>
            <w:vAlign w:val="center"/>
          </w:tcPr>
          <w:p w14:paraId="2B91C9A8">
            <w:pPr>
              <w:adjustRightInd w:val="0"/>
              <w:jc w:val="center"/>
              <w:rPr>
                <w:sz w:val="22"/>
                <w:szCs w:val="22"/>
              </w:rPr>
            </w:pPr>
            <w:r>
              <w:rPr>
                <w:sz w:val="22"/>
                <w:szCs w:val="22"/>
              </w:rPr>
              <w:t>/</w:t>
            </w:r>
          </w:p>
        </w:tc>
        <w:tc>
          <w:tcPr>
            <w:tcW w:w="3936" w:type="dxa"/>
            <w:noWrap w:val="0"/>
            <w:vAlign w:val="center"/>
          </w:tcPr>
          <w:p w14:paraId="05BA122E">
            <w:pPr>
              <w:adjustRightInd w:val="0"/>
              <w:jc w:val="center"/>
              <w:rPr>
                <w:sz w:val="22"/>
                <w:szCs w:val="22"/>
              </w:rPr>
            </w:pPr>
            <w:r>
              <w:rPr>
                <w:sz w:val="22"/>
                <w:szCs w:val="22"/>
              </w:rPr>
              <w:t>/</w:t>
            </w:r>
          </w:p>
        </w:tc>
      </w:tr>
      <w:tr w14:paraId="17AF5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66" w:type="dxa"/>
            <w:noWrap w:val="0"/>
            <w:vAlign w:val="center"/>
          </w:tcPr>
          <w:p w14:paraId="2FCABBCA">
            <w:pPr>
              <w:adjustRightInd w:val="0"/>
              <w:jc w:val="center"/>
              <w:rPr>
                <w:sz w:val="24"/>
              </w:rPr>
            </w:pPr>
            <w:r>
              <w:rPr>
                <w:sz w:val="24"/>
              </w:rPr>
              <w:t>固体废物</w:t>
            </w:r>
          </w:p>
        </w:tc>
        <w:tc>
          <w:tcPr>
            <w:tcW w:w="8820" w:type="dxa"/>
            <w:gridSpan w:val="4"/>
            <w:noWrap w:val="0"/>
            <w:vAlign w:val="center"/>
          </w:tcPr>
          <w:p w14:paraId="6124EA81">
            <w:pPr>
              <w:autoSpaceDE w:val="0"/>
              <w:autoSpaceDN w:val="0"/>
              <w:adjustRightInd w:val="0"/>
              <w:rPr>
                <w:sz w:val="22"/>
                <w:szCs w:val="22"/>
              </w:rPr>
            </w:pPr>
            <w:r>
              <w:rPr>
                <w:sz w:val="22"/>
                <w:szCs w:val="22"/>
              </w:rPr>
              <w:t>一般工业固体废物</w:t>
            </w:r>
            <w:r>
              <w:rPr>
                <w:rFonts w:hint="eastAsia"/>
                <w:sz w:val="22"/>
                <w:szCs w:val="22"/>
              </w:rPr>
              <w:t>：</w:t>
            </w:r>
          </w:p>
          <w:p w14:paraId="768DF986">
            <w:pPr>
              <w:autoSpaceDE w:val="0"/>
              <w:autoSpaceDN w:val="0"/>
              <w:adjustRightInd w:val="0"/>
              <w:rPr>
                <w:sz w:val="22"/>
                <w:szCs w:val="22"/>
              </w:rPr>
            </w:pPr>
            <w:r>
              <w:rPr>
                <w:rFonts w:hint="eastAsia"/>
                <w:sz w:val="22"/>
                <w:szCs w:val="22"/>
              </w:rPr>
              <w:t>磁选废物、废布袋收集暂存于一般工业固体废物暂存间后，外售综合利用；</w:t>
            </w:r>
          </w:p>
          <w:p w14:paraId="34C29609">
            <w:pPr>
              <w:autoSpaceDE w:val="0"/>
              <w:autoSpaceDN w:val="0"/>
              <w:adjustRightInd w:val="0"/>
              <w:rPr>
                <w:sz w:val="22"/>
                <w:szCs w:val="22"/>
              </w:rPr>
            </w:pPr>
            <w:r>
              <w:rPr>
                <w:rFonts w:hint="eastAsia"/>
                <w:sz w:val="22"/>
                <w:szCs w:val="22"/>
              </w:rPr>
              <w:t>布袋除尘器收集的粉尘、脱硫系统沉渣和除尘系统沉渣收集后，回用于生产。</w:t>
            </w:r>
          </w:p>
          <w:p w14:paraId="48E567D6">
            <w:pPr>
              <w:autoSpaceDE w:val="0"/>
              <w:autoSpaceDN w:val="0"/>
              <w:adjustRightInd w:val="0"/>
              <w:rPr>
                <w:sz w:val="22"/>
                <w:szCs w:val="22"/>
              </w:rPr>
            </w:pPr>
            <w:r>
              <w:rPr>
                <w:rFonts w:hint="eastAsia"/>
                <w:sz w:val="22"/>
                <w:szCs w:val="22"/>
              </w:rPr>
              <w:t>危险废物：</w:t>
            </w:r>
          </w:p>
          <w:p w14:paraId="2409788F">
            <w:pPr>
              <w:autoSpaceDE w:val="0"/>
              <w:autoSpaceDN w:val="0"/>
              <w:adjustRightInd w:val="0"/>
              <w:rPr>
                <w:sz w:val="22"/>
                <w:szCs w:val="22"/>
              </w:rPr>
            </w:pPr>
            <w:r>
              <w:rPr>
                <w:rFonts w:hint="eastAsia"/>
                <w:sz w:val="22"/>
                <w:szCs w:val="22"/>
              </w:rPr>
              <w:t>废机油、废机油桶：收集暂存于危险废物暂存间后，定期委托有资质单位处理；</w:t>
            </w:r>
          </w:p>
          <w:p w14:paraId="5AF135EC">
            <w:pPr>
              <w:autoSpaceDE w:val="0"/>
              <w:autoSpaceDN w:val="0"/>
              <w:adjustRightInd w:val="0"/>
              <w:rPr>
                <w:sz w:val="22"/>
                <w:szCs w:val="22"/>
              </w:rPr>
            </w:pPr>
            <w:r>
              <w:rPr>
                <w:sz w:val="22"/>
                <w:szCs w:val="22"/>
              </w:rPr>
              <w:t>生活垃圾：项目产生的生活垃圾集中收集后，委托环卫部门清运</w:t>
            </w:r>
            <w:r>
              <w:rPr>
                <w:rFonts w:hint="eastAsia"/>
                <w:sz w:val="22"/>
                <w:szCs w:val="22"/>
              </w:rPr>
              <w:t>；</w:t>
            </w:r>
          </w:p>
          <w:p w14:paraId="735C3482">
            <w:pPr>
              <w:adjustRightInd w:val="0"/>
              <w:rPr>
                <w:sz w:val="22"/>
                <w:szCs w:val="22"/>
              </w:rPr>
            </w:pPr>
            <w:r>
              <w:rPr>
                <w:sz w:val="22"/>
                <w:szCs w:val="22"/>
              </w:rPr>
              <w:t>危险废物执行《危险废物贮存污染控制标准》(GB18597-2023)</w:t>
            </w:r>
            <w:r>
              <w:rPr>
                <w:rFonts w:hint="eastAsia"/>
                <w:sz w:val="22"/>
                <w:szCs w:val="22"/>
              </w:rPr>
              <w:t>，</w:t>
            </w:r>
            <w:r>
              <w:rPr>
                <w:snapToGrid w:val="0"/>
                <w:sz w:val="22"/>
                <w:szCs w:val="22"/>
              </w:rPr>
              <w:t>一般工业固体废物贮存、处置执行《一般工业固体废物贮存和填埋污染控制标准》(GB18599-2020)中有关规定</w:t>
            </w:r>
          </w:p>
        </w:tc>
      </w:tr>
      <w:tr w14:paraId="35C5D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966" w:type="dxa"/>
            <w:noWrap w:val="0"/>
            <w:vAlign w:val="center"/>
          </w:tcPr>
          <w:p w14:paraId="299484FE">
            <w:pPr>
              <w:adjustRightInd w:val="0"/>
              <w:jc w:val="center"/>
              <w:rPr>
                <w:sz w:val="24"/>
              </w:rPr>
            </w:pPr>
            <w:r>
              <w:rPr>
                <w:sz w:val="24"/>
              </w:rPr>
              <w:t>土壤及地下水</w:t>
            </w:r>
          </w:p>
          <w:p w14:paraId="0AA578FE">
            <w:pPr>
              <w:adjustRightInd w:val="0"/>
              <w:jc w:val="center"/>
              <w:rPr>
                <w:sz w:val="24"/>
              </w:rPr>
            </w:pPr>
            <w:r>
              <w:rPr>
                <w:sz w:val="24"/>
              </w:rPr>
              <w:t>污染防治措施</w:t>
            </w:r>
          </w:p>
        </w:tc>
        <w:tc>
          <w:tcPr>
            <w:tcW w:w="8820" w:type="dxa"/>
            <w:gridSpan w:val="4"/>
            <w:noWrap w:val="0"/>
            <w:vAlign w:val="center"/>
          </w:tcPr>
          <w:p w14:paraId="33EB61D0">
            <w:pPr>
              <w:jc w:val="left"/>
              <w:rPr>
                <w:bCs/>
                <w:sz w:val="22"/>
                <w:szCs w:val="22"/>
              </w:rPr>
            </w:pPr>
            <w:r>
              <w:rPr>
                <w:bCs/>
                <w:sz w:val="22"/>
                <w:szCs w:val="22"/>
              </w:rPr>
              <w:t>重点防渗区：主要为</w:t>
            </w:r>
            <w:r>
              <w:rPr>
                <w:rFonts w:hint="eastAsia"/>
                <w:bCs/>
                <w:sz w:val="22"/>
                <w:szCs w:val="22"/>
              </w:rPr>
              <w:t>危险废物暂存间</w:t>
            </w:r>
            <w:r>
              <w:rPr>
                <w:bCs/>
                <w:sz w:val="22"/>
                <w:szCs w:val="22"/>
              </w:rPr>
              <w:t>。重点防渗区的防渗技术要求：等效黏土防渗层Mb≥6.0m，K≤10</w:t>
            </w:r>
            <w:r>
              <w:rPr>
                <w:bCs/>
                <w:sz w:val="22"/>
                <w:szCs w:val="22"/>
                <w:vertAlign w:val="superscript"/>
              </w:rPr>
              <w:t>-7</w:t>
            </w:r>
            <w:r>
              <w:rPr>
                <w:bCs/>
                <w:sz w:val="22"/>
                <w:szCs w:val="22"/>
              </w:rPr>
              <w:t>cm/s。其中危险废物暂存间还需要满足《危险废物贮存污染控制标准》(GB18597-2023)中防渗要求：基础必须防渗，防渗层为至少1m厚粘土层(渗透系数K≤10</w:t>
            </w:r>
            <w:r>
              <w:rPr>
                <w:bCs/>
                <w:sz w:val="22"/>
                <w:szCs w:val="22"/>
                <w:vertAlign w:val="superscript"/>
              </w:rPr>
              <w:t>-7</w:t>
            </w:r>
            <w:r>
              <w:rPr>
                <w:bCs/>
                <w:sz w:val="22"/>
                <w:szCs w:val="22"/>
              </w:rPr>
              <w:t>cm/s)，或2mm厚高密度聚乙烯，或至少2mm厚的其它人工材料，渗透系数K≤10</w:t>
            </w:r>
            <w:r>
              <w:rPr>
                <w:bCs/>
                <w:sz w:val="22"/>
                <w:szCs w:val="22"/>
                <w:vertAlign w:val="superscript"/>
              </w:rPr>
              <w:t>-10</w:t>
            </w:r>
            <w:r>
              <w:rPr>
                <w:bCs/>
                <w:sz w:val="22"/>
                <w:szCs w:val="22"/>
              </w:rPr>
              <w:t>cm/s</w:t>
            </w:r>
            <w:r>
              <w:rPr>
                <w:rFonts w:hint="eastAsia"/>
                <w:bCs/>
                <w:sz w:val="22"/>
                <w:szCs w:val="22"/>
              </w:rPr>
              <w:t>，</w:t>
            </w:r>
            <w:r>
              <w:rPr>
                <w:bCs/>
                <w:sz w:val="22"/>
                <w:szCs w:val="22"/>
              </w:rPr>
              <w:t>本项目危险废物暂存间</w:t>
            </w:r>
            <w:r>
              <w:rPr>
                <w:rFonts w:hint="eastAsia"/>
                <w:bCs/>
                <w:sz w:val="22"/>
                <w:szCs w:val="22"/>
              </w:rPr>
              <w:t>已设置重点防渗</w:t>
            </w:r>
            <w:r>
              <w:rPr>
                <w:bCs/>
                <w:sz w:val="22"/>
                <w:szCs w:val="22"/>
              </w:rPr>
              <w:t>。</w:t>
            </w:r>
          </w:p>
          <w:p w14:paraId="45CF7B92">
            <w:pPr>
              <w:jc w:val="left"/>
              <w:rPr>
                <w:bCs/>
                <w:sz w:val="22"/>
                <w:szCs w:val="22"/>
              </w:rPr>
            </w:pPr>
            <w:r>
              <w:rPr>
                <w:bCs/>
                <w:sz w:val="22"/>
                <w:szCs w:val="22"/>
              </w:rPr>
              <w:t>一般防渗区：主要为</w:t>
            </w:r>
            <w:r>
              <w:rPr>
                <w:rFonts w:hint="eastAsia"/>
                <w:bCs/>
                <w:sz w:val="22"/>
                <w:szCs w:val="22"/>
              </w:rPr>
              <w:t>原料库和生产车间</w:t>
            </w:r>
            <w:r>
              <w:rPr>
                <w:bCs/>
                <w:sz w:val="22"/>
                <w:szCs w:val="22"/>
              </w:rPr>
              <w:t>其他区域。一般防渗区的防渗技术要求：等效黏土防渗层Mb≥1.5m，K≤10</w:t>
            </w:r>
            <w:r>
              <w:rPr>
                <w:bCs/>
                <w:sz w:val="22"/>
                <w:szCs w:val="22"/>
                <w:vertAlign w:val="superscript"/>
              </w:rPr>
              <w:t>-7</w:t>
            </w:r>
            <w:r>
              <w:rPr>
                <w:bCs/>
                <w:sz w:val="22"/>
                <w:szCs w:val="22"/>
              </w:rPr>
              <w:t>cm/s</w:t>
            </w:r>
            <w:r>
              <w:rPr>
                <w:rFonts w:hint="eastAsia"/>
                <w:bCs/>
                <w:sz w:val="22"/>
                <w:szCs w:val="22"/>
              </w:rPr>
              <w:t>，</w:t>
            </w:r>
            <w:r>
              <w:rPr>
                <w:bCs/>
                <w:sz w:val="22"/>
                <w:szCs w:val="22"/>
              </w:rPr>
              <w:t>企业现状</w:t>
            </w:r>
            <w:r>
              <w:rPr>
                <w:rFonts w:hint="eastAsia"/>
                <w:bCs/>
                <w:sz w:val="22"/>
                <w:szCs w:val="22"/>
              </w:rPr>
              <w:t>原料库</w:t>
            </w:r>
            <w:r>
              <w:rPr>
                <w:bCs/>
                <w:sz w:val="22"/>
                <w:szCs w:val="22"/>
              </w:rPr>
              <w:t>和生产车间为</w:t>
            </w:r>
            <w:r>
              <w:rPr>
                <w:rFonts w:hint="eastAsia"/>
                <w:bCs/>
                <w:sz w:val="22"/>
                <w:szCs w:val="22"/>
              </w:rPr>
              <w:t>抗渗混凝土，满足一般防渗要求，扩建原料库，拟做15cm抗渗混凝土进行防渗</w:t>
            </w:r>
            <w:r>
              <w:rPr>
                <w:bCs/>
                <w:sz w:val="22"/>
                <w:szCs w:val="22"/>
              </w:rPr>
              <w:t>。</w:t>
            </w:r>
          </w:p>
          <w:p w14:paraId="55D75ED9">
            <w:pPr>
              <w:adjustRightInd w:val="0"/>
              <w:jc w:val="left"/>
              <w:rPr>
                <w:sz w:val="22"/>
                <w:szCs w:val="22"/>
              </w:rPr>
            </w:pPr>
            <w:r>
              <w:rPr>
                <w:rFonts w:hint="eastAsia"/>
                <w:bCs/>
                <w:sz w:val="22"/>
                <w:szCs w:val="22"/>
              </w:rPr>
              <w:t>简单防渗：办公区，</w:t>
            </w:r>
            <w:r>
              <w:rPr>
                <w:bCs/>
                <w:sz w:val="22"/>
                <w:szCs w:val="22"/>
              </w:rPr>
              <w:t>简单防渗区的防渗技术要求：地面简单硬化</w:t>
            </w:r>
            <w:r>
              <w:rPr>
                <w:rFonts w:hint="eastAsia"/>
                <w:bCs/>
                <w:sz w:val="22"/>
                <w:szCs w:val="22"/>
              </w:rPr>
              <w:t>，办公室</w:t>
            </w:r>
            <w:r>
              <w:rPr>
                <w:bCs/>
                <w:sz w:val="22"/>
                <w:szCs w:val="22"/>
              </w:rPr>
              <w:t>现状已做地面硬化</w:t>
            </w:r>
          </w:p>
        </w:tc>
      </w:tr>
      <w:tr w14:paraId="3E5ABC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966" w:type="dxa"/>
            <w:noWrap w:val="0"/>
            <w:vAlign w:val="center"/>
          </w:tcPr>
          <w:p w14:paraId="12EF3535">
            <w:pPr>
              <w:adjustRightInd w:val="0"/>
              <w:jc w:val="center"/>
              <w:rPr>
                <w:sz w:val="24"/>
              </w:rPr>
            </w:pPr>
            <w:r>
              <w:rPr>
                <w:sz w:val="24"/>
              </w:rPr>
              <w:t>生态保护措施</w:t>
            </w:r>
          </w:p>
        </w:tc>
        <w:tc>
          <w:tcPr>
            <w:tcW w:w="8820" w:type="dxa"/>
            <w:gridSpan w:val="4"/>
            <w:noWrap w:val="0"/>
            <w:vAlign w:val="center"/>
          </w:tcPr>
          <w:p w14:paraId="307950CF">
            <w:pPr>
              <w:adjustRightInd w:val="0"/>
              <w:jc w:val="center"/>
              <w:rPr>
                <w:sz w:val="22"/>
                <w:szCs w:val="22"/>
              </w:rPr>
            </w:pPr>
            <w:r>
              <w:rPr>
                <w:sz w:val="22"/>
                <w:szCs w:val="22"/>
              </w:rPr>
              <w:t>/</w:t>
            </w:r>
          </w:p>
        </w:tc>
      </w:tr>
      <w:tr w14:paraId="2187B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6" w:type="dxa"/>
            <w:noWrap w:val="0"/>
            <w:vAlign w:val="center"/>
          </w:tcPr>
          <w:p w14:paraId="2E216A41">
            <w:pPr>
              <w:adjustRightInd w:val="0"/>
              <w:jc w:val="center"/>
              <w:rPr>
                <w:spacing w:val="-8"/>
                <w:sz w:val="24"/>
              </w:rPr>
            </w:pPr>
            <w:r>
              <w:rPr>
                <w:spacing w:val="-8"/>
                <w:sz w:val="24"/>
              </w:rPr>
              <w:t>环境风险防范措施</w:t>
            </w:r>
          </w:p>
        </w:tc>
        <w:tc>
          <w:tcPr>
            <w:tcW w:w="8820" w:type="dxa"/>
            <w:gridSpan w:val="4"/>
            <w:noWrap w:val="0"/>
            <w:vAlign w:val="center"/>
          </w:tcPr>
          <w:p w14:paraId="5D5EB35E">
            <w:pPr>
              <w:adjustRightInd w:val="0"/>
              <w:jc w:val="center"/>
              <w:rPr>
                <w:rFonts w:hint="eastAsia"/>
                <w:sz w:val="22"/>
                <w:szCs w:val="22"/>
              </w:rPr>
            </w:pPr>
            <w:r>
              <w:rPr>
                <w:sz w:val="22"/>
                <w:szCs w:val="22"/>
              </w:rPr>
              <w:t>危废暂存库内设置防渗托盘</w:t>
            </w:r>
            <w:r>
              <w:rPr>
                <w:rFonts w:hint="eastAsia"/>
                <w:sz w:val="22"/>
                <w:szCs w:val="22"/>
              </w:rPr>
              <w:t>等</w:t>
            </w:r>
          </w:p>
        </w:tc>
      </w:tr>
      <w:tr w14:paraId="209EC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966" w:type="dxa"/>
            <w:noWrap w:val="0"/>
            <w:vAlign w:val="center"/>
          </w:tcPr>
          <w:p w14:paraId="41B4BC82">
            <w:pPr>
              <w:adjustRightInd w:val="0"/>
              <w:jc w:val="center"/>
              <w:rPr>
                <w:spacing w:val="-8"/>
                <w:sz w:val="24"/>
              </w:rPr>
            </w:pPr>
            <w:r>
              <w:rPr>
                <w:spacing w:val="-8"/>
                <w:sz w:val="24"/>
              </w:rPr>
              <w:t>其他环境管理要求</w:t>
            </w:r>
          </w:p>
        </w:tc>
        <w:tc>
          <w:tcPr>
            <w:tcW w:w="8820" w:type="dxa"/>
            <w:gridSpan w:val="4"/>
            <w:noWrap w:val="0"/>
            <w:vAlign w:val="center"/>
          </w:tcPr>
          <w:p w14:paraId="57D21089">
            <w:pPr>
              <w:rPr>
                <w:rFonts w:hint="eastAsia"/>
                <w:sz w:val="22"/>
                <w:szCs w:val="22"/>
              </w:rPr>
            </w:pPr>
            <w:r>
              <w:rPr>
                <w:sz w:val="22"/>
                <w:szCs w:val="22"/>
              </w:rPr>
              <w:t>排污口规范化设置</w:t>
            </w:r>
            <w:r>
              <w:rPr>
                <w:rFonts w:hint="eastAsia"/>
                <w:sz w:val="22"/>
                <w:szCs w:val="22"/>
              </w:rPr>
              <w:t>：</w:t>
            </w:r>
          </w:p>
          <w:p w14:paraId="1BF92072">
            <w:pPr>
              <w:rPr>
                <w:sz w:val="22"/>
                <w:szCs w:val="22"/>
              </w:rPr>
            </w:pPr>
            <w:r>
              <w:rPr>
                <w:sz w:val="22"/>
                <w:szCs w:val="22"/>
              </w:rPr>
              <w:t>根据国家环保总局《关于开展排污口规范化整治试点工作的意见》、《关于加快排污口规范化整治试点工作的通知》和《安徽省污染源排放口规范化整治管理办法》精神，企业所有排放口(包括水、气、声、渣)必须按照“便于采集样品、便于计量监测、便于日常现场监督检查”的原则和规范化要求，排污口要立标管理，设立国家标准规定的标志牌，根据排污口污染物的排放特点，设置提示性或警告性环境保护图形标志牌，一般污染源设置提示性标志牌，毒性污染物设置警告性环境保护图形标志牌；绘制企业排污口分布图，对治理设施安装运行监控装置、排污口的规范化要符合有关要求。</w:t>
            </w:r>
          </w:p>
          <w:p w14:paraId="5368AFC3">
            <w:pPr>
              <w:adjustRightInd w:val="0"/>
              <w:ind w:firstLine="440" w:firstLineChars="200"/>
              <w:rPr>
                <w:sz w:val="22"/>
                <w:szCs w:val="22"/>
              </w:rPr>
            </w:pPr>
            <w:r>
              <w:rPr>
                <w:sz w:val="22"/>
                <w:szCs w:val="22"/>
              </w:rPr>
              <w:t>(1)按照GB15562.1-1995及GB15562.2-1995《环境保护图形标志》的规定，规范化设置</w:t>
            </w:r>
            <w:r>
              <w:rPr>
                <w:rFonts w:hint="eastAsia"/>
                <w:sz w:val="22"/>
                <w:szCs w:val="22"/>
              </w:rPr>
              <w:t>2</w:t>
            </w:r>
            <w:r>
              <w:rPr>
                <w:sz w:val="22"/>
                <w:szCs w:val="22"/>
              </w:rPr>
              <w:t>根废气排气筒、噪声排放口、一般固废堆场、危废库等。</w:t>
            </w:r>
          </w:p>
          <w:p w14:paraId="7124DD90">
            <w:pPr>
              <w:adjustRightInd w:val="0"/>
              <w:ind w:firstLine="440" w:firstLineChars="200"/>
              <w:rPr>
                <w:sz w:val="22"/>
                <w:szCs w:val="22"/>
              </w:rPr>
            </w:pPr>
            <w:r>
              <w:rPr>
                <w:sz w:val="22"/>
                <w:szCs w:val="22"/>
              </w:rPr>
              <w:t>对企业车间废气处理装置的排口分别设置平面固定式提示标志牌或树立式固定式提示标志牌，平面固定式标志牌为0.48cm×0.3cm的长方形冷轧钢板，树立式提示标志牌为0.42cm×0.42cm的正方形冷轧钢板，提示牌的背景和立柱为绿色，图案、边框、支架和铺助标志的文字为白色，文字字型为黑体，标志牌辅助标志内容包括排污单位名称、标志牌名称、排污口编号和主要污染物名称，并交付当地环保部门注明。</w:t>
            </w:r>
          </w:p>
          <w:p w14:paraId="0BB9CD01">
            <w:pPr>
              <w:ind w:firstLine="440" w:firstLineChars="200"/>
              <w:jc w:val="center"/>
              <w:rPr>
                <w:rFonts w:hint="eastAsia" w:ascii="黑体" w:hAnsi="黑体" w:eastAsia="黑体" w:cs="黑体"/>
                <w:b w:val="0"/>
                <w:bCs/>
                <w:sz w:val="22"/>
                <w:szCs w:val="22"/>
              </w:rPr>
            </w:pPr>
            <w:r>
              <w:rPr>
                <w:rFonts w:hint="eastAsia" w:ascii="黑体" w:hAnsi="黑体" w:eastAsia="黑体" w:cs="黑体"/>
                <w:b w:val="0"/>
                <w:bCs/>
                <w:sz w:val="22"/>
                <w:szCs w:val="22"/>
              </w:rPr>
              <w:t>表</w:t>
            </w:r>
            <w:r>
              <w:rPr>
                <w:rFonts w:hint="eastAsia" w:ascii="黑体" w:hAnsi="黑体" w:eastAsia="黑体" w:cs="黑体"/>
                <w:b w:val="0"/>
                <w:bCs/>
                <w:sz w:val="22"/>
                <w:szCs w:val="22"/>
                <w:lang w:val="en-US" w:eastAsia="zh-CN"/>
              </w:rPr>
              <w:t>5-1</w:t>
            </w:r>
            <w:r>
              <w:rPr>
                <w:rFonts w:hint="eastAsia" w:ascii="黑体" w:hAnsi="黑体" w:eastAsia="黑体" w:cs="黑体"/>
                <w:b w:val="0"/>
                <w:bCs/>
                <w:sz w:val="22"/>
                <w:szCs w:val="22"/>
              </w:rPr>
              <w:t>排污口图形标志牌</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599"/>
              <w:gridCol w:w="2439"/>
              <w:gridCol w:w="2515"/>
            </w:tblGrid>
            <w:tr w14:paraId="7674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exact"/>
                <w:jc w:val="center"/>
              </w:trPr>
              <w:tc>
                <w:tcPr>
                  <w:tcW w:w="984" w:type="dxa"/>
                  <w:noWrap w:val="0"/>
                  <w:vAlign w:val="center"/>
                </w:tcPr>
                <w:p w14:paraId="56F1FDD3">
                  <w:pPr>
                    <w:widowControl/>
                    <w:jc w:val="center"/>
                    <w:rPr>
                      <w:kern w:val="0"/>
                      <w:sz w:val="22"/>
                      <w:szCs w:val="22"/>
                    </w:rPr>
                  </w:pPr>
                  <w:r>
                    <w:rPr>
                      <w:kern w:val="0"/>
                      <w:sz w:val="22"/>
                      <w:szCs w:val="22"/>
                    </w:rPr>
                    <w:t>序号</w:t>
                  </w:r>
                </w:p>
              </w:tc>
              <w:tc>
                <w:tcPr>
                  <w:tcW w:w="2599" w:type="dxa"/>
                  <w:noWrap w:val="0"/>
                  <w:vAlign w:val="center"/>
                </w:tcPr>
                <w:p w14:paraId="6D094227">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提示性图形符号</w:t>
                  </w:r>
                </w:p>
              </w:tc>
              <w:tc>
                <w:tcPr>
                  <w:tcW w:w="2439" w:type="dxa"/>
                  <w:noWrap w:val="0"/>
                  <w:vAlign w:val="center"/>
                </w:tcPr>
                <w:p w14:paraId="602C31B1">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警告图形符号</w:t>
                  </w:r>
                </w:p>
              </w:tc>
              <w:tc>
                <w:tcPr>
                  <w:tcW w:w="2515" w:type="dxa"/>
                  <w:noWrap w:val="0"/>
                  <w:vAlign w:val="center"/>
                </w:tcPr>
                <w:p w14:paraId="5DB28E94">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排放口及堆场</w:t>
                  </w:r>
                </w:p>
              </w:tc>
            </w:tr>
            <w:tr w14:paraId="042F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jc w:val="center"/>
              </w:trPr>
              <w:tc>
                <w:tcPr>
                  <w:tcW w:w="984" w:type="dxa"/>
                  <w:noWrap w:val="0"/>
                  <w:vAlign w:val="center"/>
                </w:tcPr>
                <w:p w14:paraId="285BDC05">
                  <w:pPr>
                    <w:jc w:val="center"/>
                    <w:rPr>
                      <w:rFonts w:hint="eastAsia"/>
                      <w:sz w:val="22"/>
                      <w:szCs w:val="22"/>
                    </w:rPr>
                  </w:pPr>
                  <w:r>
                    <w:rPr>
                      <w:rFonts w:hint="eastAsia"/>
                      <w:sz w:val="22"/>
                      <w:szCs w:val="22"/>
                    </w:rPr>
                    <w:t>1</w:t>
                  </w:r>
                </w:p>
              </w:tc>
              <w:tc>
                <w:tcPr>
                  <w:tcW w:w="2599" w:type="dxa"/>
                  <w:noWrap w:val="0"/>
                  <w:vAlign w:val="center"/>
                </w:tcPr>
                <w:p w14:paraId="7231F1A7">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drawing>
                      <wp:inline distT="0" distB="0" distL="114300" distR="114300">
                        <wp:extent cx="638175" cy="625475"/>
                        <wp:effectExtent l="0" t="0" r="9525" b="3175"/>
                        <wp:docPr id="178"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9" descr="IMG_256"/>
                                <pic:cNvPicPr>
                                  <a:picLocks noChangeAspect="1"/>
                                </pic:cNvPicPr>
                              </pic:nvPicPr>
                              <pic:blipFill>
                                <a:blip r:embed="rId24"/>
                                <a:stretch>
                                  <a:fillRect/>
                                </a:stretch>
                              </pic:blipFill>
                              <pic:spPr>
                                <a:xfrm>
                                  <a:off x="0" y="0"/>
                                  <a:ext cx="638175" cy="625475"/>
                                </a:xfrm>
                                <a:prstGeom prst="rect">
                                  <a:avLst/>
                                </a:prstGeom>
                                <a:noFill/>
                                <a:ln>
                                  <a:noFill/>
                                </a:ln>
                              </pic:spPr>
                            </pic:pic>
                          </a:graphicData>
                        </a:graphic>
                      </wp:inline>
                    </w:drawing>
                  </w:r>
                </w:p>
              </w:tc>
              <w:tc>
                <w:tcPr>
                  <w:tcW w:w="2439" w:type="dxa"/>
                  <w:noWrap w:val="0"/>
                  <w:vAlign w:val="center"/>
                </w:tcPr>
                <w:p w14:paraId="5D59ABB7">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drawing>
                      <wp:inline distT="0" distB="0" distL="114300" distR="114300">
                        <wp:extent cx="648335" cy="466725"/>
                        <wp:effectExtent l="0" t="0" r="18415" b="9525"/>
                        <wp:docPr id="179" name="图片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40" descr="IMG_256"/>
                                <pic:cNvPicPr>
                                  <a:picLocks noChangeAspect="1"/>
                                </pic:cNvPicPr>
                              </pic:nvPicPr>
                              <pic:blipFill>
                                <a:blip r:embed="rId25"/>
                                <a:stretch>
                                  <a:fillRect/>
                                </a:stretch>
                              </pic:blipFill>
                              <pic:spPr>
                                <a:xfrm>
                                  <a:off x="0" y="0"/>
                                  <a:ext cx="648335" cy="466725"/>
                                </a:xfrm>
                                <a:prstGeom prst="rect">
                                  <a:avLst/>
                                </a:prstGeom>
                                <a:noFill/>
                                <a:ln>
                                  <a:noFill/>
                                </a:ln>
                              </pic:spPr>
                            </pic:pic>
                          </a:graphicData>
                        </a:graphic>
                      </wp:inline>
                    </w:drawing>
                  </w:r>
                </w:p>
              </w:tc>
              <w:tc>
                <w:tcPr>
                  <w:tcW w:w="2515" w:type="dxa"/>
                  <w:noWrap w:val="0"/>
                  <w:vAlign w:val="center"/>
                </w:tcPr>
                <w:p w14:paraId="361DC3A5">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废气排放(表示废气向大气环境排放)</w:t>
                  </w:r>
                </w:p>
              </w:tc>
            </w:tr>
            <w:tr w14:paraId="4B73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84" w:type="dxa"/>
                  <w:noWrap w:val="0"/>
                  <w:vAlign w:val="center"/>
                </w:tcPr>
                <w:p w14:paraId="585AA649">
                  <w:pPr>
                    <w:jc w:val="center"/>
                    <w:rPr>
                      <w:rFonts w:hint="eastAsia"/>
                      <w:kern w:val="0"/>
                      <w:sz w:val="22"/>
                      <w:szCs w:val="22"/>
                    </w:rPr>
                  </w:pPr>
                  <w:r>
                    <w:rPr>
                      <w:rFonts w:hint="eastAsia"/>
                      <w:kern w:val="0"/>
                      <w:sz w:val="22"/>
                      <w:szCs w:val="22"/>
                    </w:rPr>
                    <w:t>2</w:t>
                  </w:r>
                </w:p>
              </w:tc>
              <w:tc>
                <w:tcPr>
                  <w:tcW w:w="2599" w:type="dxa"/>
                  <w:noWrap w:val="0"/>
                  <w:vAlign w:val="center"/>
                </w:tcPr>
                <w:p w14:paraId="669F6B30">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drawing>
                      <wp:inline distT="0" distB="0" distL="114300" distR="114300">
                        <wp:extent cx="599440" cy="563880"/>
                        <wp:effectExtent l="0" t="0" r="10160" b="7620"/>
                        <wp:docPr id="180"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41" descr="IMG_256"/>
                                <pic:cNvPicPr>
                                  <a:picLocks noChangeAspect="1"/>
                                </pic:cNvPicPr>
                              </pic:nvPicPr>
                              <pic:blipFill>
                                <a:blip r:embed="rId26"/>
                                <a:stretch>
                                  <a:fillRect/>
                                </a:stretch>
                              </pic:blipFill>
                              <pic:spPr>
                                <a:xfrm>
                                  <a:off x="0" y="0"/>
                                  <a:ext cx="599440" cy="563880"/>
                                </a:xfrm>
                                <a:prstGeom prst="rect">
                                  <a:avLst/>
                                </a:prstGeom>
                                <a:noFill/>
                                <a:ln>
                                  <a:noFill/>
                                </a:ln>
                              </pic:spPr>
                            </pic:pic>
                          </a:graphicData>
                        </a:graphic>
                      </wp:inline>
                    </w:drawing>
                  </w:r>
                </w:p>
              </w:tc>
              <w:tc>
                <w:tcPr>
                  <w:tcW w:w="2439" w:type="dxa"/>
                  <w:noWrap w:val="0"/>
                  <w:vAlign w:val="center"/>
                </w:tcPr>
                <w:p w14:paraId="39788A3C">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drawing>
                      <wp:inline distT="0" distB="0" distL="114300" distR="114300">
                        <wp:extent cx="581025" cy="476250"/>
                        <wp:effectExtent l="0" t="0" r="9525" b="0"/>
                        <wp:docPr id="181" name="图片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42" descr="IMG_256"/>
                                <pic:cNvPicPr>
                                  <a:picLocks noChangeAspect="1"/>
                                </pic:cNvPicPr>
                              </pic:nvPicPr>
                              <pic:blipFill>
                                <a:blip r:embed="rId27"/>
                                <a:stretch>
                                  <a:fillRect/>
                                </a:stretch>
                              </pic:blipFill>
                              <pic:spPr>
                                <a:xfrm>
                                  <a:off x="0" y="0"/>
                                  <a:ext cx="581025" cy="476250"/>
                                </a:xfrm>
                                <a:prstGeom prst="rect">
                                  <a:avLst/>
                                </a:prstGeom>
                                <a:noFill/>
                                <a:ln>
                                  <a:noFill/>
                                </a:ln>
                              </pic:spPr>
                            </pic:pic>
                          </a:graphicData>
                        </a:graphic>
                      </wp:inline>
                    </w:drawing>
                  </w:r>
                </w:p>
              </w:tc>
              <w:tc>
                <w:tcPr>
                  <w:tcW w:w="2515" w:type="dxa"/>
                  <w:noWrap w:val="0"/>
                  <w:vAlign w:val="center"/>
                </w:tcPr>
                <w:p w14:paraId="13B158C0">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噪声排放源</w:t>
                  </w:r>
                </w:p>
              </w:tc>
            </w:tr>
            <w:tr w14:paraId="6774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exact"/>
                <w:jc w:val="center"/>
              </w:trPr>
              <w:tc>
                <w:tcPr>
                  <w:tcW w:w="984" w:type="dxa"/>
                  <w:noWrap w:val="0"/>
                  <w:vAlign w:val="center"/>
                </w:tcPr>
                <w:p w14:paraId="50462973">
                  <w:pPr>
                    <w:jc w:val="center"/>
                    <w:rPr>
                      <w:rFonts w:hint="eastAsia"/>
                      <w:kern w:val="0"/>
                      <w:sz w:val="22"/>
                      <w:szCs w:val="22"/>
                    </w:rPr>
                  </w:pPr>
                  <w:r>
                    <w:rPr>
                      <w:rFonts w:hint="eastAsia"/>
                      <w:kern w:val="0"/>
                      <w:sz w:val="22"/>
                      <w:szCs w:val="22"/>
                    </w:rPr>
                    <w:t>3</w:t>
                  </w:r>
                </w:p>
              </w:tc>
              <w:tc>
                <w:tcPr>
                  <w:tcW w:w="2599" w:type="dxa"/>
                  <w:noWrap w:val="0"/>
                  <w:vAlign w:val="center"/>
                </w:tcPr>
                <w:p w14:paraId="72EE1D52">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drawing>
                      <wp:inline distT="0" distB="0" distL="114300" distR="114300">
                        <wp:extent cx="643255" cy="542925"/>
                        <wp:effectExtent l="0" t="0" r="4445" b="9525"/>
                        <wp:docPr id="182" name="图片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3" descr="IMG_256"/>
                                <pic:cNvPicPr>
                                  <a:picLocks noChangeAspect="1"/>
                                </pic:cNvPicPr>
                              </pic:nvPicPr>
                              <pic:blipFill>
                                <a:blip r:embed="rId28"/>
                                <a:stretch>
                                  <a:fillRect/>
                                </a:stretch>
                              </pic:blipFill>
                              <pic:spPr>
                                <a:xfrm>
                                  <a:off x="0" y="0"/>
                                  <a:ext cx="643255" cy="542925"/>
                                </a:xfrm>
                                <a:prstGeom prst="rect">
                                  <a:avLst/>
                                </a:prstGeom>
                                <a:noFill/>
                                <a:ln>
                                  <a:noFill/>
                                </a:ln>
                              </pic:spPr>
                            </pic:pic>
                          </a:graphicData>
                        </a:graphic>
                      </wp:inline>
                    </w:drawing>
                  </w:r>
                </w:p>
              </w:tc>
              <w:tc>
                <w:tcPr>
                  <w:tcW w:w="2439" w:type="dxa"/>
                  <w:noWrap w:val="0"/>
                  <w:vAlign w:val="center"/>
                </w:tcPr>
                <w:p w14:paraId="38827271">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drawing>
                      <wp:inline distT="0" distB="0" distL="114300" distR="114300">
                        <wp:extent cx="666750" cy="476250"/>
                        <wp:effectExtent l="0" t="0" r="0" b="0"/>
                        <wp:docPr id="183" name="图片 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44" descr="IMG_256"/>
                                <pic:cNvPicPr>
                                  <a:picLocks noChangeAspect="1"/>
                                </pic:cNvPicPr>
                              </pic:nvPicPr>
                              <pic:blipFill>
                                <a:blip r:embed="rId29"/>
                                <a:stretch>
                                  <a:fillRect/>
                                </a:stretch>
                              </pic:blipFill>
                              <pic:spPr>
                                <a:xfrm>
                                  <a:off x="0" y="0"/>
                                  <a:ext cx="666750" cy="476250"/>
                                </a:xfrm>
                                <a:prstGeom prst="rect">
                                  <a:avLst/>
                                </a:prstGeom>
                                <a:noFill/>
                                <a:ln>
                                  <a:noFill/>
                                </a:ln>
                              </pic:spPr>
                            </pic:pic>
                          </a:graphicData>
                        </a:graphic>
                      </wp:inline>
                    </w:drawing>
                  </w:r>
                </w:p>
              </w:tc>
              <w:tc>
                <w:tcPr>
                  <w:tcW w:w="2515" w:type="dxa"/>
                  <w:noWrap w:val="0"/>
                  <w:vAlign w:val="center"/>
                </w:tcPr>
                <w:p w14:paraId="0AF0C576">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一般固体废物</w:t>
                  </w:r>
                </w:p>
              </w:tc>
            </w:tr>
            <w:tr w14:paraId="27C5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jc w:val="center"/>
              </w:trPr>
              <w:tc>
                <w:tcPr>
                  <w:tcW w:w="984" w:type="dxa"/>
                  <w:noWrap w:val="0"/>
                  <w:vAlign w:val="center"/>
                </w:tcPr>
                <w:p w14:paraId="517257F2">
                  <w:pPr>
                    <w:jc w:val="center"/>
                    <w:rPr>
                      <w:rFonts w:hint="eastAsia"/>
                      <w:kern w:val="0"/>
                      <w:sz w:val="22"/>
                      <w:szCs w:val="22"/>
                    </w:rPr>
                  </w:pPr>
                  <w:r>
                    <w:rPr>
                      <w:rFonts w:hint="eastAsia"/>
                      <w:kern w:val="0"/>
                      <w:sz w:val="22"/>
                      <w:szCs w:val="22"/>
                    </w:rPr>
                    <w:t>4</w:t>
                  </w:r>
                </w:p>
              </w:tc>
              <w:tc>
                <w:tcPr>
                  <w:tcW w:w="2599" w:type="dxa"/>
                  <w:noWrap w:val="0"/>
                  <w:vAlign w:val="center"/>
                </w:tcPr>
                <w:p w14:paraId="384E7AE2">
                  <w:pPr>
                    <w:pStyle w:val="203"/>
                    <w:spacing w:line="240" w:lineRule="auto"/>
                    <w:ind w:left="240" w:hanging="240"/>
                    <w:jc w:val="center"/>
                    <w:outlineLvl w:val="1"/>
                    <w:rPr>
                      <w:rFonts w:ascii="Times New Roman" w:hAnsi="Times New Roman" w:eastAsia="宋体"/>
                      <w:kern w:val="0"/>
                      <w:sz w:val="22"/>
                      <w:szCs w:val="22"/>
                    </w:rPr>
                  </w:pPr>
                </w:p>
              </w:tc>
              <w:tc>
                <w:tcPr>
                  <w:tcW w:w="2439" w:type="dxa"/>
                  <w:noWrap w:val="0"/>
                  <w:vAlign w:val="center"/>
                </w:tcPr>
                <w:p w14:paraId="05A79F44">
                  <w:pPr>
                    <w:pStyle w:val="203"/>
                    <w:spacing w:line="240" w:lineRule="auto"/>
                    <w:ind w:left="210" w:hanging="210"/>
                    <w:jc w:val="center"/>
                    <w:outlineLvl w:val="1"/>
                    <w:rPr>
                      <w:rFonts w:ascii="Times New Roman" w:hAnsi="Times New Roman" w:eastAsia="宋体"/>
                      <w:kern w:val="0"/>
                      <w:sz w:val="22"/>
                      <w:szCs w:val="22"/>
                    </w:rPr>
                  </w:pPr>
                  <w:r>
                    <w:rPr>
                      <w:rFonts w:ascii="Times New Roman" w:hAnsi="Times New Roman"/>
                      <w:spacing w:val="-2"/>
                      <w:kern w:val="2"/>
                      <w:sz w:val="20"/>
                      <w:szCs w:val="20"/>
                    </w:rPr>
                    <w:drawing>
                      <wp:inline distT="0" distB="0" distL="114300" distR="114300">
                        <wp:extent cx="666750" cy="527685"/>
                        <wp:effectExtent l="0" t="0" r="0" b="5715"/>
                        <wp:docPr id="184" name="图片 47" descr="5[GH5T597V}4NCI(}UJT3[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47" descr="5[GH5T597V}4NCI(}UJT3[R.png"/>
                                <pic:cNvPicPr>
                                  <a:picLocks noChangeAspect="1"/>
                                </pic:cNvPicPr>
                              </pic:nvPicPr>
                              <pic:blipFill>
                                <a:blip r:embed="rId30"/>
                                <a:stretch>
                                  <a:fillRect/>
                                </a:stretch>
                              </pic:blipFill>
                              <pic:spPr>
                                <a:xfrm>
                                  <a:off x="0" y="0"/>
                                  <a:ext cx="666750" cy="527685"/>
                                </a:xfrm>
                                <a:prstGeom prst="rect">
                                  <a:avLst/>
                                </a:prstGeom>
                                <a:noFill/>
                                <a:ln>
                                  <a:noFill/>
                                </a:ln>
                              </pic:spPr>
                            </pic:pic>
                          </a:graphicData>
                        </a:graphic>
                      </wp:inline>
                    </w:drawing>
                  </w:r>
                </w:p>
              </w:tc>
              <w:tc>
                <w:tcPr>
                  <w:tcW w:w="2515" w:type="dxa"/>
                  <w:noWrap w:val="0"/>
                  <w:vAlign w:val="center"/>
                </w:tcPr>
                <w:p w14:paraId="59A3E289">
                  <w:pPr>
                    <w:pStyle w:val="203"/>
                    <w:spacing w:line="240" w:lineRule="auto"/>
                    <w:ind w:left="240" w:hanging="240"/>
                    <w:jc w:val="center"/>
                    <w:outlineLvl w:val="1"/>
                    <w:rPr>
                      <w:rFonts w:ascii="Times New Roman" w:hAnsi="Times New Roman" w:eastAsia="宋体"/>
                      <w:kern w:val="0"/>
                      <w:sz w:val="22"/>
                      <w:szCs w:val="22"/>
                    </w:rPr>
                  </w:pPr>
                  <w:r>
                    <w:rPr>
                      <w:rFonts w:ascii="Times New Roman" w:hAnsi="Times New Roman" w:eastAsia="宋体"/>
                      <w:kern w:val="0"/>
                      <w:sz w:val="22"/>
                      <w:szCs w:val="22"/>
                    </w:rPr>
                    <w:t>危险废物</w:t>
                  </w:r>
                </w:p>
              </w:tc>
            </w:tr>
          </w:tbl>
          <w:p w14:paraId="6E07E6BA">
            <w:pPr>
              <w:adjustRightInd w:val="0"/>
              <w:ind w:firstLine="440" w:firstLineChars="200"/>
              <w:rPr>
                <w:sz w:val="22"/>
                <w:szCs w:val="22"/>
              </w:rPr>
            </w:pPr>
            <w:r>
              <w:rPr>
                <w:sz w:val="22"/>
                <w:szCs w:val="22"/>
              </w:rPr>
              <w:t>(2)按照要求填写由原国家环保部统一印制的《中华人民共和国规范化排污口标志登记证》。</w:t>
            </w:r>
          </w:p>
          <w:p w14:paraId="7A2C765B">
            <w:pPr>
              <w:adjustRightInd w:val="0"/>
              <w:ind w:firstLine="440" w:firstLineChars="200"/>
              <w:rPr>
                <w:sz w:val="22"/>
                <w:szCs w:val="22"/>
              </w:rPr>
            </w:pPr>
            <w:r>
              <w:rPr>
                <w:sz w:val="22"/>
                <w:szCs w:val="22"/>
              </w:rPr>
              <w:t>(3)规范化设置的排污口有关设置属于环境保护设施，应将其纳入本单位设备管理，并选派具有专业知识的专职或兼职人员对排污口进行管理。</w:t>
            </w:r>
          </w:p>
          <w:p w14:paraId="42C70885">
            <w:pPr>
              <w:adjustRightInd w:val="0"/>
              <w:ind w:firstLine="440" w:firstLineChars="200"/>
              <w:rPr>
                <w:sz w:val="22"/>
                <w:szCs w:val="22"/>
              </w:rPr>
            </w:pPr>
            <w:r>
              <w:rPr>
                <w:sz w:val="22"/>
                <w:szCs w:val="22"/>
              </w:rPr>
              <w:t>另外，项目建成投入运行后，应向环保主管部门进行排污申报。</w:t>
            </w:r>
          </w:p>
          <w:p w14:paraId="47A60BEB">
            <w:pPr>
              <w:adjustRightInd w:val="0"/>
              <w:ind w:firstLine="440" w:firstLineChars="200"/>
              <w:rPr>
                <w:sz w:val="22"/>
                <w:szCs w:val="22"/>
              </w:rPr>
            </w:pPr>
          </w:p>
          <w:p w14:paraId="49D459B4">
            <w:pPr>
              <w:adjustRightInd w:val="0"/>
              <w:ind w:firstLine="440" w:firstLineChars="200"/>
              <w:rPr>
                <w:rFonts w:hint="eastAsia"/>
                <w:sz w:val="22"/>
                <w:szCs w:val="22"/>
              </w:rPr>
            </w:pPr>
          </w:p>
          <w:p w14:paraId="2DB21BBD">
            <w:pPr>
              <w:adjustRightInd w:val="0"/>
              <w:jc w:val="center"/>
              <w:rPr>
                <w:rFonts w:hint="eastAsia"/>
                <w:sz w:val="22"/>
                <w:szCs w:val="22"/>
                <w:lang w:val="en-US" w:eastAsia="zh-CN"/>
              </w:rPr>
            </w:pPr>
          </w:p>
          <w:p w14:paraId="6271BC46">
            <w:pPr>
              <w:adjustRightInd w:val="0"/>
              <w:jc w:val="center"/>
              <w:rPr>
                <w:rFonts w:hint="eastAsia"/>
                <w:sz w:val="22"/>
                <w:szCs w:val="22"/>
                <w:lang w:val="en-US" w:eastAsia="zh-CN"/>
              </w:rPr>
            </w:pPr>
          </w:p>
          <w:p w14:paraId="029410D5">
            <w:pPr>
              <w:adjustRightInd w:val="0"/>
              <w:jc w:val="center"/>
              <w:rPr>
                <w:rFonts w:hint="eastAsia"/>
                <w:sz w:val="22"/>
                <w:szCs w:val="22"/>
                <w:lang w:val="en-US" w:eastAsia="zh-CN"/>
              </w:rPr>
            </w:pPr>
          </w:p>
          <w:p w14:paraId="06375629">
            <w:pPr>
              <w:adjustRightInd w:val="0"/>
              <w:jc w:val="center"/>
              <w:rPr>
                <w:rFonts w:hint="eastAsia"/>
                <w:sz w:val="22"/>
                <w:szCs w:val="22"/>
                <w:lang w:val="en-US" w:eastAsia="zh-CN"/>
              </w:rPr>
            </w:pPr>
          </w:p>
          <w:p w14:paraId="0B742883">
            <w:pPr>
              <w:adjustRightInd w:val="0"/>
              <w:jc w:val="center"/>
              <w:rPr>
                <w:rFonts w:hint="eastAsia"/>
                <w:sz w:val="22"/>
                <w:szCs w:val="22"/>
                <w:lang w:val="en-US" w:eastAsia="zh-CN"/>
              </w:rPr>
            </w:pPr>
          </w:p>
          <w:p w14:paraId="69ED8039">
            <w:pPr>
              <w:adjustRightInd w:val="0"/>
              <w:jc w:val="center"/>
              <w:rPr>
                <w:rFonts w:hint="eastAsia" w:eastAsia="宋体"/>
                <w:sz w:val="22"/>
                <w:szCs w:val="22"/>
                <w:lang w:val="en-US" w:eastAsia="zh-CN"/>
              </w:rPr>
            </w:pPr>
          </w:p>
        </w:tc>
      </w:tr>
    </w:tbl>
    <w:p w14:paraId="22D97267">
      <w:pPr>
        <w:pStyle w:val="34"/>
        <w:spacing w:before="120" w:beforeLines="50" w:beforeAutospacing="0" w:after="0" w:afterAutospacing="0" w:line="360" w:lineRule="auto"/>
        <w:jc w:val="center"/>
        <w:outlineLvl w:val="0"/>
        <w:rPr>
          <w:rFonts w:ascii="Times New Roman" w:hAnsi="Times New Roman"/>
          <w:snapToGrid w:val="0"/>
        </w:rPr>
        <w:sectPr>
          <w:headerReference r:id="rId10" w:type="default"/>
          <w:pgSz w:w="11906" w:h="16838"/>
          <w:pgMar w:top="1440" w:right="1440" w:bottom="1440" w:left="1440" w:header="851" w:footer="851" w:gutter="0"/>
          <w:pgNumType w:fmt="numberInDash"/>
          <w:cols w:space="720" w:num="1"/>
          <w:docGrid w:linePitch="312" w:charSpace="0"/>
        </w:sectPr>
      </w:pPr>
    </w:p>
    <w:p w14:paraId="3A292617">
      <w:pPr>
        <w:pStyle w:val="34"/>
        <w:spacing w:before="120" w:beforeLines="50" w:beforeAutospacing="0" w:after="0" w:afterAutospacing="0" w:line="360" w:lineRule="auto"/>
        <w:jc w:val="center"/>
        <w:outlineLvl w:val="0"/>
        <w:rPr>
          <w:rFonts w:ascii="Times New Roman" w:hAnsi="Times New Roman" w:eastAsia="黑体"/>
          <w:snapToGrid w:val="0"/>
          <w:sz w:val="30"/>
          <w:szCs w:val="30"/>
        </w:rPr>
      </w:pPr>
      <w:bookmarkStart w:id="24" w:name="_Toc67775556"/>
      <w:r>
        <w:rPr>
          <w:rFonts w:ascii="Times New Roman" w:hAnsi="Times New Roman" w:eastAsia="黑体"/>
          <w:snapToGrid w:val="0"/>
          <w:sz w:val="28"/>
          <w:szCs w:val="28"/>
        </w:rPr>
        <w:t>六、结论</w:t>
      </w:r>
      <w:bookmarkEnd w:id="24"/>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181F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96" w:hRule="atLeast"/>
          <w:jc w:val="center"/>
        </w:trPr>
        <w:tc>
          <w:tcPr>
            <w:tcW w:w="8865" w:type="dxa"/>
            <w:noWrap w:val="0"/>
            <w:vAlign w:val="top"/>
          </w:tcPr>
          <w:p w14:paraId="64791CBB">
            <w:pPr>
              <w:spacing w:line="460" w:lineRule="exact"/>
              <w:ind w:firstLine="480" w:firstLineChars="200"/>
              <w:rPr>
                <w:sz w:val="24"/>
              </w:rPr>
            </w:pPr>
            <w:r>
              <w:rPr>
                <w:rFonts w:hint="eastAsia"/>
                <w:sz w:val="24"/>
              </w:rPr>
              <w:t>凤台县粹彬墙体材料有限公司煤矸石烧结砖技术改造项目</w:t>
            </w:r>
            <w:r>
              <w:rPr>
                <w:sz w:val="24"/>
              </w:rPr>
              <w:t>符合国家产业政策，选址可行。在落实报告中提出的各项环保措施前提下，可实现污染物达标排放，排放的主要污染物量符合总量控制指标要求。项目建设对环境的不利影响可得到有效控制和缓解，不会降低评价区域原有环境质量功能级别，因而从环境</w:t>
            </w:r>
            <w:r>
              <w:rPr>
                <w:rFonts w:hint="eastAsia"/>
                <w:sz w:val="24"/>
              </w:rPr>
              <w:t>保护</w:t>
            </w:r>
            <w:r>
              <w:rPr>
                <w:sz w:val="24"/>
              </w:rPr>
              <w:t>角度而言，该项目建设可行。</w:t>
            </w:r>
          </w:p>
        </w:tc>
      </w:tr>
    </w:tbl>
    <w:p w14:paraId="1D5A0302">
      <w:pPr>
        <w:sectPr>
          <w:headerReference r:id="rId11" w:type="default"/>
          <w:pgSz w:w="11906" w:h="16838"/>
          <w:pgMar w:top="1440" w:right="1440" w:bottom="1440" w:left="1440" w:header="851" w:footer="851" w:gutter="0"/>
          <w:pgNumType w:fmt="numberInDash"/>
          <w:cols w:space="720" w:num="1"/>
          <w:docGrid w:linePitch="312" w:charSpace="0"/>
        </w:sectPr>
      </w:pPr>
    </w:p>
    <w:p w14:paraId="152D2798">
      <w:pPr>
        <w:pStyle w:val="34"/>
        <w:adjustRightInd w:val="0"/>
        <w:snapToGrid w:val="0"/>
        <w:spacing w:before="0" w:beforeAutospacing="0" w:after="0" w:afterAutospacing="0" w:line="460" w:lineRule="exact"/>
        <w:jc w:val="both"/>
        <w:outlineLvl w:val="0"/>
        <w:rPr>
          <w:rFonts w:hint="eastAsia" w:ascii="Times New Roman" w:hAnsi="Times New Roman" w:eastAsia="黑体"/>
          <w:snapToGrid w:val="0"/>
          <w:sz w:val="32"/>
          <w:szCs w:val="32"/>
          <w:lang w:val="en-US" w:eastAsia="zh-CN"/>
        </w:rPr>
      </w:pPr>
      <w:r>
        <w:rPr>
          <w:rFonts w:ascii="Times New Roman" w:hAnsi="Times New Roman" w:eastAsia="黑体"/>
          <w:snapToGrid w:val="0"/>
          <w:sz w:val="32"/>
          <w:szCs w:val="32"/>
        </w:rPr>
        <w:t>附表</w:t>
      </w:r>
      <w:r>
        <w:rPr>
          <w:rFonts w:hint="eastAsia" w:ascii="Times New Roman" w:hAnsi="Times New Roman" w:eastAsia="黑体"/>
          <w:snapToGrid w:val="0"/>
          <w:sz w:val="32"/>
          <w:szCs w:val="32"/>
          <w:lang w:val="en-US" w:eastAsia="zh-CN"/>
        </w:rPr>
        <w:t>一</w:t>
      </w:r>
    </w:p>
    <w:p w14:paraId="0568D578">
      <w:pPr>
        <w:pStyle w:val="34"/>
        <w:adjustRightInd w:val="0"/>
        <w:snapToGrid w:val="0"/>
        <w:spacing w:before="0" w:beforeAutospacing="0" w:after="0" w:afterAutospacing="0" w:line="460" w:lineRule="exact"/>
        <w:jc w:val="center"/>
        <w:rPr>
          <w:rFonts w:ascii="Times New Roman" w:hAnsi="Times New Roman" w:eastAsia="方正小标宋_GBK"/>
          <w:snapToGrid w:val="0"/>
          <w:sz w:val="28"/>
          <w:szCs w:val="28"/>
        </w:rPr>
      </w:pPr>
      <w:bookmarkStart w:id="25" w:name="_Toc67775558"/>
      <w:r>
        <w:rPr>
          <w:rFonts w:ascii="Times New Roman" w:hAnsi="Times New Roman" w:eastAsia="方正小标宋_GBK"/>
          <w:snapToGrid w:val="0"/>
          <w:sz w:val="28"/>
          <w:szCs w:val="28"/>
        </w:rPr>
        <w:t>建设项目污染物排放量汇总表</w:t>
      </w:r>
      <w:bookmarkEnd w:id="25"/>
      <w:r>
        <w:rPr>
          <w:rFonts w:hint="eastAsia" w:ascii="Times New Roman" w:hAnsi="Times New Roman" w:eastAsia="方正小标宋_GBK"/>
          <w:snapToGrid w:val="0"/>
          <w:sz w:val="28"/>
          <w:szCs w:val="28"/>
        </w:rPr>
        <w:t>单位：t/a</w:t>
      </w:r>
    </w:p>
    <w:tbl>
      <w:tblPr>
        <w:tblStyle w:val="38"/>
        <w:tblW w:w="1399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81"/>
        <w:gridCol w:w="1709"/>
        <w:gridCol w:w="1693"/>
        <w:gridCol w:w="1270"/>
        <w:gridCol w:w="1693"/>
        <w:gridCol w:w="1551"/>
        <w:gridCol w:w="1751"/>
        <w:gridCol w:w="1800"/>
        <w:gridCol w:w="1248"/>
      </w:tblGrid>
      <w:tr w14:paraId="4D9B5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281" w:type="dxa"/>
            <w:tcBorders>
              <w:tl2br w:val="single" w:color="auto" w:sz="4" w:space="0"/>
            </w:tcBorders>
            <w:noWrap w:val="0"/>
            <w:tcMar>
              <w:left w:w="28" w:type="dxa"/>
              <w:right w:w="28" w:type="dxa"/>
            </w:tcMar>
            <w:vAlign w:val="center"/>
          </w:tcPr>
          <w:p w14:paraId="416D9DE0">
            <w:pPr>
              <w:pStyle w:val="88"/>
              <w:spacing w:beforeLines="0" w:afterLines="0" w:line="240" w:lineRule="auto"/>
              <w:ind w:firstLine="458"/>
              <w:rPr>
                <w:rFonts w:hint="eastAsia" w:cs="宋体"/>
                <w:snapToGrid w:val="0"/>
                <w:spacing w:val="-6"/>
                <w:kern w:val="21"/>
                <w:szCs w:val="24"/>
              </w:rPr>
            </w:pPr>
            <w:r>
              <w:rPr>
                <w:rFonts w:hint="eastAsia" w:cs="宋体"/>
                <w:snapToGrid w:val="0"/>
                <w:spacing w:val="-6"/>
                <w:kern w:val="21"/>
                <w:szCs w:val="24"/>
              </w:rPr>
              <w:t>项目</w:t>
            </w:r>
          </w:p>
          <w:p w14:paraId="238F679E">
            <w:pPr>
              <w:pStyle w:val="88"/>
              <w:spacing w:beforeLines="0" w:afterLines="0" w:line="240" w:lineRule="auto"/>
              <w:ind w:firstLine="458"/>
              <w:jc w:val="left"/>
              <w:rPr>
                <w:rFonts w:hint="eastAsia" w:cs="宋体"/>
                <w:snapToGrid w:val="0"/>
                <w:spacing w:val="-6"/>
                <w:kern w:val="21"/>
                <w:szCs w:val="24"/>
              </w:rPr>
            </w:pPr>
          </w:p>
          <w:p w14:paraId="3A22F76F">
            <w:pPr>
              <w:pStyle w:val="88"/>
              <w:spacing w:beforeLines="0" w:afterLines="0" w:line="240" w:lineRule="auto"/>
              <w:ind w:firstLine="458"/>
              <w:jc w:val="left"/>
              <w:rPr>
                <w:rFonts w:hint="eastAsia" w:cs="宋体"/>
                <w:snapToGrid w:val="0"/>
                <w:spacing w:val="-6"/>
                <w:kern w:val="21"/>
                <w:szCs w:val="24"/>
              </w:rPr>
            </w:pPr>
          </w:p>
          <w:p w14:paraId="02498BF2">
            <w:pPr>
              <w:pStyle w:val="88"/>
              <w:spacing w:beforeLines="0" w:afterLines="0" w:line="240" w:lineRule="auto"/>
              <w:ind w:firstLine="0" w:firstLineChars="0"/>
              <w:jc w:val="left"/>
              <w:rPr>
                <w:rFonts w:hint="eastAsia" w:cs="宋体"/>
                <w:snapToGrid w:val="0"/>
                <w:spacing w:val="-6"/>
                <w:kern w:val="21"/>
                <w:szCs w:val="24"/>
              </w:rPr>
            </w:pPr>
            <w:r>
              <w:rPr>
                <w:rFonts w:hint="eastAsia" w:cs="宋体"/>
                <w:snapToGrid w:val="0"/>
                <w:spacing w:val="-6"/>
                <w:kern w:val="21"/>
                <w:szCs w:val="24"/>
              </w:rPr>
              <w:t>分类</w:t>
            </w:r>
          </w:p>
        </w:tc>
        <w:tc>
          <w:tcPr>
            <w:tcW w:w="1709" w:type="dxa"/>
            <w:noWrap w:val="0"/>
            <w:tcMar>
              <w:left w:w="28" w:type="dxa"/>
              <w:right w:w="28" w:type="dxa"/>
            </w:tcMar>
            <w:vAlign w:val="center"/>
          </w:tcPr>
          <w:p w14:paraId="35B7D65A">
            <w:pPr>
              <w:pStyle w:val="88"/>
              <w:spacing w:beforeLines="0" w:afterLines="0" w:line="240" w:lineRule="auto"/>
              <w:ind w:firstLine="0" w:firstLineChars="0"/>
              <w:rPr>
                <w:rFonts w:hint="eastAsia" w:cs="宋体"/>
                <w:snapToGrid w:val="0"/>
                <w:spacing w:val="-6"/>
                <w:kern w:val="21"/>
                <w:szCs w:val="24"/>
              </w:rPr>
            </w:pPr>
            <w:r>
              <w:rPr>
                <w:rFonts w:hint="eastAsia" w:cs="宋体"/>
                <w:snapToGrid w:val="0"/>
                <w:spacing w:val="-6"/>
                <w:kern w:val="21"/>
                <w:szCs w:val="24"/>
              </w:rPr>
              <w:t>污染物名称</w:t>
            </w:r>
          </w:p>
        </w:tc>
        <w:tc>
          <w:tcPr>
            <w:tcW w:w="1693" w:type="dxa"/>
            <w:noWrap w:val="0"/>
            <w:tcMar>
              <w:left w:w="28" w:type="dxa"/>
              <w:right w:w="28" w:type="dxa"/>
            </w:tcMar>
            <w:vAlign w:val="center"/>
          </w:tcPr>
          <w:p w14:paraId="32EB5947">
            <w:pPr>
              <w:pStyle w:val="88"/>
              <w:spacing w:beforeLines="0" w:afterLines="0" w:line="240" w:lineRule="auto"/>
              <w:ind w:firstLine="0" w:firstLineChars="0"/>
              <w:rPr>
                <w:rFonts w:hint="eastAsia" w:cs="宋体"/>
                <w:snapToGrid w:val="0"/>
                <w:spacing w:val="-6"/>
                <w:kern w:val="21"/>
                <w:szCs w:val="24"/>
              </w:rPr>
            </w:pPr>
            <w:r>
              <w:rPr>
                <w:rFonts w:hint="eastAsia" w:cs="宋体"/>
                <w:snapToGrid w:val="0"/>
                <w:spacing w:val="-6"/>
                <w:kern w:val="21"/>
                <w:szCs w:val="24"/>
              </w:rPr>
              <w:t>现有工程排放量(固体废物产生量)</w:t>
            </w:r>
            <w:r>
              <w:rPr>
                <w:rFonts w:hint="eastAsia" w:cs="宋体"/>
                <w:snapToGrid w:val="0"/>
                <w:spacing w:val="-6"/>
                <w:kern w:val="21"/>
                <w:szCs w:val="24"/>
              </w:rPr>
              <w:fldChar w:fldCharType="begin"/>
            </w:r>
            <w:r>
              <w:rPr>
                <w:rFonts w:hint="eastAsia" w:cs="宋体"/>
                <w:snapToGrid w:val="0"/>
                <w:spacing w:val="-6"/>
                <w:kern w:val="21"/>
                <w:szCs w:val="24"/>
              </w:rPr>
              <w:instrText xml:space="preserve"> = 1 \* GB3 \* MERGEFORMAT </w:instrText>
            </w:r>
            <w:r>
              <w:rPr>
                <w:rFonts w:hint="eastAsia" w:cs="宋体"/>
                <w:snapToGrid w:val="0"/>
                <w:spacing w:val="-6"/>
                <w:kern w:val="21"/>
                <w:szCs w:val="24"/>
              </w:rPr>
              <w:fldChar w:fldCharType="separate"/>
            </w:r>
            <w:r>
              <w:rPr>
                <w:rFonts w:hint="eastAsia" w:cs="宋体"/>
                <w:kern w:val="2"/>
                <w:szCs w:val="24"/>
              </w:rPr>
              <w:t>①</w:t>
            </w:r>
            <w:r>
              <w:rPr>
                <w:rFonts w:hint="eastAsia" w:cs="宋体"/>
                <w:snapToGrid w:val="0"/>
                <w:spacing w:val="-6"/>
                <w:kern w:val="21"/>
                <w:szCs w:val="24"/>
              </w:rPr>
              <w:fldChar w:fldCharType="end"/>
            </w:r>
          </w:p>
        </w:tc>
        <w:tc>
          <w:tcPr>
            <w:tcW w:w="1270" w:type="dxa"/>
            <w:noWrap w:val="0"/>
            <w:tcMar>
              <w:left w:w="28" w:type="dxa"/>
              <w:right w:w="28" w:type="dxa"/>
            </w:tcMar>
            <w:vAlign w:val="center"/>
          </w:tcPr>
          <w:p w14:paraId="3381A1E9">
            <w:pPr>
              <w:pStyle w:val="88"/>
              <w:spacing w:beforeLines="0" w:afterLines="0" w:line="240" w:lineRule="auto"/>
              <w:ind w:firstLine="0" w:firstLineChars="0"/>
              <w:rPr>
                <w:rFonts w:hint="eastAsia" w:cs="宋体"/>
                <w:snapToGrid w:val="0"/>
                <w:spacing w:val="-6"/>
                <w:kern w:val="21"/>
                <w:szCs w:val="24"/>
              </w:rPr>
            </w:pPr>
            <w:r>
              <w:rPr>
                <w:rFonts w:hint="eastAsia" w:cs="宋体"/>
                <w:snapToGrid w:val="0"/>
                <w:spacing w:val="-6"/>
                <w:kern w:val="21"/>
                <w:szCs w:val="24"/>
              </w:rPr>
              <w:t>现有工程许可排放量</w:t>
            </w:r>
            <w:r>
              <w:rPr>
                <w:rFonts w:hint="eastAsia" w:cs="宋体"/>
                <w:snapToGrid w:val="0"/>
                <w:spacing w:val="-6"/>
                <w:kern w:val="21"/>
                <w:szCs w:val="24"/>
              </w:rPr>
              <w:fldChar w:fldCharType="begin"/>
            </w:r>
            <w:r>
              <w:rPr>
                <w:rFonts w:hint="eastAsia" w:cs="宋体"/>
                <w:snapToGrid w:val="0"/>
                <w:spacing w:val="-6"/>
                <w:kern w:val="21"/>
                <w:szCs w:val="24"/>
              </w:rPr>
              <w:instrText xml:space="preserve"> = 2 \* GB3 \* MERGEFORMAT </w:instrText>
            </w:r>
            <w:r>
              <w:rPr>
                <w:rFonts w:hint="eastAsia" w:cs="宋体"/>
                <w:snapToGrid w:val="0"/>
                <w:spacing w:val="-6"/>
                <w:kern w:val="21"/>
                <w:szCs w:val="24"/>
              </w:rPr>
              <w:fldChar w:fldCharType="separate"/>
            </w:r>
            <w:r>
              <w:rPr>
                <w:rFonts w:hint="eastAsia" w:cs="宋体"/>
                <w:snapToGrid w:val="0"/>
                <w:spacing w:val="-6"/>
                <w:kern w:val="21"/>
                <w:szCs w:val="24"/>
              </w:rPr>
              <w:t>②</w:t>
            </w:r>
            <w:r>
              <w:rPr>
                <w:rFonts w:hint="eastAsia" w:cs="宋体"/>
                <w:snapToGrid w:val="0"/>
                <w:spacing w:val="-6"/>
                <w:kern w:val="21"/>
                <w:szCs w:val="24"/>
              </w:rPr>
              <w:fldChar w:fldCharType="end"/>
            </w:r>
          </w:p>
        </w:tc>
        <w:tc>
          <w:tcPr>
            <w:tcW w:w="1693" w:type="dxa"/>
            <w:noWrap w:val="0"/>
            <w:tcMar>
              <w:left w:w="28" w:type="dxa"/>
              <w:right w:w="28" w:type="dxa"/>
            </w:tcMar>
            <w:vAlign w:val="center"/>
          </w:tcPr>
          <w:p w14:paraId="0F2DF9D7">
            <w:pPr>
              <w:pStyle w:val="88"/>
              <w:spacing w:beforeLines="0" w:afterLines="0" w:line="240" w:lineRule="auto"/>
              <w:ind w:firstLine="0" w:firstLineChars="0"/>
              <w:rPr>
                <w:rFonts w:hint="eastAsia" w:cs="宋体"/>
                <w:snapToGrid w:val="0"/>
                <w:spacing w:val="-6"/>
                <w:kern w:val="21"/>
                <w:szCs w:val="24"/>
              </w:rPr>
            </w:pPr>
            <w:r>
              <w:rPr>
                <w:rFonts w:hint="eastAsia" w:cs="宋体"/>
                <w:snapToGrid w:val="0"/>
                <w:spacing w:val="-6"/>
                <w:kern w:val="21"/>
                <w:szCs w:val="24"/>
              </w:rPr>
              <w:t>在建工程排放量(固体废物产生量)</w:t>
            </w:r>
            <w:r>
              <w:rPr>
                <w:rFonts w:hint="eastAsia" w:cs="宋体"/>
                <w:snapToGrid w:val="0"/>
                <w:spacing w:val="-6"/>
                <w:kern w:val="21"/>
                <w:szCs w:val="24"/>
              </w:rPr>
              <w:fldChar w:fldCharType="begin"/>
            </w:r>
            <w:r>
              <w:rPr>
                <w:rFonts w:hint="eastAsia" w:cs="宋体"/>
                <w:snapToGrid w:val="0"/>
                <w:spacing w:val="-6"/>
                <w:kern w:val="21"/>
                <w:szCs w:val="24"/>
              </w:rPr>
              <w:instrText xml:space="preserve"> = 3 \* GB3 \* MERGEFORMAT </w:instrText>
            </w:r>
            <w:r>
              <w:rPr>
                <w:rFonts w:hint="eastAsia" w:cs="宋体"/>
                <w:snapToGrid w:val="0"/>
                <w:spacing w:val="-6"/>
                <w:kern w:val="21"/>
                <w:szCs w:val="24"/>
              </w:rPr>
              <w:fldChar w:fldCharType="separate"/>
            </w:r>
            <w:r>
              <w:rPr>
                <w:rFonts w:hint="eastAsia" w:cs="宋体"/>
                <w:kern w:val="2"/>
                <w:szCs w:val="24"/>
              </w:rPr>
              <w:t>③</w:t>
            </w:r>
            <w:r>
              <w:rPr>
                <w:rFonts w:hint="eastAsia" w:cs="宋体"/>
                <w:snapToGrid w:val="0"/>
                <w:spacing w:val="-6"/>
                <w:kern w:val="21"/>
                <w:szCs w:val="24"/>
              </w:rPr>
              <w:fldChar w:fldCharType="end"/>
            </w:r>
          </w:p>
        </w:tc>
        <w:tc>
          <w:tcPr>
            <w:tcW w:w="1551" w:type="dxa"/>
            <w:noWrap w:val="0"/>
            <w:tcMar>
              <w:left w:w="28" w:type="dxa"/>
              <w:right w:w="28" w:type="dxa"/>
            </w:tcMar>
            <w:vAlign w:val="center"/>
          </w:tcPr>
          <w:p w14:paraId="59DE9F83">
            <w:pPr>
              <w:pStyle w:val="88"/>
              <w:spacing w:beforeLines="0" w:afterLines="0" w:line="240" w:lineRule="auto"/>
              <w:ind w:firstLine="0" w:firstLineChars="0"/>
              <w:rPr>
                <w:rFonts w:hint="eastAsia" w:cs="宋体"/>
                <w:snapToGrid w:val="0"/>
                <w:spacing w:val="-6"/>
                <w:kern w:val="21"/>
                <w:szCs w:val="24"/>
              </w:rPr>
            </w:pPr>
            <w:r>
              <w:rPr>
                <w:rFonts w:hint="eastAsia" w:cs="宋体"/>
                <w:snapToGrid w:val="0"/>
                <w:spacing w:val="-6"/>
                <w:kern w:val="21"/>
                <w:szCs w:val="24"/>
              </w:rPr>
              <w:t>本项目排放量(固体废物产生量)</w:t>
            </w:r>
            <w:r>
              <w:rPr>
                <w:rFonts w:hint="eastAsia" w:cs="宋体"/>
                <w:snapToGrid w:val="0"/>
                <w:spacing w:val="-6"/>
                <w:kern w:val="21"/>
                <w:szCs w:val="24"/>
              </w:rPr>
              <w:fldChar w:fldCharType="begin"/>
            </w:r>
            <w:r>
              <w:rPr>
                <w:rFonts w:hint="eastAsia" w:cs="宋体"/>
                <w:snapToGrid w:val="0"/>
                <w:spacing w:val="-6"/>
                <w:kern w:val="21"/>
                <w:szCs w:val="24"/>
              </w:rPr>
              <w:instrText xml:space="preserve"> = 4 \* GB3 \* MERGEFORMAT </w:instrText>
            </w:r>
            <w:r>
              <w:rPr>
                <w:rFonts w:hint="eastAsia" w:cs="宋体"/>
                <w:snapToGrid w:val="0"/>
                <w:spacing w:val="-6"/>
                <w:kern w:val="21"/>
                <w:szCs w:val="24"/>
              </w:rPr>
              <w:fldChar w:fldCharType="separate"/>
            </w:r>
            <w:r>
              <w:rPr>
                <w:rFonts w:hint="eastAsia" w:cs="宋体"/>
                <w:kern w:val="2"/>
                <w:szCs w:val="24"/>
              </w:rPr>
              <w:t>④</w:t>
            </w:r>
            <w:r>
              <w:rPr>
                <w:rFonts w:hint="eastAsia" w:cs="宋体"/>
                <w:snapToGrid w:val="0"/>
                <w:spacing w:val="-6"/>
                <w:kern w:val="21"/>
                <w:szCs w:val="24"/>
              </w:rPr>
              <w:fldChar w:fldCharType="end"/>
            </w:r>
          </w:p>
        </w:tc>
        <w:tc>
          <w:tcPr>
            <w:tcW w:w="1751" w:type="dxa"/>
            <w:noWrap w:val="0"/>
            <w:tcMar>
              <w:left w:w="28" w:type="dxa"/>
              <w:right w:w="28" w:type="dxa"/>
            </w:tcMar>
            <w:vAlign w:val="center"/>
          </w:tcPr>
          <w:p w14:paraId="2AEE9FB1">
            <w:pPr>
              <w:pStyle w:val="88"/>
              <w:spacing w:beforeLines="0" w:afterLines="0" w:line="240" w:lineRule="auto"/>
              <w:ind w:firstLine="0" w:firstLineChars="0"/>
              <w:rPr>
                <w:rFonts w:hint="eastAsia" w:cs="宋体"/>
                <w:snapToGrid w:val="0"/>
                <w:spacing w:val="-16"/>
                <w:kern w:val="21"/>
                <w:szCs w:val="24"/>
              </w:rPr>
            </w:pPr>
            <w:r>
              <w:rPr>
                <w:rFonts w:hint="eastAsia" w:cs="宋体"/>
                <w:snapToGrid w:val="0"/>
                <w:spacing w:val="-16"/>
                <w:kern w:val="21"/>
                <w:szCs w:val="24"/>
              </w:rPr>
              <w:t>以新带老削减量(新建项目不填)</w:t>
            </w:r>
            <w:r>
              <w:rPr>
                <w:rFonts w:hint="eastAsia" w:cs="宋体"/>
                <w:snapToGrid w:val="0"/>
                <w:spacing w:val="-16"/>
                <w:kern w:val="21"/>
                <w:szCs w:val="24"/>
              </w:rPr>
              <w:fldChar w:fldCharType="begin"/>
            </w:r>
            <w:r>
              <w:rPr>
                <w:rFonts w:hint="eastAsia" w:cs="宋体"/>
                <w:snapToGrid w:val="0"/>
                <w:spacing w:val="-16"/>
                <w:kern w:val="21"/>
                <w:szCs w:val="24"/>
              </w:rPr>
              <w:instrText xml:space="preserve"> = 5 \* GB3 \* MERGEFORMAT </w:instrText>
            </w:r>
            <w:r>
              <w:rPr>
                <w:rFonts w:hint="eastAsia" w:cs="宋体"/>
                <w:snapToGrid w:val="0"/>
                <w:spacing w:val="-16"/>
                <w:kern w:val="21"/>
                <w:szCs w:val="24"/>
              </w:rPr>
              <w:fldChar w:fldCharType="separate"/>
            </w:r>
            <w:r>
              <w:rPr>
                <w:rFonts w:hint="eastAsia" w:cs="宋体"/>
                <w:kern w:val="2"/>
                <w:szCs w:val="24"/>
              </w:rPr>
              <w:t>⑤</w:t>
            </w:r>
            <w:r>
              <w:rPr>
                <w:rFonts w:hint="eastAsia" w:cs="宋体"/>
                <w:snapToGrid w:val="0"/>
                <w:spacing w:val="-16"/>
                <w:kern w:val="21"/>
                <w:szCs w:val="24"/>
              </w:rPr>
              <w:fldChar w:fldCharType="end"/>
            </w:r>
          </w:p>
        </w:tc>
        <w:tc>
          <w:tcPr>
            <w:tcW w:w="1800" w:type="dxa"/>
            <w:noWrap w:val="0"/>
            <w:tcMar>
              <w:left w:w="28" w:type="dxa"/>
              <w:right w:w="28" w:type="dxa"/>
            </w:tcMar>
            <w:vAlign w:val="center"/>
          </w:tcPr>
          <w:p w14:paraId="6F401548">
            <w:pPr>
              <w:pStyle w:val="88"/>
              <w:spacing w:beforeLines="0" w:afterLines="0" w:line="240" w:lineRule="auto"/>
              <w:ind w:firstLine="0" w:firstLineChars="0"/>
              <w:rPr>
                <w:rFonts w:hint="eastAsia" w:cs="宋体"/>
                <w:snapToGrid w:val="0"/>
                <w:spacing w:val="-16"/>
                <w:kern w:val="21"/>
                <w:szCs w:val="24"/>
              </w:rPr>
            </w:pPr>
            <w:r>
              <w:rPr>
                <w:rFonts w:hint="eastAsia" w:cs="宋体"/>
                <w:snapToGrid w:val="0"/>
                <w:spacing w:val="-16"/>
                <w:kern w:val="21"/>
                <w:szCs w:val="24"/>
              </w:rPr>
              <w:t>本项目建成后全厂排放量(固体废物产生量)</w:t>
            </w:r>
            <w:r>
              <w:rPr>
                <w:rFonts w:hint="eastAsia" w:cs="宋体"/>
                <w:snapToGrid w:val="0"/>
                <w:spacing w:val="-16"/>
                <w:kern w:val="21"/>
                <w:szCs w:val="24"/>
              </w:rPr>
              <w:fldChar w:fldCharType="begin"/>
            </w:r>
            <w:r>
              <w:rPr>
                <w:rFonts w:hint="eastAsia" w:cs="宋体"/>
                <w:snapToGrid w:val="0"/>
                <w:spacing w:val="-16"/>
                <w:kern w:val="21"/>
                <w:szCs w:val="24"/>
              </w:rPr>
              <w:instrText xml:space="preserve"> = 6 \* GB3 \* MERGEFORMAT </w:instrText>
            </w:r>
            <w:r>
              <w:rPr>
                <w:rFonts w:hint="eastAsia" w:cs="宋体"/>
                <w:snapToGrid w:val="0"/>
                <w:spacing w:val="-16"/>
                <w:kern w:val="21"/>
                <w:szCs w:val="24"/>
              </w:rPr>
              <w:fldChar w:fldCharType="separate"/>
            </w:r>
            <w:r>
              <w:rPr>
                <w:rFonts w:hint="eastAsia" w:cs="宋体"/>
                <w:kern w:val="2"/>
                <w:szCs w:val="24"/>
              </w:rPr>
              <w:t>⑥</w:t>
            </w:r>
            <w:r>
              <w:rPr>
                <w:rFonts w:hint="eastAsia" w:cs="宋体"/>
                <w:snapToGrid w:val="0"/>
                <w:spacing w:val="-16"/>
                <w:kern w:val="21"/>
                <w:szCs w:val="24"/>
              </w:rPr>
              <w:fldChar w:fldCharType="end"/>
            </w:r>
          </w:p>
        </w:tc>
        <w:tc>
          <w:tcPr>
            <w:tcW w:w="1248" w:type="dxa"/>
            <w:noWrap w:val="0"/>
            <w:tcMar>
              <w:left w:w="28" w:type="dxa"/>
              <w:right w:w="28" w:type="dxa"/>
            </w:tcMar>
            <w:vAlign w:val="center"/>
          </w:tcPr>
          <w:p w14:paraId="3235985C">
            <w:pPr>
              <w:pStyle w:val="88"/>
              <w:spacing w:beforeLines="0" w:afterLines="0" w:line="240" w:lineRule="auto"/>
              <w:ind w:firstLine="0" w:firstLineChars="0"/>
              <w:rPr>
                <w:rFonts w:hint="eastAsia" w:cs="宋体"/>
                <w:snapToGrid w:val="0"/>
                <w:spacing w:val="-6"/>
                <w:kern w:val="21"/>
                <w:szCs w:val="24"/>
              </w:rPr>
            </w:pPr>
            <w:r>
              <w:rPr>
                <w:rFonts w:hint="eastAsia" w:cs="宋体"/>
                <w:snapToGrid w:val="0"/>
                <w:spacing w:val="-6"/>
                <w:kern w:val="21"/>
                <w:szCs w:val="24"/>
              </w:rPr>
              <w:t>变化量</w:t>
            </w:r>
            <w:r>
              <w:rPr>
                <w:rFonts w:hint="eastAsia" w:cs="宋体"/>
                <w:snapToGrid w:val="0"/>
                <w:spacing w:val="-6"/>
                <w:kern w:val="21"/>
                <w:szCs w:val="24"/>
              </w:rPr>
              <w:fldChar w:fldCharType="begin"/>
            </w:r>
            <w:r>
              <w:rPr>
                <w:rFonts w:hint="eastAsia" w:cs="宋体"/>
                <w:snapToGrid w:val="0"/>
                <w:spacing w:val="-6"/>
                <w:kern w:val="21"/>
                <w:szCs w:val="24"/>
              </w:rPr>
              <w:instrText xml:space="preserve"> = 7 \* GB3 \* MERGEFORMAT </w:instrText>
            </w:r>
            <w:r>
              <w:rPr>
                <w:rFonts w:hint="eastAsia" w:cs="宋体"/>
                <w:snapToGrid w:val="0"/>
                <w:spacing w:val="-6"/>
                <w:kern w:val="21"/>
                <w:szCs w:val="24"/>
              </w:rPr>
              <w:fldChar w:fldCharType="separate"/>
            </w:r>
            <w:r>
              <w:rPr>
                <w:rFonts w:hint="eastAsia" w:cs="宋体"/>
                <w:kern w:val="2"/>
                <w:szCs w:val="24"/>
              </w:rPr>
              <w:t>⑦</w:t>
            </w:r>
            <w:r>
              <w:rPr>
                <w:rFonts w:hint="eastAsia" w:cs="宋体"/>
                <w:snapToGrid w:val="0"/>
                <w:spacing w:val="-6"/>
                <w:kern w:val="21"/>
                <w:szCs w:val="24"/>
              </w:rPr>
              <w:fldChar w:fldCharType="end"/>
            </w:r>
          </w:p>
        </w:tc>
      </w:tr>
      <w:tr w14:paraId="005A8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restart"/>
            <w:noWrap w:val="0"/>
            <w:vAlign w:val="center"/>
          </w:tcPr>
          <w:p w14:paraId="42D1873A">
            <w:pPr>
              <w:pStyle w:val="88"/>
              <w:spacing w:beforeLines="0" w:afterLines="0" w:line="240" w:lineRule="auto"/>
              <w:ind w:firstLine="0" w:firstLineChars="0"/>
              <w:rPr>
                <w:rFonts w:hint="eastAsia" w:cs="宋体"/>
                <w:snapToGrid w:val="0"/>
                <w:kern w:val="21"/>
                <w:szCs w:val="24"/>
              </w:rPr>
            </w:pPr>
            <w:r>
              <w:rPr>
                <w:rFonts w:hint="eastAsia" w:cs="宋体"/>
                <w:snapToGrid w:val="0"/>
                <w:kern w:val="21"/>
                <w:szCs w:val="24"/>
              </w:rPr>
              <w:t>废气</w:t>
            </w:r>
          </w:p>
        </w:tc>
        <w:tc>
          <w:tcPr>
            <w:tcW w:w="1709" w:type="dxa"/>
            <w:noWrap w:val="0"/>
            <w:vAlign w:val="center"/>
          </w:tcPr>
          <w:p w14:paraId="73926C1B">
            <w:pPr>
              <w:jc w:val="center"/>
              <w:rPr>
                <w:sz w:val="24"/>
              </w:rPr>
            </w:pPr>
            <w:r>
              <w:rPr>
                <w:snapToGrid w:val="0"/>
                <w:kern w:val="21"/>
                <w:sz w:val="24"/>
              </w:rPr>
              <w:t>颗粒物</w:t>
            </w:r>
          </w:p>
        </w:tc>
        <w:tc>
          <w:tcPr>
            <w:tcW w:w="1693" w:type="dxa"/>
            <w:noWrap w:val="0"/>
            <w:vAlign w:val="center"/>
          </w:tcPr>
          <w:p w14:paraId="4E22D8E8">
            <w:pPr>
              <w:autoSpaceDE w:val="0"/>
              <w:autoSpaceDN w:val="0"/>
              <w:adjustRightInd w:val="0"/>
              <w:snapToGrid w:val="0"/>
              <w:jc w:val="center"/>
              <w:rPr>
                <w:b/>
                <w:bCs/>
                <w:snapToGrid w:val="0"/>
                <w:kern w:val="21"/>
                <w:sz w:val="24"/>
              </w:rPr>
            </w:pPr>
            <w:r>
              <w:rPr>
                <w:sz w:val="24"/>
              </w:rPr>
              <w:t>9.9</w:t>
            </w:r>
          </w:p>
        </w:tc>
        <w:tc>
          <w:tcPr>
            <w:tcW w:w="1270" w:type="dxa"/>
            <w:noWrap w:val="0"/>
            <w:vAlign w:val="center"/>
          </w:tcPr>
          <w:p w14:paraId="4294538C">
            <w:pPr>
              <w:jc w:val="center"/>
              <w:rPr>
                <w:b/>
                <w:bCs/>
                <w:snapToGrid w:val="0"/>
                <w:kern w:val="21"/>
                <w:sz w:val="24"/>
              </w:rPr>
            </w:pPr>
            <w:r>
              <w:rPr>
                <w:snapToGrid w:val="0"/>
                <w:color w:val="000000"/>
                <w:kern w:val="21"/>
                <w:sz w:val="24"/>
              </w:rPr>
              <w:t>/</w:t>
            </w:r>
          </w:p>
        </w:tc>
        <w:tc>
          <w:tcPr>
            <w:tcW w:w="1693" w:type="dxa"/>
            <w:noWrap w:val="0"/>
            <w:vAlign w:val="center"/>
          </w:tcPr>
          <w:p w14:paraId="309C6070">
            <w:pPr>
              <w:jc w:val="center"/>
              <w:rPr>
                <w:b/>
                <w:bCs/>
                <w:snapToGrid w:val="0"/>
                <w:kern w:val="21"/>
                <w:sz w:val="24"/>
              </w:rPr>
            </w:pPr>
            <w:r>
              <w:rPr>
                <w:snapToGrid w:val="0"/>
                <w:color w:val="000000"/>
                <w:kern w:val="21"/>
                <w:sz w:val="24"/>
              </w:rPr>
              <w:t>/</w:t>
            </w:r>
          </w:p>
        </w:tc>
        <w:tc>
          <w:tcPr>
            <w:tcW w:w="1551" w:type="dxa"/>
            <w:noWrap w:val="0"/>
            <w:vAlign w:val="center"/>
          </w:tcPr>
          <w:p w14:paraId="3A167058">
            <w:pPr>
              <w:pStyle w:val="88"/>
              <w:spacing w:beforeLines="0" w:afterLines="0" w:line="240" w:lineRule="auto"/>
              <w:ind w:firstLine="0" w:firstLineChars="0"/>
              <w:rPr>
                <w:rFonts w:hint="default" w:eastAsia="宋体"/>
                <w:szCs w:val="24"/>
                <w:lang w:val="en-US" w:eastAsia="zh-CN"/>
              </w:rPr>
            </w:pPr>
            <w:r>
              <w:rPr>
                <w:rFonts w:hint="eastAsia" w:ascii="Times New Roman"/>
                <w:b w:val="0"/>
                <w:bCs/>
                <w:snapToGrid w:val="0"/>
                <w:kern w:val="21"/>
                <w:szCs w:val="24"/>
                <w:lang w:val="en-US" w:eastAsia="zh-CN"/>
              </w:rPr>
              <w:t>9.21</w:t>
            </w:r>
          </w:p>
        </w:tc>
        <w:tc>
          <w:tcPr>
            <w:tcW w:w="1751" w:type="dxa"/>
            <w:noWrap w:val="0"/>
            <w:vAlign w:val="center"/>
          </w:tcPr>
          <w:p w14:paraId="0F2BBEFD">
            <w:pPr>
              <w:pStyle w:val="88"/>
              <w:spacing w:beforeLines="0" w:afterLines="0" w:line="240" w:lineRule="auto"/>
              <w:ind w:firstLine="0" w:firstLineChars="0"/>
              <w:rPr>
                <w:rFonts w:ascii="Times New Roman"/>
                <w:snapToGrid w:val="0"/>
                <w:kern w:val="21"/>
                <w:szCs w:val="24"/>
              </w:rPr>
            </w:pPr>
            <w:r>
              <w:rPr>
                <w:rFonts w:hint="eastAsia" w:ascii="Times New Roman"/>
                <w:b w:val="0"/>
                <w:bCs/>
                <w:snapToGrid w:val="0"/>
                <w:kern w:val="21"/>
                <w:szCs w:val="24"/>
                <w:lang w:val="en-US" w:eastAsia="zh-CN"/>
              </w:rPr>
              <w:t>0.69</w:t>
            </w:r>
          </w:p>
        </w:tc>
        <w:tc>
          <w:tcPr>
            <w:tcW w:w="1800" w:type="dxa"/>
            <w:noWrap w:val="0"/>
            <w:vAlign w:val="center"/>
          </w:tcPr>
          <w:p w14:paraId="6C72D246">
            <w:pPr>
              <w:pStyle w:val="88"/>
              <w:spacing w:beforeLines="0" w:afterLines="0" w:line="240" w:lineRule="auto"/>
              <w:ind w:firstLine="0" w:firstLineChars="0"/>
              <w:rPr>
                <w:rFonts w:hint="default"/>
                <w:szCs w:val="24"/>
                <w:lang w:val="en-US"/>
              </w:rPr>
            </w:pPr>
            <w:r>
              <w:rPr>
                <w:rFonts w:hint="eastAsia" w:ascii="Times New Roman"/>
                <w:b w:val="0"/>
                <w:bCs/>
                <w:snapToGrid w:val="0"/>
                <w:kern w:val="21"/>
                <w:szCs w:val="24"/>
                <w:lang w:val="en-US" w:eastAsia="zh-CN"/>
              </w:rPr>
              <w:t>9.21</w:t>
            </w:r>
          </w:p>
        </w:tc>
        <w:tc>
          <w:tcPr>
            <w:tcW w:w="1248" w:type="dxa"/>
            <w:noWrap w:val="0"/>
            <w:vAlign w:val="center"/>
          </w:tcPr>
          <w:p w14:paraId="0E11F7C1">
            <w:pPr>
              <w:pStyle w:val="88"/>
              <w:spacing w:beforeLines="0" w:afterLines="0" w:line="240" w:lineRule="auto"/>
              <w:ind w:firstLine="0" w:firstLineChars="0"/>
              <w:rPr>
                <w:rFonts w:hint="default"/>
                <w:szCs w:val="24"/>
                <w:lang w:val="en-US"/>
              </w:rPr>
            </w:pPr>
            <w:r>
              <w:rPr>
                <w:rFonts w:hint="eastAsia" w:ascii="Times New Roman"/>
                <w:b w:val="0"/>
                <w:bCs/>
                <w:snapToGrid w:val="0"/>
                <w:kern w:val="21"/>
                <w:szCs w:val="24"/>
                <w:lang w:val="en-US" w:eastAsia="zh-CN"/>
              </w:rPr>
              <w:t>-0.69</w:t>
            </w:r>
          </w:p>
        </w:tc>
      </w:tr>
      <w:tr w14:paraId="374A9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continue"/>
            <w:noWrap w:val="0"/>
            <w:vAlign w:val="center"/>
          </w:tcPr>
          <w:p w14:paraId="49D90957">
            <w:pPr>
              <w:pStyle w:val="88"/>
              <w:spacing w:beforeLines="0" w:afterLines="0" w:line="240" w:lineRule="auto"/>
              <w:ind w:firstLine="0" w:firstLineChars="0"/>
              <w:rPr>
                <w:rFonts w:hint="eastAsia" w:cs="宋体"/>
                <w:snapToGrid w:val="0"/>
                <w:kern w:val="21"/>
                <w:szCs w:val="24"/>
              </w:rPr>
            </w:pPr>
          </w:p>
        </w:tc>
        <w:tc>
          <w:tcPr>
            <w:tcW w:w="1709" w:type="dxa"/>
            <w:noWrap w:val="0"/>
            <w:vAlign w:val="center"/>
          </w:tcPr>
          <w:p w14:paraId="72083407">
            <w:pPr>
              <w:jc w:val="center"/>
              <w:rPr>
                <w:sz w:val="24"/>
              </w:rPr>
            </w:pPr>
            <w:r>
              <w:rPr>
                <w:snapToGrid w:val="0"/>
                <w:kern w:val="21"/>
                <w:sz w:val="24"/>
              </w:rPr>
              <w:t>二氧化硫</w:t>
            </w:r>
          </w:p>
        </w:tc>
        <w:tc>
          <w:tcPr>
            <w:tcW w:w="1693" w:type="dxa"/>
            <w:noWrap w:val="0"/>
            <w:vAlign w:val="center"/>
          </w:tcPr>
          <w:p w14:paraId="0D7F389F">
            <w:pPr>
              <w:autoSpaceDE w:val="0"/>
              <w:autoSpaceDN w:val="0"/>
              <w:adjustRightInd w:val="0"/>
              <w:snapToGrid w:val="0"/>
              <w:jc w:val="center"/>
              <w:rPr>
                <w:bCs/>
                <w:snapToGrid w:val="0"/>
                <w:color w:val="000000"/>
                <w:kern w:val="21"/>
                <w:sz w:val="24"/>
              </w:rPr>
            </w:pPr>
            <w:r>
              <w:rPr>
                <w:sz w:val="24"/>
              </w:rPr>
              <w:t>108.86</w:t>
            </w:r>
          </w:p>
        </w:tc>
        <w:tc>
          <w:tcPr>
            <w:tcW w:w="1270" w:type="dxa"/>
            <w:noWrap w:val="0"/>
            <w:vAlign w:val="center"/>
          </w:tcPr>
          <w:p w14:paraId="246C03ED">
            <w:pPr>
              <w:jc w:val="center"/>
              <w:rPr>
                <w:bCs/>
                <w:snapToGrid w:val="0"/>
                <w:color w:val="000000"/>
                <w:kern w:val="21"/>
                <w:sz w:val="24"/>
              </w:rPr>
            </w:pPr>
            <w:r>
              <w:rPr>
                <w:snapToGrid w:val="0"/>
                <w:color w:val="000000"/>
                <w:kern w:val="21"/>
                <w:sz w:val="24"/>
              </w:rPr>
              <w:t>/</w:t>
            </w:r>
          </w:p>
        </w:tc>
        <w:tc>
          <w:tcPr>
            <w:tcW w:w="1693" w:type="dxa"/>
            <w:noWrap w:val="0"/>
            <w:vAlign w:val="center"/>
          </w:tcPr>
          <w:p w14:paraId="6BF4FBEB">
            <w:pPr>
              <w:jc w:val="center"/>
              <w:rPr>
                <w:bCs/>
                <w:snapToGrid w:val="0"/>
                <w:color w:val="000000"/>
                <w:kern w:val="21"/>
                <w:sz w:val="24"/>
              </w:rPr>
            </w:pPr>
            <w:r>
              <w:rPr>
                <w:snapToGrid w:val="0"/>
                <w:color w:val="000000"/>
                <w:kern w:val="21"/>
                <w:sz w:val="24"/>
              </w:rPr>
              <w:t>/</w:t>
            </w:r>
          </w:p>
        </w:tc>
        <w:tc>
          <w:tcPr>
            <w:tcW w:w="1551" w:type="dxa"/>
            <w:noWrap w:val="0"/>
            <w:vAlign w:val="center"/>
          </w:tcPr>
          <w:p w14:paraId="22EE2F95">
            <w:pPr>
              <w:jc w:val="center"/>
              <w:rPr>
                <w:rFonts w:hint="default" w:eastAsia="宋体"/>
                <w:sz w:val="24"/>
                <w:lang w:val="en-US" w:eastAsia="zh-CN"/>
              </w:rPr>
            </w:pPr>
            <w:r>
              <w:rPr>
                <w:rFonts w:hint="eastAsia"/>
                <w:bCs/>
                <w:snapToGrid w:val="0"/>
                <w:color w:val="000000"/>
                <w:kern w:val="21"/>
                <w:sz w:val="24"/>
                <w:lang w:val="en-US" w:eastAsia="zh-CN"/>
              </w:rPr>
              <w:t>63.1</w:t>
            </w:r>
          </w:p>
        </w:tc>
        <w:tc>
          <w:tcPr>
            <w:tcW w:w="1751" w:type="dxa"/>
            <w:noWrap w:val="0"/>
            <w:vAlign w:val="center"/>
          </w:tcPr>
          <w:p w14:paraId="71A45B17">
            <w:pPr>
              <w:jc w:val="center"/>
              <w:rPr>
                <w:snapToGrid w:val="0"/>
                <w:color w:val="000000"/>
                <w:kern w:val="21"/>
                <w:sz w:val="24"/>
              </w:rPr>
            </w:pPr>
            <w:r>
              <w:rPr>
                <w:rFonts w:hint="eastAsia"/>
                <w:bCs/>
                <w:snapToGrid w:val="0"/>
                <w:color w:val="000000"/>
                <w:kern w:val="21"/>
                <w:sz w:val="24"/>
                <w:lang w:val="en-US" w:eastAsia="zh-CN"/>
              </w:rPr>
              <w:t>45.76</w:t>
            </w:r>
          </w:p>
        </w:tc>
        <w:tc>
          <w:tcPr>
            <w:tcW w:w="1800" w:type="dxa"/>
            <w:noWrap w:val="0"/>
            <w:vAlign w:val="center"/>
          </w:tcPr>
          <w:p w14:paraId="4EA8AF29">
            <w:pPr>
              <w:jc w:val="center"/>
              <w:rPr>
                <w:rFonts w:hint="default"/>
                <w:sz w:val="24"/>
                <w:lang w:val="en-US"/>
              </w:rPr>
            </w:pPr>
            <w:r>
              <w:rPr>
                <w:rFonts w:hint="eastAsia"/>
                <w:bCs/>
                <w:snapToGrid w:val="0"/>
                <w:color w:val="000000"/>
                <w:kern w:val="21"/>
                <w:sz w:val="24"/>
                <w:lang w:val="en-US" w:eastAsia="zh-CN"/>
              </w:rPr>
              <w:t>63.1</w:t>
            </w:r>
          </w:p>
        </w:tc>
        <w:tc>
          <w:tcPr>
            <w:tcW w:w="1248" w:type="dxa"/>
            <w:noWrap w:val="0"/>
            <w:vAlign w:val="center"/>
          </w:tcPr>
          <w:p w14:paraId="43FCF300">
            <w:pPr>
              <w:jc w:val="center"/>
              <w:rPr>
                <w:rFonts w:hint="default"/>
                <w:sz w:val="24"/>
                <w:lang w:val="en-US"/>
              </w:rPr>
            </w:pPr>
            <w:r>
              <w:rPr>
                <w:rFonts w:hint="eastAsia"/>
                <w:bCs/>
                <w:snapToGrid w:val="0"/>
                <w:color w:val="000000"/>
                <w:kern w:val="21"/>
                <w:sz w:val="24"/>
                <w:lang w:val="en-US" w:eastAsia="zh-CN"/>
              </w:rPr>
              <w:t>-45.76</w:t>
            </w:r>
          </w:p>
        </w:tc>
      </w:tr>
      <w:tr w14:paraId="0E292C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continue"/>
            <w:noWrap w:val="0"/>
            <w:vAlign w:val="center"/>
          </w:tcPr>
          <w:p w14:paraId="0D42BC77">
            <w:pPr>
              <w:pStyle w:val="88"/>
              <w:spacing w:beforeLines="0" w:afterLines="0" w:line="240" w:lineRule="auto"/>
              <w:ind w:firstLine="0" w:firstLineChars="0"/>
              <w:rPr>
                <w:rFonts w:hint="eastAsia" w:cs="宋体"/>
                <w:snapToGrid w:val="0"/>
                <w:kern w:val="21"/>
                <w:szCs w:val="24"/>
              </w:rPr>
            </w:pPr>
          </w:p>
        </w:tc>
        <w:tc>
          <w:tcPr>
            <w:tcW w:w="1709" w:type="dxa"/>
            <w:noWrap w:val="0"/>
            <w:vAlign w:val="center"/>
          </w:tcPr>
          <w:p w14:paraId="2447E5E5">
            <w:pPr>
              <w:jc w:val="center"/>
              <w:rPr>
                <w:sz w:val="24"/>
              </w:rPr>
            </w:pPr>
            <w:r>
              <w:rPr>
                <w:snapToGrid w:val="0"/>
                <w:kern w:val="21"/>
                <w:sz w:val="24"/>
              </w:rPr>
              <w:t>氮氧化物</w:t>
            </w:r>
          </w:p>
        </w:tc>
        <w:tc>
          <w:tcPr>
            <w:tcW w:w="1693" w:type="dxa"/>
            <w:noWrap w:val="0"/>
            <w:vAlign w:val="center"/>
          </w:tcPr>
          <w:p w14:paraId="398B45EA">
            <w:pPr>
              <w:autoSpaceDE w:val="0"/>
              <w:autoSpaceDN w:val="0"/>
              <w:adjustRightInd w:val="0"/>
              <w:snapToGrid w:val="0"/>
              <w:jc w:val="center"/>
              <w:rPr>
                <w:bCs/>
                <w:snapToGrid w:val="0"/>
                <w:color w:val="000000"/>
                <w:kern w:val="21"/>
                <w:sz w:val="24"/>
              </w:rPr>
            </w:pPr>
            <w:r>
              <w:rPr>
                <w:sz w:val="24"/>
              </w:rPr>
              <w:t>179.55</w:t>
            </w:r>
          </w:p>
        </w:tc>
        <w:tc>
          <w:tcPr>
            <w:tcW w:w="1270" w:type="dxa"/>
            <w:noWrap w:val="0"/>
            <w:vAlign w:val="center"/>
          </w:tcPr>
          <w:p w14:paraId="439ECAF0">
            <w:pPr>
              <w:jc w:val="center"/>
              <w:rPr>
                <w:bCs/>
                <w:snapToGrid w:val="0"/>
                <w:color w:val="000000"/>
                <w:kern w:val="21"/>
                <w:sz w:val="24"/>
              </w:rPr>
            </w:pPr>
            <w:r>
              <w:rPr>
                <w:snapToGrid w:val="0"/>
                <w:color w:val="000000"/>
                <w:kern w:val="21"/>
                <w:sz w:val="24"/>
              </w:rPr>
              <w:t>/</w:t>
            </w:r>
          </w:p>
        </w:tc>
        <w:tc>
          <w:tcPr>
            <w:tcW w:w="1693" w:type="dxa"/>
            <w:noWrap w:val="0"/>
            <w:vAlign w:val="center"/>
          </w:tcPr>
          <w:p w14:paraId="1D60AB22">
            <w:pPr>
              <w:jc w:val="center"/>
              <w:rPr>
                <w:bCs/>
                <w:snapToGrid w:val="0"/>
                <w:color w:val="000000"/>
                <w:kern w:val="21"/>
                <w:sz w:val="24"/>
              </w:rPr>
            </w:pPr>
            <w:r>
              <w:rPr>
                <w:snapToGrid w:val="0"/>
                <w:color w:val="000000"/>
                <w:kern w:val="21"/>
                <w:sz w:val="24"/>
              </w:rPr>
              <w:t>/</w:t>
            </w:r>
          </w:p>
        </w:tc>
        <w:tc>
          <w:tcPr>
            <w:tcW w:w="1551" w:type="dxa"/>
            <w:noWrap w:val="0"/>
            <w:vAlign w:val="center"/>
          </w:tcPr>
          <w:p w14:paraId="2621D026">
            <w:pPr>
              <w:jc w:val="center"/>
              <w:rPr>
                <w:rFonts w:hint="default" w:eastAsia="宋体"/>
                <w:sz w:val="24"/>
                <w:szCs w:val="24"/>
                <w:lang w:val="en-US" w:eastAsia="zh-CN"/>
              </w:rPr>
            </w:pPr>
            <w:r>
              <w:rPr>
                <w:rFonts w:hint="eastAsia"/>
                <w:sz w:val="24"/>
                <w:szCs w:val="24"/>
                <w:lang w:val="en-US" w:eastAsia="zh-CN"/>
              </w:rPr>
              <w:t>37.6</w:t>
            </w:r>
          </w:p>
        </w:tc>
        <w:tc>
          <w:tcPr>
            <w:tcW w:w="1751" w:type="dxa"/>
            <w:noWrap w:val="0"/>
            <w:vAlign w:val="center"/>
          </w:tcPr>
          <w:p w14:paraId="38869BED">
            <w:pPr>
              <w:jc w:val="center"/>
              <w:rPr>
                <w:snapToGrid w:val="0"/>
                <w:color w:val="000000"/>
                <w:kern w:val="21"/>
                <w:sz w:val="24"/>
                <w:szCs w:val="24"/>
              </w:rPr>
            </w:pPr>
            <w:r>
              <w:rPr>
                <w:rFonts w:hint="eastAsia"/>
                <w:sz w:val="24"/>
                <w:szCs w:val="24"/>
                <w:lang w:val="en-US" w:eastAsia="zh-CN"/>
              </w:rPr>
              <w:t>141.95</w:t>
            </w:r>
          </w:p>
        </w:tc>
        <w:tc>
          <w:tcPr>
            <w:tcW w:w="1800" w:type="dxa"/>
            <w:noWrap w:val="0"/>
            <w:vAlign w:val="center"/>
          </w:tcPr>
          <w:p w14:paraId="1F212A76">
            <w:pPr>
              <w:jc w:val="center"/>
              <w:rPr>
                <w:rFonts w:hint="default"/>
                <w:sz w:val="24"/>
                <w:szCs w:val="24"/>
                <w:lang w:val="en-US"/>
              </w:rPr>
            </w:pPr>
            <w:r>
              <w:rPr>
                <w:rFonts w:hint="eastAsia"/>
                <w:sz w:val="24"/>
                <w:szCs w:val="24"/>
                <w:lang w:val="en-US" w:eastAsia="zh-CN"/>
              </w:rPr>
              <w:t>37.6</w:t>
            </w:r>
          </w:p>
        </w:tc>
        <w:tc>
          <w:tcPr>
            <w:tcW w:w="1248" w:type="dxa"/>
            <w:noWrap w:val="0"/>
            <w:vAlign w:val="center"/>
          </w:tcPr>
          <w:p w14:paraId="3F251CD2">
            <w:pPr>
              <w:jc w:val="center"/>
              <w:rPr>
                <w:rFonts w:hint="default"/>
                <w:sz w:val="24"/>
                <w:szCs w:val="24"/>
                <w:lang w:val="en-US"/>
              </w:rPr>
            </w:pPr>
            <w:r>
              <w:rPr>
                <w:rFonts w:hint="eastAsia"/>
                <w:sz w:val="24"/>
                <w:szCs w:val="24"/>
                <w:lang w:val="en-US" w:eastAsia="zh-CN"/>
              </w:rPr>
              <w:t>-141.95</w:t>
            </w:r>
          </w:p>
        </w:tc>
      </w:tr>
      <w:tr w14:paraId="2DB3AC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continue"/>
            <w:noWrap w:val="0"/>
            <w:vAlign w:val="center"/>
          </w:tcPr>
          <w:p w14:paraId="340AF99B">
            <w:pPr>
              <w:pStyle w:val="88"/>
              <w:spacing w:beforeLines="0" w:afterLines="0" w:line="240" w:lineRule="auto"/>
              <w:ind w:firstLine="0" w:firstLineChars="0"/>
              <w:rPr>
                <w:rFonts w:hint="eastAsia" w:cs="宋体"/>
                <w:snapToGrid w:val="0"/>
                <w:kern w:val="21"/>
                <w:szCs w:val="24"/>
              </w:rPr>
            </w:pPr>
          </w:p>
        </w:tc>
        <w:tc>
          <w:tcPr>
            <w:tcW w:w="1709" w:type="dxa"/>
            <w:noWrap w:val="0"/>
            <w:vAlign w:val="center"/>
          </w:tcPr>
          <w:p w14:paraId="574436AF">
            <w:pPr>
              <w:jc w:val="center"/>
              <w:rPr>
                <w:sz w:val="24"/>
              </w:rPr>
            </w:pPr>
            <w:r>
              <w:rPr>
                <w:snapToGrid w:val="0"/>
                <w:kern w:val="21"/>
                <w:sz w:val="24"/>
              </w:rPr>
              <w:t>氟化物</w:t>
            </w:r>
          </w:p>
        </w:tc>
        <w:tc>
          <w:tcPr>
            <w:tcW w:w="1693" w:type="dxa"/>
            <w:noWrap w:val="0"/>
            <w:vAlign w:val="center"/>
          </w:tcPr>
          <w:p w14:paraId="1A387CFD">
            <w:pPr>
              <w:jc w:val="center"/>
              <w:rPr>
                <w:bCs/>
                <w:snapToGrid w:val="0"/>
                <w:color w:val="000000"/>
                <w:kern w:val="21"/>
                <w:sz w:val="24"/>
              </w:rPr>
            </w:pPr>
            <w:r>
              <w:rPr>
                <w:snapToGrid w:val="0"/>
                <w:color w:val="000000"/>
                <w:kern w:val="21"/>
                <w:sz w:val="24"/>
              </w:rPr>
              <w:t>/</w:t>
            </w:r>
          </w:p>
        </w:tc>
        <w:tc>
          <w:tcPr>
            <w:tcW w:w="1270" w:type="dxa"/>
            <w:noWrap w:val="0"/>
            <w:vAlign w:val="center"/>
          </w:tcPr>
          <w:p w14:paraId="1E8768A3">
            <w:pPr>
              <w:jc w:val="center"/>
              <w:rPr>
                <w:bCs/>
                <w:snapToGrid w:val="0"/>
                <w:color w:val="000000"/>
                <w:kern w:val="21"/>
                <w:sz w:val="24"/>
              </w:rPr>
            </w:pPr>
            <w:r>
              <w:rPr>
                <w:snapToGrid w:val="0"/>
                <w:color w:val="000000"/>
                <w:kern w:val="21"/>
                <w:sz w:val="24"/>
              </w:rPr>
              <w:t>/</w:t>
            </w:r>
          </w:p>
        </w:tc>
        <w:tc>
          <w:tcPr>
            <w:tcW w:w="1693" w:type="dxa"/>
            <w:noWrap w:val="0"/>
            <w:vAlign w:val="center"/>
          </w:tcPr>
          <w:p w14:paraId="629548B2">
            <w:pPr>
              <w:jc w:val="center"/>
              <w:rPr>
                <w:bCs/>
                <w:snapToGrid w:val="0"/>
                <w:color w:val="000000"/>
                <w:kern w:val="21"/>
                <w:sz w:val="24"/>
              </w:rPr>
            </w:pPr>
            <w:r>
              <w:rPr>
                <w:snapToGrid w:val="0"/>
                <w:color w:val="000000"/>
                <w:kern w:val="21"/>
                <w:sz w:val="24"/>
              </w:rPr>
              <w:t>/</w:t>
            </w:r>
          </w:p>
        </w:tc>
        <w:tc>
          <w:tcPr>
            <w:tcW w:w="1551" w:type="dxa"/>
            <w:noWrap w:val="0"/>
            <w:vAlign w:val="center"/>
          </w:tcPr>
          <w:p w14:paraId="1E745C0E">
            <w:pPr>
              <w:ind w:left="-105" w:leftChars="-50" w:right="-105" w:rightChars="-50"/>
              <w:jc w:val="center"/>
              <w:rPr>
                <w:rFonts w:hint="default" w:eastAsia="宋体"/>
                <w:sz w:val="24"/>
                <w:lang w:val="en-US" w:eastAsia="zh-CN"/>
              </w:rPr>
            </w:pPr>
            <w:r>
              <w:rPr>
                <w:rFonts w:hint="eastAsia"/>
                <w:sz w:val="24"/>
                <w:lang w:val="en-US" w:eastAsia="zh-CN"/>
              </w:rPr>
              <w:t>2.2</w:t>
            </w:r>
          </w:p>
        </w:tc>
        <w:tc>
          <w:tcPr>
            <w:tcW w:w="1751" w:type="dxa"/>
            <w:noWrap w:val="0"/>
            <w:vAlign w:val="center"/>
          </w:tcPr>
          <w:p w14:paraId="1E0E2519">
            <w:pPr>
              <w:jc w:val="center"/>
              <w:rPr>
                <w:rFonts w:hint="eastAsia" w:eastAsia="宋体"/>
                <w:snapToGrid w:val="0"/>
                <w:color w:val="000000"/>
                <w:kern w:val="21"/>
                <w:sz w:val="24"/>
                <w:lang w:val="en-US" w:eastAsia="zh-CN"/>
              </w:rPr>
            </w:pPr>
            <w:r>
              <w:rPr>
                <w:rFonts w:hint="eastAsia"/>
                <w:snapToGrid w:val="0"/>
                <w:color w:val="000000"/>
                <w:kern w:val="21"/>
                <w:sz w:val="24"/>
                <w:lang w:val="en-US" w:eastAsia="zh-CN"/>
              </w:rPr>
              <w:t>/</w:t>
            </w:r>
          </w:p>
        </w:tc>
        <w:tc>
          <w:tcPr>
            <w:tcW w:w="1800" w:type="dxa"/>
            <w:noWrap w:val="0"/>
            <w:vAlign w:val="center"/>
          </w:tcPr>
          <w:p w14:paraId="5470E46D">
            <w:pPr>
              <w:ind w:left="-105" w:leftChars="-50" w:right="-105" w:rightChars="-50"/>
              <w:jc w:val="center"/>
              <w:rPr>
                <w:rFonts w:hint="default"/>
                <w:sz w:val="24"/>
                <w:lang w:val="en-US"/>
              </w:rPr>
            </w:pPr>
            <w:r>
              <w:rPr>
                <w:rFonts w:hint="eastAsia"/>
                <w:sz w:val="24"/>
                <w:lang w:val="en-US" w:eastAsia="zh-CN"/>
              </w:rPr>
              <w:t>2.2</w:t>
            </w:r>
          </w:p>
        </w:tc>
        <w:tc>
          <w:tcPr>
            <w:tcW w:w="1248" w:type="dxa"/>
            <w:noWrap w:val="0"/>
            <w:vAlign w:val="center"/>
          </w:tcPr>
          <w:p w14:paraId="6E02C00F">
            <w:pPr>
              <w:ind w:left="-105" w:leftChars="-50" w:right="-105" w:rightChars="-50"/>
              <w:jc w:val="center"/>
              <w:rPr>
                <w:rFonts w:hint="default"/>
                <w:sz w:val="24"/>
                <w:lang w:val="en-US"/>
              </w:rPr>
            </w:pPr>
            <w:r>
              <w:rPr>
                <w:rFonts w:hint="eastAsia"/>
                <w:sz w:val="24"/>
                <w:lang w:val="en-US" w:eastAsia="zh-CN"/>
              </w:rPr>
              <w:t>+2.2</w:t>
            </w:r>
          </w:p>
        </w:tc>
      </w:tr>
      <w:tr w14:paraId="139F32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continue"/>
            <w:noWrap w:val="0"/>
            <w:vAlign w:val="center"/>
          </w:tcPr>
          <w:p w14:paraId="579FDEC7">
            <w:pPr>
              <w:pStyle w:val="88"/>
              <w:spacing w:beforeLines="0" w:afterLines="0" w:line="240" w:lineRule="auto"/>
              <w:ind w:firstLine="0" w:firstLineChars="0"/>
              <w:rPr>
                <w:rFonts w:hint="eastAsia" w:cs="宋体"/>
                <w:snapToGrid w:val="0"/>
                <w:kern w:val="21"/>
                <w:szCs w:val="24"/>
              </w:rPr>
            </w:pPr>
          </w:p>
        </w:tc>
        <w:tc>
          <w:tcPr>
            <w:tcW w:w="1709" w:type="dxa"/>
            <w:noWrap w:val="0"/>
            <w:vAlign w:val="center"/>
          </w:tcPr>
          <w:p w14:paraId="63889093">
            <w:pPr>
              <w:jc w:val="center"/>
              <w:rPr>
                <w:rFonts w:hint="eastAsia" w:eastAsia="宋体"/>
                <w:snapToGrid w:val="0"/>
                <w:kern w:val="21"/>
                <w:sz w:val="24"/>
                <w:lang w:val="en-US" w:eastAsia="zh-CN"/>
              </w:rPr>
            </w:pPr>
            <w:r>
              <w:rPr>
                <w:rFonts w:hint="eastAsia"/>
                <w:snapToGrid w:val="0"/>
                <w:kern w:val="21"/>
                <w:sz w:val="24"/>
                <w:lang w:val="en-US" w:eastAsia="zh-CN"/>
              </w:rPr>
              <w:t>氨</w:t>
            </w:r>
          </w:p>
        </w:tc>
        <w:tc>
          <w:tcPr>
            <w:tcW w:w="1693" w:type="dxa"/>
            <w:noWrap w:val="0"/>
            <w:vAlign w:val="center"/>
          </w:tcPr>
          <w:p w14:paraId="2A7D1796">
            <w:pPr>
              <w:jc w:val="center"/>
              <w:rPr>
                <w:rFonts w:hint="eastAsia" w:eastAsia="宋体"/>
                <w:snapToGrid w:val="0"/>
                <w:color w:val="000000"/>
                <w:kern w:val="21"/>
                <w:sz w:val="24"/>
                <w:lang w:val="en-US" w:eastAsia="zh-CN"/>
              </w:rPr>
            </w:pPr>
            <w:r>
              <w:rPr>
                <w:rFonts w:hint="eastAsia"/>
                <w:snapToGrid w:val="0"/>
                <w:color w:val="000000"/>
                <w:kern w:val="21"/>
                <w:sz w:val="24"/>
                <w:lang w:val="en-US" w:eastAsia="zh-CN"/>
              </w:rPr>
              <w:t>/</w:t>
            </w:r>
          </w:p>
        </w:tc>
        <w:tc>
          <w:tcPr>
            <w:tcW w:w="1270" w:type="dxa"/>
            <w:noWrap w:val="0"/>
            <w:vAlign w:val="center"/>
          </w:tcPr>
          <w:p w14:paraId="377BB44D">
            <w:pPr>
              <w:jc w:val="center"/>
              <w:rPr>
                <w:snapToGrid w:val="0"/>
                <w:color w:val="000000"/>
                <w:kern w:val="21"/>
                <w:sz w:val="24"/>
              </w:rPr>
            </w:pPr>
            <w:r>
              <w:rPr>
                <w:rFonts w:hint="eastAsia"/>
                <w:snapToGrid w:val="0"/>
                <w:color w:val="000000"/>
                <w:kern w:val="21"/>
                <w:sz w:val="24"/>
                <w:lang w:val="en-US" w:eastAsia="zh-CN"/>
              </w:rPr>
              <w:t>/</w:t>
            </w:r>
          </w:p>
        </w:tc>
        <w:tc>
          <w:tcPr>
            <w:tcW w:w="1693" w:type="dxa"/>
            <w:noWrap w:val="0"/>
            <w:vAlign w:val="center"/>
          </w:tcPr>
          <w:p w14:paraId="42EB0F4F">
            <w:pPr>
              <w:jc w:val="center"/>
              <w:rPr>
                <w:snapToGrid w:val="0"/>
                <w:color w:val="000000"/>
                <w:kern w:val="21"/>
                <w:sz w:val="24"/>
              </w:rPr>
            </w:pPr>
            <w:r>
              <w:rPr>
                <w:rFonts w:hint="eastAsia"/>
                <w:snapToGrid w:val="0"/>
                <w:color w:val="000000"/>
                <w:kern w:val="21"/>
                <w:sz w:val="24"/>
                <w:lang w:val="en-US" w:eastAsia="zh-CN"/>
              </w:rPr>
              <w:t>/</w:t>
            </w:r>
          </w:p>
        </w:tc>
        <w:tc>
          <w:tcPr>
            <w:tcW w:w="1551" w:type="dxa"/>
            <w:noWrap w:val="0"/>
            <w:vAlign w:val="center"/>
          </w:tcPr>
          <w:p w14:paraId="5CB8FFAC">
            <w:pPr>
              <w:ind w:left="-105" w:leftChars="-50" w:right="-105" w:rightChars="-50"/>
              <w:jc w:val="center"/>
              <w:rPr>
                <w:rFonts w:hint="eastAsia"/>
                <w:sz w:val="24"/>
                <w:lang w:val="en-US" w:eastAsia="zh-CN"/>
              </w:rPr>
            </w:pPr>
            <w:r>
              <w:rPr>
                <w:rFonts w:hint="eastAsia"/>
                <w:sz w:val="24"/>
                <w:lang w:val="en-US" w:eastAsia="zh-CN"/>
              </w:rPr>
              <w:t>6.5</w:t>
            </w:r>
          </w:p>
        </w:tc>
        <w:tc>
          <w:tcPr>
            <w:tcW w:w="1751" w:type="dxa"/>
            <w:noWrap w:val="0"/>
            <w:vAlign w:val="center"/>
          </w:tcPr>
          <w:p w14:paraId="3A9AB880">
            <w:pPr>
              <w:jc w:val="center"/>
              <w:rPr>
                <w:snapToGrid w:val="0"/>
                <w:color w:val="000000"/>
                <w:kern w:val="21"/>
                <w:sz w:val="24"/>
              </w:rPr>
            </w:pPr>
            <w:r>
              <w:rPr>
                <w:rFonts w:hint="eastAsia"/>
                <w:snapToGrid w:val="0"/>
                <w:color w:val="000000"/>
                <w:kern w:val="21"/>
                <w:sz w:val="24"/>
                <w:lang w:val="en-US" w:eastAsia="zh-CN"/>
              </w:rPr>
              <w:t>/</w:t>
            </w:r>
          </w:p>
        </w:tc>
        <w:tc>
          <w:tcPr>
            <w:tcW w:w="1800" w:type="dxa"/>
            <w:noWrap w:val="0"/>
            <w:vAlign w:val="center"/>
          </w:tcPr>
          <w:p w14:paraId="4D6AC092">
            <w:pPr>
              <w:ind w:left="-105" w:leftChars="-50" w:right="-105" w:rightChars="-50"/>
              <w:jc w:val="center"/>
              <w:rPr>
                <w:rFonts w:hint="default"/>
                <w:sz w:val="24"/>
                <w:lang w:val="en-US" w:eastAsia="zh-CN"/>
              </w:rPr>
            </w:pPr>
            <w:r>
              <w:rPr>
                <w:rFonts w:hint="eastAsia"/>
                <w:sz w:val="24"/>
                <w:lang w:val="en-US" w:eastAsia="zh-CN"/>
              </w:rPr>
              <w:t>6.5</w:t>
            </w:r>
          </w:p>
        </w:tc>
        <w:tc>
          <w:tcPr>
            <w:tcW w:w="1248" w:type="dxa"/>
            <w:noWrap w:val="0"/>
            <w:vAlign w:val="center"/>
          </w:tcPr>
          <w:p w14:paraId="116EE22C">
            <w:pPr>
              <w:ind w:left="-105" w:leftChars="-50" w:right="-105" w:rightChars="-50"/>
              <w:jc w:val="center"/>
              <w:rPr>
                <w:rFonts w:hint="default"/>
                <w:sz w:val="24"/>
                <w:lang w:val="en-US" w:eastAsia="zh-CN"/>
              </w:rPr>
            </w:pPr>
            <w:r>
              <w:rPr>
                <w:rFonts w:hint="eastAsia"/>
                <w:sz w:val="24"/>
                <w:lang w:val="en-US" w:eastAsia="zh-CN"/>
              </w:rPr>
              <w:t>+6.5</w:t>
            </w:r>
          </w:p>
        </w:tc>
      </w:tr>
      <w:tr w14:paraId="60DB9E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81" w:type="dxa"/>
            <w:vMerge w:val="restart"/>
            <w:noWrap w:val="0"/>
            <w:vAlign w:val="center"/>
          </w:tcPr>
          <w:p w14:paraId="2790BDC1">
            <w:pPr>
              <w:pStyle w:val="186"/>
              <w:spacing w:line="240" w:lineRule="auto"/>
              <w:ind w:firstLine="0" w:firstLineChars="0"/>
              <w:jc w:val="center"/>
              <w:rPr>
                <w:b/>
                <w:bCs/>
              </w:rPr>
            </w:pPr>
            <w:r>
              <w:rPr>
                <w:b/>
                <w:bCs/>
              </w:rPr>
              <w:t>一般工业</w:t>
            </w:r>
          </w:p>
          <w:p w14:paraId="2B35E520">
            <w:pPr>
              <w:pStyle w:val="186"/>
              <w:spacing w:line="240" w:lineRule="auto"/>
              <w:ind w:firstLine="0" w:firstLineChars="0"/>
              <w:jc w:val="center"/>
              <w:rPr>
                <w:b/>
                <w:bCs/>
              </w:rPr>
            </w:pPr>
            <w:r>
              <w:rPr>
                <w:b/>
                <w:bCs/>
              </w:rPr>
              <w:t>固体废物</w:t>
            </w:r>
          </w:p>
        </w:tc>
        <w:tc>
          <w:tcPr>
            <w:tcW w:w="1709" w:type="dxa"/>
            <w:noWrap w:val="0"/>
            <w:vAlign w:val="center"/>
          </w:tcPr>
          <w:p w14:paraId="45E6064B">
            <w:pPr>
              <w:pStyle w:val="160"/>
              <w:keepNext w:val="0"/>
              <w:widowControl/>
              <w:snapToGrid w:val="0"/>
              <w:spacing w:after="0" w:line="240" w:lineRule="auto"/>
              <w:ind w:firstLine="0" w:firstLineChars="0"/>
              <w:rPr>
                <w:rFonts w:hint="eastAsia"/>
                <w:sz w:val="24"/>
                <w:szCs w:val="24"/>
              </w:rPr>
            </w:pPr>
            <w:r>
              <w:rPr>
                <w:rFonts w:hint="eastAsia" w:hAnsi="Times New Roman" w:eastAsia="宋体"/>
                <w:sz w:val="24"/>
                <w:szCs w:val="24"/>
              </w:rPr>
              <w:t>磁选废物</w:t>
            </w:r>
          </w:p>
        </w:tc>
        <w:tc>
          <w:tcPr>
            <w:tcW w:w="1693" w:type="dxa"/>
            <w:noWrap w:val="0"/>
            <w:vAlign w:val="center"/>
          </w:tcPr>
          <w:p w14:paraId="3519C1CA">
            <w:pPr>
              <w:pStyle w:val="160"/>
              <w:keepNext w:val="0"/>
              <w:widowControl/>
              <w:snapToGrid w:val="0"/>
              <w:spacing w:after="0" w:line="240" w:lineRule="auto"/>
              <w:ind w:firstLine="0" w:firstLineChars="0"/>
              <w:rPr>
                <w:snapToGrid w:val="0"/>
                <w:color w:val="000000"/>
                <w:kern w:val="21"/>
                <w:sz w:val="24"/>
                <w:szCs w:val="24"/>
              </w:rPr>
            </w:pPr>
            <w:r>
              <w:rPr>
                <w:rFonts w:hint="eastAsia" w:hAnsi="Times New Roman" w:eastAsia="宋体"/>
                <w:sz w:val="24"/>
                <w:szCs w:val="24"/>
              </w:rPr>
              <w:t>30</w:t>
            </w:r>
          </w:p>
        </w:tc>
        <w:tc>
          <w:tcPr>
            <w:tcW w:w="1270" w:type="dxa"/>
            <w:noWrap w:val="0"/>
            <w:vAlign w:val="center"/>
          </w:tcPr>
          <w:p w14:paraId="4C1346BE">
            <w:pPr>
              <w:jc w:val="center"/>
              <w:rPr>
                <w:snapToGrid w:val="0"/>
                <w:color w:val="000000"/>
                <w:kern w:val="21"/>
                <w:sz w:val="24"/>
              </w:rPr>
            </w:pPr>
            <w:r>
              <w:rPr>
                <w:snapToGrid w:val="0"/>
                <w:color w:val="000000"/>
                <w:kern w:val="21"/>
                <w:sz w:val="24"/>
              </w:rPr>
              <w:t>/</w:t>
            </w:r>
          </w:p>
        </w:tc>
        <w:tc>
          <w:tcPr>
            <w:tcW w:w="1693" w:type="dxa"/>
            <w:noWrap w:val="0"/>
            <w:vAlign w:val="center"/>
          </w:tcPr>
          <w:p w14:paraId="2C6DE7E0">
            <w:pPr>
              <w:jc w:val="center"/>
              <w:rPr>
                <w:snapToGrid w:val="0"/>
                <w:color w:val="000000"/>
                <w:kern w:val="21"/>
                <w:sz w:val="24"/>
              </w:rPr>
            </w:pPr>
            <w:r>
              <w:rPr>
                <w:snapToGrid w:val="0"/>
                <w:color w:val="000000"/>
                <w:kern w:val="21"/>
                <w:sz w:val="24"/>
              </w:rPr>
              <w:t>/</w:t>
            </w:r>
          </w:p>
        </w:tc>
        <w:tc>
          <w:tcPr>
            <w:tcW w:w="1551" w:type="dxa"/>
            <w:noWrap w:val="0"/>
            <w:vAlign w:val="center"/>
          </w:tcPr>
          <w:p w14:paraId="10F5ACE7">
            <w:pPr>
              <w:spacing w:line="320" w:lineRule="atLeast"/>
              <w:jc w:val="center"/>
              <w:rPr>
                <w:snapToGrid w:val="0"/>
                <w:color w:val="000000"/>
                <w:kern w:val="21"/>
                <w:sz w:val="24"/>
              </w:rPr>
            </w:pPr>
            <w:r>
              <w:rPr>
                <w:bCs/>
                <w:sz w:val="24"/>
              </w:rPr>
              <w:t>12</w:t>
            </w:r>
          </w:p>
        </w:tc>
        <w:tc>
          <w:tcPr>
            <w:tcW w:w="1751" w:type="dxa"/>
            <w:noWrap w:val="0"/>
            <w:vAlign w:val="center"/>
          </w:tcPr>
          <w:p w14:paraId="4FF19BBA">
            <w:pPr>
              <w:jc w:val="center"/>
              <w:rPr>
                <w:snapToGrid w:val="0"/>
                <w:color w:val="000000"/>
                <w:kern w:val="21"/>
                <w:sz w:val="24"/>
              </w:rPr>
            </w:pPr>
            <w:r>
              <w:rPr>
                <w:rFonts w:hint="eastAsia"/>
                <w:snapToGrid w:val="0"/>
                <w:color w:val="000000"/>
                <w:kern w:val="21"/>
                <w:sz w:val="24"/>
              </w:rPr>
              <w:t>/</w:t>
            </w:r>
          </w:p>
        </w:tc>
        <w:tc>
          <w:tcPr>
            <w:tcW w:w="1800" w:type="dxa"/>
            <w:noWrap w:val="0"/>
            <w:vAlign w:val="center"/>
          </w:tcPr>
          <w:p w14:paraId="52F74328">
            <w:pPr>
              <w:pStyle w:val="31"/>
              <w:ind w:leftChars="0" w:firstLine="0" w:firstLineChars="0"/>
              <w:jc w:val="center"/>
              <w:rPr>
                <w:rFonts w:hint="default"/>
                <w:snapToGrid w:val="0"/>
                <w:color w:val="000000"/>
                <w:kern w:val="21"/>
                <w:sz w:val="24"/>
                <w:szCs w:val="24"/>
              </w:rPr>
            </w:pPr>
            <w:r>
              <w:rPr>
                <w:snapToGrid w:val="0"/>
                <w:color w:val="000000"/>
                <w:kern w:val="21"/>
                <w:sz w:val="24"/>
                <w:szCs w:val="24"/>
              </w:rPr>
              <w:t>42</w:t>
            </w:r>
          </w:p>
        </w:tc>
        <w:tc>
          <w:tcPr>
            <w:tcW w:w="1248" w:type="dxa"/>
            <w:noWrap w:val="0"/>
            <w:vAlign w:val="center"/>
          </w:tcPr>
          <w:p w14:paraId="6523FD9E">
            <w:pPr>
              <w:spacing w:line="320" w:lineRule="atLeast"/>
              <w:jc w:val="center"/>
              <w:rPr>
                <w:snapToGrid w:val="0"/>
                <w:color w:val="000000"/>
                <w:kern w:val="21"/>
                <w:sz w:val="24"/>
              </w:rPr>
            </w:pPr>
            <w:r>
              <w:rPr>
                <w:rFonts w:hint="eastAsia"/>
                <w:bCs/>
                <w:sz w:val="24"/>
              </w:rPr>
              <w:t>+</w:t>
            </w:r>
            <w:r>
              <w:rPr>
                <w:bCs/>
                <w:sz w:val="24"/>
              </w:rPr>
              <w:t>12</w:t>
            </w:r>
          </w:p>
        </w:tc>
      </w:tr>
      <w:tr w14:paraId="4AFFB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81" w:type="dxa"/>
            <w:vMerge w:val="continue"/>
            <w:noWrap w:val="0"/>
            <w:vAlign w:val="center"/>
          </w:tcPr>
          <w:p w14:paraId="1B4E9F62">
            <w:pPr>
              <w:pStyle w:val="186"/>
              <w:spacing w:line="240" w:lineRule="auto"/>
              <w:ind w:firstLine="0" w:firstLineChars="0"/>
              <w:jc w:val="center"/>
              <w:rPr>
                <w:b/>
                <w:bCs/>
              </w:rPr>
            </w:pPr>
          </w:p>
        </w:tc>
        <w:tc>
          <w:tcPr>
            <w:tcW w:w="1709" w:type="dxa"/>
            <w:noWrap w:val="0"/>
            <w:vAlign w:val="center"/>
          </w:tcPr>
          <w:p w14:paraId="514E4309">
            <w:pPr>
              <w:jc w:val="center"/>
              <w:rPr>
                <w:rFonts w:hint="eastAsia"/>
                <w:sz w:val="24"/>
              </w:rPr>
            </w:pPr>
            <w:r>
              <w:rPr>
                <w:rFonts w:hint="eastAsia"/>
                <w:sz w:val="24"/>
              </w:rPr>
              <w:t>废布袋</w:t>
            </w:r>
          </w:p>
        </w:tc>
        <w:tc>
          <w:tcPr>
            <w:tcW w:w="1693" w:type="dxa"/>
            <w:noWrap w:val="0"/>
            <w:vAlign w:val="center"/>
          </w:tcPr>
          <w:p w14:paraId="2CB07FD6">
            <w:pPr>
              <w:pStyle w:val="160"/>
              <w:keepNext w:val="0"/>
              <w:widowControl/>
              <w:snapToGrid w:val="0"/>
              <w:spacing w:after="0" w:line="240" w:lineRule="auto"/>
              <w:ind w:firstLine="0" w:firstLineChars="0"/>
              <w:rPr>
                <w:snapToGrid w:val="0"/>
                <w:color w:val="000000"/>
                <w:kern w:val="21"/>
                <w:sz w:val="24"/>
                <w:szCs w:val="24"/>
              </w:rPr>
            </w:pPr>
            <w:r>
              <w:rPr>
                <w:rFonts w:hint="eastAsia" w:hAnsi="Times New Roman" w:eastAsia="宋体"/>
                <w:sz w:val="24"/>
                <w:szCs w:val="24"/>
              </w:rPr>
              <w:t>0.2</w:t>
            </w:r>
          </w:p>
        </w:tc>
        <w:tc>
          <w:tcPr>
            <w:tcW w:w="1270" w:type="dxa"/>
            <w:noWrap w:val="0"/>
            <w:vAlign w:val="center"/>
          </w:tcPr>
          <w:p w14:paraId="610E346C">
            <w:pPr>
              <w:jc w:val="center"/>
              <w:rPr>
                <w:snapToGrid w:val="0"/>
                <w:color w:val="000000"/>
                <w:kern w:val="21"/>
                <w:sz w:val="24"/>
              </w:rPr>
            </w:pPr>
            <w:r>
              <w:rPr>
                <w:snapToGrid w:val="0"/>
                <w:color w:val="000000"/>
                <w:kern w:val="21"/>
                <w:sz w:val="24"/>
              </w:rPr>
              <w:t>/</w:t>
            </w:r>
          </w:p>
        </w:tc>
        <w:tc>
          <w:tcPr>
            <w:tcW w:w="1693" w:type="dxa"/>
            <w:noWrap w:val="0"/>
            <w:vAlign w:val="center"/>
          </w:tcPr>
          <w:p w14:paraId="5B736C4A">
            <w:pPr>
              <w:jc w:val="center"/>
              <w:rPr>
                <w:snapToGrid w:val="0"/>
                <w:color w:val="000000"/>
                <w:kern w:val="21"/>
                <w:sz w:val="24"/>
              </w:rPr>
            </w:pPr>
            <w:r>
              <w:rPr>
                <w:snapToGrid w:val="0"/>
                <w:color w:val="000000"/>
                <w:kern w:val="21"/>
                <w:sz w:val="24"/>
              </w:rPr>
              <w:t>/</w:t>
            </w:r>
          </w:p>
        </w:tc>
        <w:tc>
          <w:tcPr>
            <w:tcW w:w="1551" w:type="dxa"/>
            <w:noWrap w:val="0"/>
            <w:vAlign w:val="center"/>
          </w:tcPr>
          <w:p w14:paraId="336EE4AB">
            <w:pPr>
              <w:spacing w:line="320" w:lineRule="atLeast"/>
              <w:jc w:val="center"/>
              <w:rPr>
                <w:snapToGrid w:val="0"/>
                <w:color w:val="000000"/>
                <w:kern w:val="21"/>
                <w:sz w:val="24"/>
              </w:rPr>
            </w:pPr>
            <w:r>
              <w:rPr>
                <w:bCs/>
                <w:sz w:val="24"/>
              </w:rPr>
              <w:t>0.</w:t>
            </w:r>
            <w:r>
              <w:rPr>
                <w:rFonts w:hint="eastAsia"/>
                <w:bCs/>
                <w:sz w:val="24"/>
              </w:rPr>
              <w:t>2</w:t>
            </w:r>
          </w:p>
        </w:tc>
        <w:tc>
          <w:tcPr>
            <w:tcW w:w="1751" w:type="dxa"/>
            <w:noWrap w:val="0"/>
            <w:vAlign w:val="center"/>
          </w:tcPr>
          <w:p w14:paraId="07750D3C">
            <w:pPr>
              <w:jc w:val="center"/>
              <w:rPr>
                <w:rFonts w:hint="eastAsia"/>
                <w:snapToGrid w:val="0"/>
                <w:color w:val="000000"/>
                <w:kern w:val="21"/>
                <w:sz w:val="24"/>
              </w:rPr>
            </w:pPr>
            <w:r>
              <w:rPr>
                <w:rFonts w:hint="eastAsia"/>
                <w:snapToGrid w:val="0"/>
                <w:color w:val="000000"/>
                <w:kern w:val="21"/>
                <w:sz w:val="24"/>
              </w:rPr>
              <w:t>/</w:t>
            </w:r>
          </w:p>
        </w:tc>
        <w:tc>
          <w:tcPr>
            <w:tcW w:w="1800" w:type="dxa"/>
            <w:noWrap w:val="0"/>
            <w:vAlign w:val="center"/>
          </w:tcPr>
          <w:p w14:paraId="51092BDD">
            <w:pPr>
              <w:pStyle w:val="31"/>
              <w:ind w:leftChars="0" w:firstLine="0" w:firstLineChars="0"/>
              <w:jc w:val="center"/>
              <w:rPr>
                <w:rFonts w:hint="default"/>
                <w:snapToGrid w:val="0"/>
                <w:color w:val="000000"/>
                <w:kern w:val="21"/>
                <w:sz w:val="24"/>
                <w:szCs w:val="24"/>
              </w:rPr>
            </w:pPr>
            <w:r>
              <w:rPr>
                <w:snapToGrid w:val="0"/>
                <w:color w:val="000000"/>
                <w:kern w:val="21"/>
                <w:sz w:val="24"/>
                <w:szCs w:val="24"/>
              </w:rPr>
              <w:t>0.4</w:t>
            </w:r>
          </w:p>
        </w:tc>
        <w:tc>
          <w:tcPr>
            <w:tcW w:w="1248" w:type="dxa"/>
            <w:noWrap w:val="0"/>
            <w:vAlign w:val="center"/>
          </w:tcPr>
          <w:p w14:paraId="23D8E13B">
            <w:pPr>
              <w:spacing w:line="320" w:lineRule="atLeast"/>
              <w:jc w:val="center"/>
              <w:rPr>
                <w:snapToGrid w:val="0"/>
                <w:color w:val="000000"/>
                <w:kern w:val="21"/>
                <w:sz w:val="24"/>
              </w:rPr>
            </w:pPr>
            <w:r>
              <w:rPr>
                <w:rFonts w:hint="eastAsia"/>
                <w:bCs/>
                <w:sz w:val="24"/>
              </w:rPr>
              <w:t>+</w:t>
            </w:r>
            <w:r>
              <w:rPr>
                <w:bCs/>
                <w:sz w:val="24"/>
              </w:rPr>
              <w:t>0.</w:t>
            </w:r>
            <w:r>
              <w:rPr>
                <w:rFonts w:hint="eastAsia"/>
                <w:bCs/>
                <w:sz w:val="24"/>
              </w:rPr>
              <w:t>2</w:t>
            </w:r>
          </w:p>
        </w:tc>
      </w:tr>
      <w:tr w14:paraId="35A53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81" w:type="dxa"/>
            <w:vMerge w:val="continue"/>
            <w:noWrap w:val="0"/>
            <w:vAlign w:val="center"/>
          </w:tcPr>
          <w:p w14:paraId="37C9A406">
            <w:pPr>
              <w:pStyle w:val="186"/>
              <w:spacing w:line="240" w:lineRule="auto"/>
              <w:ind w:firstLine="0" w:firstLineChars="0"/>
              <w:jc w:val="center"/>
              <w:rPr>
                <w:b/>
                <w:bCs/>
              </w:rPr>
            </w:pPr>
          </w:p>
        </w:tc>
        <w:tc>
          <w:tcPr>
            <w:tcW w:w="1709" w:type="dxa"/>
            <w:noWrap w:val="0"/>
            <w:vAlign w:val="center"/>
          </w:tcPr>
          <w:p w14:paraId="7C44045E">
            <w:pPr>
              <w:jc w:val="center"/>
              <w:rPr>
                <w:rFonts w:hint="eastAsia"/>
                <w:sz w:val="24"/>
              </w:rPr>
            </w:pPr>
            <w:r>
              <w:rPr>
                <w:sz w:val="24"/>
              </w:rPr>
              <w:t>除尘器收集的粉尘</w:t>
            </w:r>
          </w:p>
        </w:tc>
        <w:tc>
          <w:tcPr>
            <w:tcW w:w="1693" w:type="dxa"/>
            <w:noWrap w:val="0"/>
            <w:vAlign w:val="center"/>
          </w:tcPr>
          <w:p w14:paraId="16180055">
            <w:pPr>
              <w:pStyle w:val="160"/>
              <w:keepNext w:val="0"/>
              <w:widowControl/>
              <w:snapToGrid w:val="0"/>
              <w:spacing w:after="0" w:line="240" w:lineRule="auto"/>
              <w:ind w:firstLine="0" w:firstLineChars="0"/>
              <w:rPr>
                <w:rFonts w:hint="default" w:eastAsia="宋体"/>
                <w:snapToGrid w:val="0"/>
                <w:color w:val="000000"/>
                <w:kern w:val="21"/>
                <w:sz w:val="24"/>
                <w:szCs w:val="24"/>
                <w:lang w:val="en-US" w:eastAsia="zh-CN"/>
              </w:rPr>
            </w:pPr>
            <w:r>
              <w:rPr>
                <w:rFonts w:hint="eastAsia" w:hAnsi="Times New Roman" w:eastAsia="宋体"/>
                <w:sz w:val="24"/>
                <w:szCs w:val="24"/>
                <w:lang w:val="en-US" w:eastAsia="zh-CN"/>
              </w:rPr>
              <w:t>35</w:t>
            </w:r>
          </w:p>
        </w:tc>
        <w:tc>
          <w:tcPr>
            <w:tcW w:w="1270" w:type="dxa"/>
            <w:noWrap w:val="0"/>
            <w:vAlign w:val="center"/>
          </w:tcPr>
          <w:p w14:paraId="0FBFAADD">
            <w:pPr>
              <w:jc w:val="center"/>
              <w:rPr>
                <w:snapToGrid w:val="0"/>
                <w:color w:val="000000"/>
                <w:kern w:val="21"/>
                <w:sz w:val="24"/>
              </w:rPr>
            </w:pPr>
            <w:r>
              <w:rPr>
                <w:snapToGrid w:val="0"/>
                <w:color w:val="000000"/>
                <w:kern w:val="21"/>
                <w:sz w:val="24"/>
              </w:rPr>
              <w:t>/</w:t>
            </w:r>
          </w:p>
        </w:tc>
        <w:tc>
          <w:tcPr>
            <w:tcW w:w="1693" w:type="dxa"/>
            <w:noWrap w:val="0"/>
            <w:vAlign w:val="center"/>
          </w:tcPr>
          <w:p w14:paraId="1AFF72D4">
            <w:pPr>
              <w:jc w:val="center"/>
              <w:rPr>
                <w:snapToGrid w:val="0"/>
                <w:color w:val="000000"/>
                <w:kern w:val="21"/>
                <w:sz w:val="24"/>
              </w:rPr>
            </w:pPr>
            <w:r>
              <w:rPr>
                <w:snapToGrid w:val="0"/>
                <w:color w:val="000000"/>
                <w:kern w:val="21"/>
                <w:sz w:val="24"/>
              </w:rPr>
              <w:t>/</w:t>
            </w:r>
          </w:p>
        </w:tc>
        <w:tc>
          <w:tcPr>
            <w:tcW w:w="1551" w:type="dxa"/>
            <w:noWrap w:val="0"/>
            <w:vAlign w:val="center"/>
          </w:tcPr>
          <w:p w14:paraId="04698EF2">
            <w:pPr>
              <w:spacing w:line="320" w:lineRule="atLeast"/>
              <w:jc w:val="center"/>
              <w:rPr>
                <w:rFonts w:hint="default" w:eastAsia="宋体"/>
                <w:snapToGrid w:val="0"/>
                <w:color w:val="000000"/>
                <w:kern w:val="21"/>
                <w:sz w:val="24"/>
                <w:lang w:val="en-US" w:eastAsia="zh-CN"/>
              </w:rPr>
            </w:pPr>
            <w:r>
              <w:rPr>
                <w:rFonts w:hint="eastAsia"/>
                <w:bCs/>
                <w:sz w:val="24"/>
                <w:lang w:val="en-US" w:eastAsia="zh-CN"/>
              </w:rPr>
              <w:t>23</w:t>
            </w:r>
          </w:p>
        </w:tc>
        <w:tc>
          <w:tcPr>
            <w:tcW w:w="1751" w:type="dxa"/>
            <w:noWrap w:val="0"/>
            <w:vAlign w:val="center"/>
          </w:tcPr>
          <w:p w14:paraId="34BBC08E">
            <w:pPr>
              <w:jc w:val="center"/>
              <w:rPr>
                <w:rFonts w:hint="eastAsia"/>
                <w:snapToGrid w:val="0"/>
                <w:color w:val="000000"/>
                <w:kern w:val="21"/>
                <w:sz w:val="24"/>
              </w:rPr>
            </w:pPr>
            <w:r>
              <w:rPr>
                <w:rFonts w:hint="eastAsia"/>
                <w:snapToGrid w:val="0"/>
                <w:color w:val="000000"/>
                <w:kern w:val="21"/>
                <w:sz w:val="24"/>
              </w:rPr>
              <w:t>/</w:t>
            </w:r>
          </w:p>
        </w:tc>
        <w:tc>
          <w:tcPr>
            <w:tcW w:w="1800" w:type="dxa"/>
            <w:noWrap w:val="0"/>
            <w:vAlign w:val="center"/>
          </w:tcPr>
          <w:p w14:paraId="4339253C">
            <w:pPr>
              <w:pStyle w:val="31"/>
              <w:ind w:leftChars="0" w:firstLine="0" w:firstLineChars="0"/>
              <w:jc w:val="center"/>
              <w:rPr>
                <w:rFonts w:hint="default" w:eastAsia="宋体"/>
                <w:snapToGrid w:val="0"/>
                <w:color w:val="000000"/>
                <w:kern w:val="21"/>
                <w:sz w:val="24"/>
                <w:szCs w:val="24"/>
                <w:lang w:val="en-US" w:eastAsia="zh-CN"/>
              </w:rPr>
            </w:pPr>
            <w:r>
              <w:rPr>
                <w:rFonts w:hint="eastAsia"/>
                <w:snapToGrid w:val="0"/>
                <w:color w:val="000000"/>
                <w:kern w:val="21"/>
                <w:sz w:val="24"/>
                <w:szCs w:val="24"/>
                <w:lang w:val="en-US" w:eastAsia="zh-CN"/>
              </w:rPr>
              <w:t>58</w:t>
            </w:r>
          </w:p>
        </w:tc>
        <w:tc>
          <w:tcPr>
            <w:tcW w:w="1248" w:type="dxa"/>
            <w:noWrap w:val="0"/>
            <w:vAlign w:val="center"/>
          </w:tcPr>
          <w:p w14:paraId="0EB893BD">
            <w:pPr>
              <w:spacing w:line="320" w:lineRule="atLeast"/>
              <w:jc w:val="center"/>
              <w:rPr>
                <w:rFonts w:hint="default" w:eastAsia="宋体"/>
                <w:snapToGrid w:val="0"/>
                <w:color w:val="000000"/>
                <w:kern w:val="21"/>
                <w:sz w:val="24"/>
                <w:lang w:val="en-US" w:eastAsia="zh-CN"/>
              </w:rPr>
            </w:pPr>
            <w:r>
              <w:rPr>
                <w:rFonts w:hint="eastAsia"/>
                <w:bCs/>
                <w:sz w:val="24"/>
              </w:rPr>
              <w:t>+</w:t>
            </w:r>
            <w:r>
              <w:rPr>
                <w:rFonts w:hint="eastAsia"/>
                <w:bCs/>
                <w:sz w:val="24"/>
                <w:lang w:val="en-US" w:eastAsia="zh-CN"/>
              </w:rPr>
              <w:t>23</w:t>
            </w:r>
          </w:p>
        </w:tc>
      </w:tr>
      <w:tr w14:paraId="08201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81" w:type="dxa"/>
            <w:vMerge w:val="continue"/>
            <w:noWrap w:val="0"/>
            <w:vAlign w:val="center"/>
          </w:tcPr>
          <w:p w14:paraId="656D0AF3">
            <w:pPr>
              <w:pStyle w:val="186"/>
              <w:spacing w:line="240" w:lineRule="auto"/>
              <w:ind w:firstLine="0" w:firstLineChars="0"/>
              <w:jc w:val="center"/>
              <w:rPr>
                <w:b/>
                <w:bCs/>
              </w:rPr>
            </w:pPr>
          </w:p>
        </w:tc>
        <w:tc>
          <w:tcPr>
            <w:tcW w:w="1709" w:type="dxa"/>
            <w:noWrap w:val="0"/>
            <w:vAlign w:val="center"/>
          </w:tcPr>
          <w:p w14:paraId="144C2E6D">
            <w:pPr>
              <w:jc w:val="center"/>
              <w:rPr>
                <w:rFonts w:hint="eastAsia"/>
                <w:sz w:val="24"/>
              </w:rPr>
            </w:pPr>
            <w:r>
              <w:rPr>
                <w:sz w:val="24"/>
              </w:rPr>
              <w:t>脱硫废渣</w:t>
            </w:r>
          </w:p>
        </w:tc>
        <w:tc>
          <w:tcPr>
            <w:tcW w:w="1693" w:type="dxa"/>
            <w:noWrap w:val="0"/>
            <w:vAlign w:val="center"/>
          </w:tcPr>
          <w:p w14:paraId="6B01108F">
            <w:pPr>
              <w:pStyle w:val="160"/>
              <w:keepNext w:val="0"/>
              <w:widowControl/>
              <w:snapToGrid w:val="0"/>
              <w:spacing w:after="0" w:line="240" w:lineRule="auto"/>
              <w:ind w:firstLine="0" w:firstLineChars="0"/>
              <w:rPr>
                <w:snapToGrid w:val="0"/>
                <w:color w:val="000000"/>
                <w:kern w:val="21"/>
                <w:sz w:val="24"/>
                <w:szCs w:val="24"/>
              </w:rPr>
            </w:pPr>
            <w:r>
              <w:rPr>
                <w:rFonts w:hint="eastAsia" w:hAnsi="Times New Roman" w:eastAsia="宋体"/>
                <w:sz w:val="24"/>
                <w:szCs w:val="24"/>
                <w:lang w:val="en-US" w:eastAsia="zh-CN"/>
              </w:rPr>
              <w:t>22</w:t>
            </w:r>
            <w:r>
              <w:rPr>
                <w:rFonts w:hAnsi="Times New Roman" w:eastAsia="宋体"/>
                <w:sz w:val="24"/>
                <w:szCs w:val="24"/>
              </w:rPr>
              <w:t>00</w:t>
            </w:r>
          </w:p>
        </w:tc>
        <w:tc>
          <w:tcPr>
            <w:tcW w:w="1270" w:type="dxa"/>
            <w:noWrap w:val="0"/>
            <w:vAlign w:val="center"/>
          </w:tcPr>
          <w:p w14:paraId="32966814">
            <w:pPr>
              <w:jc w:val="center"/>
              <w:rPr>
                <w:snapToGrid w:val="0"/>
                <w:color w:val="000000"/>
                <w:kern w:val="21"/>
                <w:sz w:val="24"/>
              </w:rPr>
            </w:pPr>
            <w:r>
              <w:rPr>
                <w:snapToGrid w:val="0"/>
                <w:color w:val="000000"/>
                <w:kern w:val="21"/>
                <w:sz w:val="24"/>
              </w:rPr>
              <w:t>/</w:t>
            </w:r>
          </w:p>
        </w:tc>
        <w:tc>
          <w:tcPr>
            <w:tcW w:w="1693" w:type="dxa"/>
            <w:noWrap w:val="0"/>
            <w:vAlign w:val="center"/>
          </w:tcPr>
          <w:p w14:paraId="4D834949">
            <w:pPr>
              <w:jc w:val="center"/>
              <w:rPr>
                <w:snapToGrid w:val="0"/>
                <w:color w:val="000000"/>
                <w:kern w:val="21"/>
                <w:sz w:val="24"/>
              </w:rPr>
            </w:pPr>
            <w:r>
              <w:rPr>
                <w:snapToGrid w:val="0"/>
                <w:color w:val="000000"/>
                <w:kern w:val="21"/>
                <w:sz w:val="24"/>
              </w:rPr>
              <w:t>/</w:t>
            </w:r>
          </w:p>
        </w:tc>
        <w:tc>
          <w:tcPr>
            <w:tcW w:w="1551" w:type="dxa"/>
            <w:noWrap w:val="0"/>
            <w:vAlign w:val="center"/>
          </w:tcPr>
          <w:p w14:paraId="41023EEF">
            <w:pPr>
              <w:spacing w:line="320" w:lineRule="atLeast"/>
              <w:jc w:val="center"/>
              <w:rPr>
                <w:rFonts w:hint="default" w:eastAsia="宋体"/>
                <w:snapToGrid w:val="0"/>
                <w:color w:val="000000"/>
                <w:kern w:val="21"/>
                <w:sz w:val="24"/>
                <w:lang w:val="en-US" w:eastAsia="zh-CN"/>
              </w:rPr>
            </w:pPr>
            <w:r>
              <w:rPr>
                <w:rFonts w:hint="eastAsia"/>
                <w:bCs/>
                <w:sz w:val="24"/>
                <w:lang w:val="en-US" w:eastAsia="zh-CN"/>
              </w:rPr>
              <w:t>800</w:t>
            </w:r>
          </w:p>
        </w:tc>
        <w:tc>
          <w:tcPr>
            <w:tcW w:w="1751" w:type="dxa"/>
            <w:noWrap w:val="0"/>
            <w:vAlign w:val="center"/>
          </w:tcPr>
          <w:p w14:paraId="00C89AF4">
            <w:pPr>
              <w:jc w:val="center"/>
              <w:rPr>
                <w:rFonts w:hint="eastAsia"/>
                <w:snapToGrid w:val="0"/>
                <w:color w:val="000000"/>
                <w:kern w:val="21"/>
                <w:sz w:val="24"/>
              </w:rPr>
            </w:pPr>
            <w:r>
              <w:rPr>
                <w:rFonts w:hint="eastAsia"/>
                <w:snapToGrid w:val="0"/>
                <w:color w:val="000000"/>
                <w:kern w:val="21"/>
                <w:sz w:val="24"/>
              </w:rPr>
              <w:t>/</w:t>
            </w:r>
          </w:p>
        </w:tc>
        <w:tc>
          <w:tcPr>
            <w:tcW w:w="1800" w:type="dxa"/>
            <w:noWrap w:val="0"/>
            <w:vAlign w:val="center"/>
          </w:tcPr>
          <w:p w14:paraId="577D9DC3">
            <w:pPr>
              <w:pStyle w:val="31"/>
              <w:ind w:leftChars="0" w:firstLine="0" w:firstLineChars="0"/>
              <w:jc w:val="center"/>
              <w:rPr>
                <w:rFonts w:hint="default"/>
                <w:snapToGrid w:val="0"/>
                <w:color w:val="000000"/>
                <w:kern w:val="21"/>
                <w:sz w:val="24"/>
                <w:szCs w:val="24"/>
              </w:rPr>
            </w:pPr>
            <w:r>
              <w:rPr>
                <w:rFonts w:hint="eastAsia"/>
                <w:snapToGrid w:val="0"/>
                <w:color w:val="000000"/>
                <w:kern w:val="21"/>
                <w:sz w:val="24"/>
                <w:szCs w:val="24"/>
                <w:lang w:val="en-US" w:eastAsia="zh-CN"/>
              </w:rPr>
              <w:t>30</w:t>
            </w:r>
            <w:r>
              <w:rPr>
                <w:snapToGrid w:val="0"/>
                <w:color w:val="000000"/>
                <w:kern w:val="21"/>
                <w:sz w:val="24"/>
                <w:szCs w:val="24"/>
              </w:rPr>
              <w:t>00</w:t>
            </w:r>
          </w:p>
        </w:tc>
        <w:tc>
          <w:tcPr>
            <w:tcW w:w="1248" w:type="dxa"/>
            <w:noWrap w:val="0"/>
            <w:vAlign w:val="center"/>
          </w:tcPr>
          <w:p w14:paraId="7146E7D5">
            <w:pPr>
              <w:spacing w:line="320" w:lineRule="atLeast"/>
              <w:jc w:val="center"/>
              <w:rPr>
                <w:rFonts w:hint="default" w:eastAsia="宋体"/>
                <w:snapToGrid w:val="0"/>
                <w:color w:val="000000"/>
                <w:kern w:val="21"/>
                <w:sz w:val="24"/>
                <w:lang w:val="en-US" w:eastAsia="zh-CN"/>
              </w:rPr>
            </w:pPr>
            <w:r>
              <w:rPr>
                <w:rFonts w:hint="eastAsia"/>
                <w:bCs/>
                <w:sz w:val="24"/>
              </w:rPr>
              <w:t>+</w:t>
            </w:r>
            <w:r>
              <w:rPr>
                <w:rFonts w:hint="eastAsia"/>
                <w:bCs/>
                <w:sz w:val="24"/>
                <w:lang w:val="en-US" w:eastAsia="zh-CN"/>
              </w:rPr>
              <w:t>800</w:t>
            </w:r>
          </w:p>
        </w:tc>
      </w:tr>
      <w:tr w14:paraId="3BC6F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continue"/>
            <w:noWrap w:val="0"/>
            <w:vAlign w:val="center"/>
          </w:tcPr>
          <w:p w14:paraId="47A03365">
            <w:pPr>
              <w:pStyle w:val="186"/>
              <w:spacing w:line="240" w:lineRule="auto"/>
              <w:ind w:firstLine="0" w:firstLineChars="0"/>
              <w:jc w:val="center"/>
              <w:rPr>
                <w:b/>
                <w:bCs/>
              </w:rPr>
            </w:pPr>
          </w:p>
        </w:tc>
        <w:tc>
          <w:tcPr>
            <w:tcW w:w="1709" w:type="dxa"/>
            <w:noWrap w:val="0"/>
            <w:vAlign w:val="center"/>
          </w:tcPr>
          <w:p w14:paraId="7D32AF05">
            <w:pPr>
              <w:jc w:val="center"/>
              <w:rPr>
                <w:rFonts w:hint="eastAsia"/>
                <w:sz w:val="24"/>
              </w:rPr>
            </w:pPr>
            <w:r>
              <w:rPr>
                <w:rFonts w:hint="eastAsia"/>
                <w:sz w:val="24"/>
              </w:rPr>
              <w:t>湿电除尘沉渣</w:t>
            </w:r>
          </w:p>
        </w:tc>
        <w:tc>
          <w:tcPr>
            <w:tcW w:w="1693" w:type="dxa"/>
            <w:noWrap w:val="0"/>
            <w:vAlign w:val="center"/>
          </w:tcPr>
          <w:p w14:paraId="515C13C0">
            <w:pPr>
              <w:pStyle w:val="160"/>
              <w:keepNext w:val="0"/>
              <w:widowControl/>
              <w:snapToGrid w:val="0"/>
              <w:spacing w:after="0" w:line="240" w:lineRule="auto"/>
              <w:ind w:firstLine="0" w:firstLineChars="0"/>
              <w:rPr>
                <w:rFonts w:hint="eastAsia" w:eastAsia="宋体"/>
                <w:snapToGrid w:val="0"/>
                <w:color w:val="000000"/>
                <w:kern w:val="21"/>
                <w:sz w:val="24"/>
                <w:szCs w:val="24"/>
                <w:lang w:val="en-US" w:eastAsia="zh-CN"/>
              </w:rPr>
            </w:pPr>
            <w:r>
              <w:rPr>
                <w:rFonts w:hint="eastAsia" w:hAnsi="Times New Roman" w:eastAsia="宋体"/>
                <w:sz w:val="24"/>
                <w:szCs w:val="24"/>
              </w:rPr>
              <w:t>15</w:t>
            </w:r>
            <w:r>
              <w:rPr>
                <w:rFonts w:hint="eastAsia" w:hAnsi="Times New Roman" w:eastAsia="宋体"/>
                <w:sz w:val="24"/>
                <w:szCs w:val="24"/>
                <w:lang w:val="en-US" w:eastAsia="zh-CN"/>
              </w:rPr>
              <w:t>0</w:t>
            </w:r>
          </w:p>
        </w:tc>
        <w:tc>
          <w:tcPr>
            <w:tcW w:w="1270" w:type="dxa"/>
            <w:noWrap w:val="0"/>
            <w:vAlign w:val="center"/>
          </w:tcPr>
          <w:p w14:paraId="065E4339">
            <w:pPr>
              <w:jc w:val="center"/>
              <w:rPr>
                <w:snapToGrid w:val="0"/>
                <w:color w:val="000000"/>
                <w:kern w:val="21"/>
                <w:sz w:val="24"/>
              </w:rPr>
            </w:pPr>
            <w:r>
              <w:rPr>
                <w:snapToGrid w:val="0"/>
                <w:color w:val="000000"/>
                <w:kern w:val="21"/>
                <w:sz w:val="24"/>
              </w:rPr>
              <w:t>/</w:t>
            </w:r>
          </w:p>
        </w:tc>
        <w:tc>
          <w:tcPr>
            <w:tcW w:w="1693" w:type="dxa"/>
            <w:noWrap w:val="0"/>
            <w:vAlign w:val="center"/>
          </w:tcPr>
          <w:p w14:paraId="385B7794">
            <w:pPr>
              <w:jc w:val="center"/>
              <w:rPr>
                <w:snapToGrid w:val="0"/>
                <w:color w:val="000000"/>
                <w:kern w:val="21"/>
                <w:sz w:val="24"/>
              </w:rPr>
            </w:pPr>
            <w:r>
              <w:rPr>
                <w:snapToGrid w:val="0"/>
                <w:color w:val="000000"/>
                <w:kern w:val="21"/>
                <w:sz w:val="24"/>
              </w:rPr>
              <w:t>/</w:t>
            </w:r>
          </w:p>
        </w:tc>
        <w:tc>
          <w:tcPr>
            <w:tcW w:w="1551" w:type="dxa"/>
            <w:noWrap w:val="0"/>
            <w:vAlign w:val="center"/>
          </w:tcPr>
          <w:p w14:paraId="101E9705">
            <w:pPr>
              <w:spacing w:line="320" w:lineRule="atLeast"/>
              <w:jc w:val="center"/>
              <w:rPr>
                <w:rFonts w:hint="default" w:eastAsia="宋体"/>
                <w:snapToGrid w:val="0"/>
                <w:color w:val="000000"/>
                <w:kern w:val="21"/>
                <w:sz w:val="24"/>
                <w:lang w:val="en-US" w:eastAsia="zh-CN"/>
              </w:rPr>
            </w:pPr>
            <w:r>
              <w:rPr>
                <w:rFonts w:hint="eastAsia"/>
                <w:bCs/>
                <w:sz w:val="24"/>
                <w:lang w:val="en-US" w:eastAsia="zh-CN"/>
              </w:rPr>
              <w:t>50</w:t>
            </w:r>
          </w:p>
        </w:tc>
        <w:tc>
          <w:tcPr>
            <w:tcW w:w="1751" w:type="dxa"/>
            <w:noWrap w:val="0"/>
            <w:vAlign w:val="center"/>
          </w:tcPr>
          <w:p w14:paraId="617B304A">
            <w:pPr>
              <w:jc w:val="center"/>
              <w:rPr>
                <w:snapToGrid w:val="0"/>
                <w:color w:val="000000"/>
                <w:kern w:val="21"/>
                <w:sz w:val="24"/>
              </w:rPr>
            </w:pPr>
            <w:r>
              <w:rPr>
                <w:rFonts w:hint="eastAsia"/>
                <w:snapToGrid w:val="0"/>
                <w:color w:val="000000"/>
                <w:kern w:val="21"/>
                <w:sz w:val="24"/>
              </w:rPr>
              <w:t>/</w:t>
            </w:r>
          </w:p>
        </w:tc>
        <w:tc>
          <w:tcPr>
            <w:tcW w:w="1800" w:type="dxa"/>
            <w:noWrap w:val="0"/>
            <w:vAlign w:val="center"/>
          </w:tcPr>
          <w:p w14:paraId="17F1FFE1">
            <w:pPr>
              <w:pStyle w:val="31"/>
              <w:ind w:leftChars="0" w:firstLine="0" w:firstLineChars="0"/>
              <w:jc w:val="center"/>
              <w:rPr>
                <w:rFonts w:hint="default" w:eastAsia="宋体"/>
                <w:snapToGrid w:val="0"/>
                <w:color w:val="000000"/>
                <w:kern w:val="21"/>
                <w:sz w:val="24"/>
                <w:szCs w:val="24"/>
                <w:lang w:val="en-US" w:eastAsia="zh-CN"/>
              </w:rPr>
            </w:pPr>
            <w:r>
              <w:rPr>
                <w:rFonts w:hint="eastAsia"/>
                <w:snapToGrid w:val="0"/>
                <w:color w:val="000000"/>
                <w:kern w:val="21"/>
                <w:sz w:val="24"/>
                <w:szCs w:val="24"/>
                <w:lang w:val="en-US" w:eastAsia="zh-CN"/>
              </w:rPr>
              <w:t>200</w:t>
            </w:r>
          </w:p>
        </w:tc>
        <w:tc>
          <w:tcPr>
            <w:tcW w:w="1248" w:type="dxa"/>
            <w:noWrap w:val="0"/>
            <w:vAlign w:val="center"/>
          </w:tcPr>
          <w:p w14:paraId="55407347">
            <w:pPr>
              <w:spacing w:line="320" w:lineRule="atLeast"/>
              <w:jc w:val="center"/>
              <w:rPr>
                <w:rFonts w:hint="default" w:eastAsia="宋体"/>
                <w:snapToGrid w:val="0"/>
                <w:color w:val="000000"/>
                <w:kern w:val="21"/>
                <w:sz w:val="24"/>
                <w:lang w:val="en-US" w:eastAsia="zh-CN"/>
              </w:rPr>
            </w:pPr>
            <w:r>
              <w:rPr>
                <w:rFonts w:hint="eastAsia"/>
                <w:bCs/>
                <w:sz w:val="24"/>
              </w:rPr>
              <w:t>+</w:t>
            </w:r>
            <w:r>
              <w:rPr>
                <w:rFonts w:hint="eastAsia"/>
                <w:bCs/>
                <w:sz w:val="24"/>
                <w:lang w:val="en-US" w:eastAsia="zh-CN"/>
              </w:rPr>
              <w:t>50</w:t>
            </w:r>
          </w:p>
        </w:tc>
      </w:tr>
      <w:tr w14:paraId="55B569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81" w:type="dxa"/>
            <w:vMerge w:val="restart"/>
            <w:noWrap w:val="0"/>
            <w:vAlign w:val="center"/>
          </w:tcPr>
          <w:p w14:paraId="65CB04DD">
            <w:pPr>
              <w:rPr>
                <w:b/>
                <w:bCs/>
                <w:snapToGrid w:val="0"/>
                <w:color w:val="000000"/>
                <w:kern w:val="21"/>
                <w:sz w:val="24"/>
              </w:rPr>
            </w:pPr>
            <w:r>
              <w:rPr>
                <w:b/>
                <w:bCs/>
                <w:snapToGrid w:val="0"/>
                <w:color w:val="000000"/>
                <w:kern w:val="21"/>
                <w:sz w:val="24"/>
              </w:rPr>
              <w:t>危险废物</w:t>
            </w:r>
          </w:p>
        </w:tc>
        <w:tc>
          <w:tcPr>
            <w:tcW w:w="1709" w:type="dxa"/>
            <w:noWrap w:val="0"/>
            <w:vAlign w:val="center"/>
          </w:tcPr>
          <w:p w14:paraId="71EDDF6A">
            <w:pPr>
              <w:jc w:val="center"/>
              <w:rPr>
                <w:sz w:val="24"/>
              </w:rPr>
            </w:pPr>
            <w:r>
              <w:rPr>
                <w:rFonts w:hint="eastAsia"/>
                <w:sz w:val="24"/>
              </w:rPr>
              <w:t>废机油</w:t>
            </w:r>
          </w:p>
        </w:tc>
        <w:tc>
          <w:tcPr>
            <w:tcW w:w="1693" w:type="dxa"/>
            <w:noWrap w:val="0"/>
            <w:vAlign w:val="center"/>
          </w:tcPr>
          <w:p w14:paraId="408B4B88">
            <w:pPr>
              <w:pStyle w:val="160"/>
              <w:keepNext w:val="0"/>
              <w:widowControl/>
              <w:snapToGrid w:val="0"/>
              <w:spacing w:after="0" w:line="240" w:lineRule="auto"/>
              <w:ind w:firstLine="0" w:firstLineChars="0"/>
              <w:rPr>
                <w:snapToGrid w:val="0"/>
                <w:color w:val="000000"/>
                <w:kern w:val="21"/>
                <w:sz w:val="24"/>
                <w:szCs w:val="24"/>
              </w:rPr>
            </w:pPr>
            <w:r>
              <w:rPr>
                <w:rFonts w:hint="eastAsia" w:hAnsi="Times New Roman" w:eastAsia="宋体"/>
                <w:sz w:val="24"/>
                <w:szCs w:val="24"/>
              </w:rPr>
              <w:t>0.25</w:t>
            </w:r>
          </w:p>
        </w:tc>
        <w:tc>
          <w:tcPr>
            <w:tcW w:w="1270" w:type="dxa"/>
            <w:noWrap w:val="0"/>
            <w:vAlign w:val="center"/>
          </w:tcPr>
          <w:p w14:paraId="71A0B783">
            <w:pPr>
              <w:jc w:val="center"/>
              <w:rPr>
                <w:snapToGrid w:val="0"/>
                <w:color w:val="000000"/>
                <w:kern w:val="21"/>
                <w:sz w:val="24"/>
              </w:rPr>
            </w:pPr>
            <w:r>
              <w:rPr>
                <w:snapToGrid w:val="0"/>
                <w:color w:val="000000"/>
                <w:kern w:val="21"/>
                <w:sz w:val="24"/>
              </w:rPr>
              <w:t>/</w:t>
            </w:r>
          </w:p>
        </w:tc>
        <w:tc>
          <w:tcPr>
            <w:tcW w:w="1693" w:type="dxa"/>
            <w:noWrap w:val="0"/>
            <w:vAlign w:val="center"/>
          </w:tcPr>
          <w:p w14:paraId="560967B0">
            <w:pPr>
              <w:jc w:val="center"/>
              <w:rPr>
                <w:snapToGrid w:val="0"/>
                <w:color w:val="000000"/>
                <w:kern w:val="21"/>
                <w:sz w:val="24"/>
              </w:rPr>
            </w:pPr>
            <w:r>
              <w:rPr>
                <w:snapToGrid w:val="0"/>
                <w:color w:val="000000"/>
                <w:kern w:val="21"/>
                <w:sz w:val="24"/>
              </w:rPr>
              <w:t>/</w:t>
            </w:r>
          </w:p>
        </w:tc>
        <w:tc>
          <w:tcPr>
            <w:tcW w:w="1551" w:type="dxa"/>
            <w:noWrap w:val="0"/>
            <w:vAlign w:val="center"/>
          </w:tcPr>
          <w:p w14:paraId="5E8BC4C3">
            <w:pPr>
              <w:spacing w:line="320" w:lineRule="atLeast"/>
              <w:jc w:val="center"/>
              <w:rPr>
                <w:snapToGrid w:val="0"/>
                <w:color w:val="000000"/>
                <w:kern w:val="21"/>
                <w:sz w:val="24"/>
              </w:rPr>
            </w:pPr>
            <w:r>
              <w:rPr>
                <w:bCs/>
                <w:sz w:val="24"/>
              </w:rPr>
              <w:t>0.</w:t>
            </w:r>
            <w:r>
              <w:rPr>
                <w:rFonts w:hint="eastAsia"/>
                <w:bCs/>
                <w:sz w:val="24"/>
              </w:rPr>
              <w:t>05</w:t>
            </w:r>
          </w:p>
        </w:tc>
        <w:tc>
          <w:tcPr>
            <w:tcW w:w="1751" w:type="dxa"/>
            <w:noWrap w:val="0"/>
            <w:vAlign w:val="center"/>
          </w:tcPr>
          <w:p w14:paraId="6427ED99">
            <w:pPr>
              <w:jc w:val="center"/>
              <w:rPr>
                <w:snapToGrid w:val="0"/>
                <w:color w:val="000000"/>
                <w:kern w:val="21"/>
                <w:sz w:val="24"/>
              </w:rPr>
            </w:pPr>
            <w:r>
              <w:rPr>
                <w:rFonts w:hint="eastAsia"/>
                <w:snapToGrid w:val="0"/>
                <w:color w:val="000000"/>
                <w:kern w:val="21"/>
                <w:sz w:val="24"/>
              </w:rPr>
              <w:t>/</w:t>
            </w:r>
          </w:p>
        </w:tc>
        <w:tc>
          <w:tcPr>
            <w:tcW w:w="1800" w:type="dxa"/>
            <w:noWrap w:val="0"/>
            <w:vAlign w:val="center"/>
          </w:tcPr>
          <w:p w14:paraId="7798D509">
            <w:pPr>
              <w:pStyle w:val="31"/>
              <w:ind w:leftChars="0" w:firstLine="0" w:firstLineChars="0"/>
              <w:jc w:val="center"/>
              <w:rPr>
                <w:rFonts w:hint="default"/>
                <w:snapToGrid w:val="0"/>
                <w:color w:val="000000"/>
                <w:kern w:val="21"/>
                <w:sz w:val="24"/>
                <w:szCs w:val="24"/>
              </w:rPr>
            </w:pPr>
            <w:r>
              <w:rPr>
                <w:snapToGrid w:val="0"/>
                <w:color w:val="000000"/>
                <w:kern w:val="21"/>
                <w:sz w:val="24"/>
                <w:szCs w:val="24"/>
              </w:rPr>
              <w:t>0.3</w:t>
            </w:r>
          </w:p>
        </w:tc>
        <w:tc>
          <w:tcPr>
            <w:tcW w:w="1248" w:type="dxa"/>
            <w:noWrap w:val="0"/>
            <w:vAlign w:val="center"/>
          </w:tcPr>
          <w:p w14:paraId="14476B52">
            <w:pPr>
              <w:spacing w:line="320" w:lineRule="atLeast"/>
              <w:jc w:val="center"/>
              <w:rPr>
                <w:snapToGrid w:val="0"/>
                <w:color w:val="000000"/>
                <w:kern w:val="21"/>
                <w:sz w:val="24"/>
              </w:rPr>
            </w:pPr>
            <w:r>
              <w:rPr>
                <w:rFonts w:hint="eastAsia"/>
                <w:bCs/>
                <w:sz w:val="24"/>
              </w:rPr>
              <w:t>+</w:t>
            </w:r>
            <w:r>
              <w:rPr>
                <w:bCs/>
                <w:sz w:val="24"/>
              </w:rPr>
              <w:t>0.</w:t>
            </w:r>
            <w:r>
              <w:rPr>
                <w:rFonts w:hint="eastAsia"/>
                <w:bCs/>
                <w:sz w:val="24"/>
              </w:rPr>
              <w:t>05</w:t>
            </w:r>
          </w:p>
        </w:tc>
      </w:tr>
      <w:tr w14:paraId="3323B5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281" w:type="dxa"/>
            <w:vMerge w:val="continue"/>
            <w:noWrap w:val="0"/>
            <w:vAlign w:val="center"/>
          </w:tcPr>
          <w:p w14:paraId="55272670">
            <w:pPr>
              <w:rPr>
                <w:snapToGrid w:val="0"/>
                <w:color w:val="000000"/>
                <w:kern w:val="21"/>
                <w:sz w:val="24"/>
              </w:rPr>
            </w:pPr>
          </w:p>
        </w:tc>
        <w:tc>
          <w:tcPr>
            <w:tcW w:w="1709" w:type="dxa"/>
            <w:noWrap w:val="0"/>
            <w:vAlign w:val="center"/>
          </w:tcPr>
          <w:p w14:paraId="68F88E52">
            <w:pPr>
              <w:jc w:val="center"/>
              <w:rPr>
                <w:sz w:val="24"/>
              </w:rPr>
            </w:pPr>
            <w:r>
              <w:rPr>
                <w:rFonts w:hint="eastAsia"/>
                <w:sz w:val="24"/>
              </w:rPr>
              <w:t>废机油桶</w:t>
            </w:r>
          </w:p>
        </w:tc>
        <w:tc>
          <w:tcPr>
            <w:tcW w:w="1693" w:type="dxa"/>
            <w:noWrap w:val="0"/>
            <w:vAlign w:val="center"/>
          </w:tcPr>
          <w:p w14:paraId="2064F2AC">
            <w:pPr>
              <w:pStyle w:val="160"/>
              <w:keepNext w:val="0"/>
              <w:widowControl/>
              <w:snapToGrid w:val="0"/>
              <w:spacing w:after="0" w:line="240" w:lineRule="auto"/>
              <w:ind w:firstLine="0" w:firstLineChars="0"/>
              <w:rPr>
                <w:snapToGrid w:val="0"/>
                <w:color w:val="000000"/>
                <w:kern w:val="21"/>
                <w:sz w:val="24"/>
                <w:szCs w:val="24"/>
              </w:rPr>
            </w:pPr>
            <w:r>
              <w:rPr>
                <w:rFonts w:hint="eastAsia" w:hAnsi="Times New Roman" w:eastAsia="宋体"/>
                <w:sz w:val="24"/>
                <w:szCs w:val="24"/>
              </w:rPr>
              <w:t>0.05</w:t>
            </w:r>
          </w:p>
        </w:tc>
        <w:tc>
          <w:tcPr>
            <w:tcW w:w="1270" w:type="dxa"/>
            <w:noWrap w:val="0"/>
            <w:vAlign w:val="center"/>
          </w:tcPr>
          <w:p w14:paraId="6E5E19CE">
            <w:pPr>
              <w:jc w:val="center"/>
              <w:rPr>
                <w:snapToGrid w:val="0"/>
                <w:color w:val="000000"/>
                <w:kern w:val="21"/>
                <w:sz w:val="24"/>
              </w:rPr>
            </w:pPr>
            <w:r>
              <w:rPr>
                <w:snapToGrid w:val="0"/>
                <w:color w:val="000000"/>
                <w:kern w:val="21"/>
                <w:sz w:val="24"/>
              </w:rPr>
              <w:t>/</w:t>
            </w:r>
          </w:p>
        </w:tc>
        <w:tc>
          <w:tcPr>
            <w:tcW w:w="1693" w:type="dxa"/>
            <w:noWrap w:val="0"/>
            <w:vAlign w:val="center"/>
          </w:tcPr>
          <w:p w14:paraId="5713FA1F">
            <w:pPr>
              <w:jc w:val="center"/>
              <w:rPr>
                <w:snapToGrid w:val="0"/>
                <w:color w:val="000000"/>
                <w:kern w:val="21"/>
                <w:sz w:val="24"/>
              </w:rPr>
            </w:pPr>
            <w:r>
              <w:rPr>
                <w:snapToGrid w:val="0"/>
                <w:color w:val="000000"/>
                <w:kern w:val="21"/>
                <w:sz w:val="24"/>
              </w:rPr>
              <w:t>/</w:t>
            </w:r>
          </w:p>
        </w:tc>
        <w:tc>
          <w:tcPr>
            <w:tcW w:w="1551" w:type="dxa"/>
            <w:noWrap w:val="0"/>
            <w:vAlign w:val="center"/>
          </w:tcPr>
          <w:p w14:paraId="4246400A">
            <w:pPr>
              <w:spacing w:line="320" w:lineRule="atLeast"/>
              <w:jc w:val="center"/>
              <w:rPr>
                <w:snapToGrid w:val="0"/>
                <w:color w:val="000000"/>
                <w:kern w:val="21"/>
                <w:sz w:val="24"/>
              </w:rPr>
            </w:pPr>
            <w:r>
              <w:rPr>
                <w:bCs/>
                <w:sz w:val="24"/>
              </w:rPr>
              <w:t>0.0</w:t>
            </w:r>
            <w:r>
              <w:rPr>
                <w:rFonts w:hint="eastAsia"/>
                <w:bCs/>
                <w:sz w:val="24"/>
              </w:rPr>
              <w:t>1</w:t>
            </w:r>
          </w:p>
        </w:tc>
        <w:tc>
          <w:tcPr>
            <w:tcW w:w="1751" w:type="dxa"/>
            <w:noWrap w:val="0"/>
            <w:vAlign w:val="center"/>
          </w:tcPr>
          <w:p w14:paraId="7B776BCF">
            <w:pPr>
              <w:jc w:val="center"/>
              <w:rPr>
                <w:rFonts w:hint="eastAsia"/>
                <w:snapToGrid w:val="0"/>
                <w:color w:val="000000"/>
                <w:kern w:val="21"/>
                <w:sz w:val="24"/>
              </w:rPr>
            </w:pPr>
            <w:r>
              <w:rPr>
                <w:rFonts w:hint="eastAsia"/>
                <w:snapToGrid w:val="0"/>
                <w:color w:val="000000"/>
                <w:kern w:val="21"/>
                <w:sz w:val="24"/>
              </w:rPr>
              <w:t>/</w:t>
            </w:r>
          </w:p>
        </w:tc>
        <w:tc>
          <w:tcPr>
            <w:tcW w:w="1800" w:type="dxa"/>
            <w:noWrap w:val="0"/>
            <w:vAlign w:val="center"/>
          </w:tcPr>
          <w:p w14:paraId="6CB294CE">
            <w:pPr>
              <w:pStyle w:val="31"/>
              <w:ind w:leftChars="0" w:firstLine="0" w:firstLineChars="0"/>
              <w:jc w:val="center"/>
              <w:rPr>
                <w:rFonts w:hint="default"/>
                <w:snapToGrid w:val="0"/>
                <w:color w:val="000000"/>
                <w:kern w:val="21"/>
                <w:sz w:val="24"/>
                <w:szCs w:val="24"/>
              </w:rPr>
            </w:pPr>
            <w:r>
              <w:rPr>
                <w:snapToGrid w:val="0"/>
                <w:color w:val="000000"/>
                <w:kern w:val="21"/>
                <w:sz w:val="24"/>
                <w:szCs w:val="24"/>
              </w:rPr>
              <w:t>0.06</w:t>
            </w:r>
          </w:p>
        </w:tc>
        <w:tc>
          <w:tcPr>
            <w:tcW w:w="1248" w:type="dxa"/>
            <w:noWrap w:val="0"/>
            <w:vAlign w:val="center"/>
          </w:tcPr>
          <w:p w14:paraId="0C04ADF5">
            <w:pPr>
              <w:spacing w:line="320" w:lineRule="atLeast"/>
              <w:jc w:val="center"/>
              <w:rPr>
                <w:snapToGrid w:val="0"/>
                <w:color w:val="000000"/>
                <w:kern w:val="21"/>
                <w:sz w:val="24"/>
              </w:rPr>
            </w:pPr>
            <w:r>
              <w:rPr>
                <w:rFonts w:hint="eastAsia"/>
                <w:bCs/>
                <w:sz w:val="24"/>
              </w:rPr>
              <w:t>+</w:t>
            </w:r>
            <w:r>
              <w:rPr>
                <w:bCs/>
                <w:sz w:val="24"/>
              </w:rPr>
              <w:t>0.0</w:t>
            </w:r>
            <w:r>
              <w:rPr>
                <w:rFonts w:hint="eastAsia"/>
                <w:bCs/>
                <w:sz w:val="24"/>
              </w:rPr>
              <w:t>1</w:t>
            </w:r>
          </w:p>
        </w:tc>
      </w:tr>
    </w:tbl>
    <w:p w14:paraId="698F4E41">
      <w:pPr>
        <w:pStyle w:val="88"/>
        <w:spacing w:before="192" w:beforeLines="80" w:after="24"/>
        <w:ind w:firstLine="482"/>
        <w:jc w:val="left"/>
        <w:rPr>
          <w:rFonts w:ascii="Times New Roman"/>
          <w:snapToGrid w:val="0"/>
          <w:kern w:val="21"/>
        </w:rPr>
        <w:sectPr>
          <w:headerReference r:id="rId12" w:type="default"/>
          <w:footerReference r:id="rId13" w:type="default"/>
          <w:pgSz w:w="16838" w:h="11906" w:orient="landscape"/>
          <w:pgMar w:top="1531" w:right="1701" w:bottom="1531" w:left="1701" w:header="851" w:footer="851" w:gutter="0"/>
          <w:pgNumType w:fmt="numberInDash"/>
          <w:cols w:space="720" w:num="1"/>
          <w:docGrid w:linePitch="312" w:charSpace="0"/>
        </w:sectPr>
      </w:pPr>
      <w:r>
        <w:rPr>
          <w:rFonts w:ascii="Times New Roman"/>
          <w:snapToGrid w:val="0"/>
          <w:kern w:val="21"/>
        </w:rPr>
        <w:t>注：</w:t>
      </w:r>
      <w:r>
        <w:rPr>
          <w:rFonts w:ascii="Times New Roman"/>
          <w:snapToGrid w:val="0"/>
          <w:kern w:val="21"/>
        </w:rPr>
        <w:fldChar w:fldCharType="begin"/>
      </w:r>
      <w:r>
        <w:rPr>
          <w:rFonts w:ascii="Times New Roman"/>
          <w:snapToGrid w:val="0"/>
          <w:kern w:val="21"/>
        </w:rPr>
        <w:instrText xml:space="preserve"> = 6 \* GB3 \* MERGEFORMAT </w:instrText>
      </w:r>
      <w:r>
        <w:rPr>
          <w:rFonts w:ascii="Times New Roman"/>
          <w:snapToGrid w:val="0"/>
          <w:kern w:val="21"/>
        </w:rPr>
        <w:fldChar w:fldCharType="separate"/>
      </w:r>
      <w:r>
        <w:rPr>
          <w:rFonts w:ascii="Times New Roman"/>
        </w:rPr>
        <w:t>⑥</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1 \* GB3 \* MERGEFORMAT </w:instrText>
      </w:r>
      <w:r>
        <w:rPr>
          <w:rFonts w:ascii="Times New Roman"/>
          <w:snapToGrid w:val="0"/>
          <w:kern w:val="21"/>
        </w:rPr>
        <w:fldChar w:fldCharType="separate"/>
      </w:r>
      <w:r>
        <w:rPr>
          <w:rFonts w:ascii="Times New Roman"/>
        </w:rPr>
        <w:t>①</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3 \* GB3 \* MERGEFORMAT </w:instrText>
      </w:r>
      <w:r>
        <w:rPr>
          <w:rFonts w:ascii="Times New Roman"/>
          <w:snapToGrid w:val="0"/>
          <w:kern w:val="21"/>
        </w:rPr>
        <w:fldChar w:fldCharType="separate"/>
      </w:r>
      <w:r>
        <w:rPr>
          <w:rFonts w:ascii="Times New Roman"/>
        </w:rPr>
        <w:t>③</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4 \* GB3 \* MERGEFORMAT </w:instrText>
      </w:r>
      <w:r>
        <w:rPr>
          <w:rFonts w:ascii="Times New Roman"/>
          <w:snapToGrid w:val="0"/>
          <w:kern w:val="21"/>
        </w:rPr>
        <w:fldChar w:fldCharType="separate"/>
      </w:r>
      <w:r>
        <w:rPr>
          <w:rFonts w:ascii="Times New Roman"/>
        </w:rPr>
        <w:t>④</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5 \* GB3 \* MERGEFORMAT </w:instrText>
      </w:r>
      <w:r>
        <w:rPr>
          <w:rFonts w:ascii="Times New Roman"/>
          <w:snapToGrid w:val="0"/>
          <w:kern w:val="21"/>
        </w:rPr>
        <w:fldChar w:fldCharType="separate"/>
      </w:r>
      <w:r>
        <w:rPr>
          <w:rFonts w:ascii="Times New Roman"/>
        </w:rPr>
        <w:t>⑤</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7 \* GB3 \* MERGEFORMAT </w:instrText>
      </w:r>
      <w:r>
        <w:rPr>
          <w:rFonts w:ascii="Times New Roman"/>
          <w:snapToGrid w:val="0"/>
          <w:kern w:val="21"/>
        </w:rPr>
        <w:fldChar w:fldCharType="separate"/>
      </w:r>
      <w:r>
        <w:rPr>
          <w:rFonts w:ascii="Times New Roman"/>
        </w:rPr>
        <w:t>⑦</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6 \* GB3 \* MERGEFORMAT </w:instrText>
      </w:r>
      <w:r>
        <w:rPr>
          <w:rFonts w:ascii="Times New Roman"/>
          <w:snapToGrid w:val="0"/>
          <w:kern w:val="21"/>
        </w:rPr>
        <w:fldChar w:fldCharType="separate"/>
      </w:r>
      <w:r>
        <w:rPr>
          <w:rFonts w:ascii="Times New Roman"/>
        </w:rPr>
        <w:t>⑥</w:t>
      </w:r>
      <w:r>
        <w:rPr>
          <w:rFonts w:ascii="Times New Roman"/>
          <w:snapToGrid w:val="0"/>
          <w:kern w:val="21"/>
        </w:rPr>
        <w:fldChar w:fldCharType="end"/>
      </w:r>
      <w:r>
        <w:rPr>
          <w:rFonts w:ascii="Times New Roman"/>
          <w:snapToGrid w:val="0"/>
          <w:kern w:val="21"/>
        </w:rPr>
        <w:t>-</w:t>
      </w:r>
      <w:r>
        <w:rPr>
          <w:rFonts w:ascii="Times New Roman"/>
          <w:snapToGrid w:val="0"/>
          <w:kern w:val="21"/>
        </w:rPr>
        <w:fldChar w:fldCharType="begin"/>
      </w:r>
      <w:r>
        <w:rPr>
          <w:rFonts w:ascii="Times New Roman"/>
          <w:snapToGrid w:val="0"/>
          <w:kern w:val="21"/>
        </w:rPr>
        <w:instrText xml:space="preserve"> = 1 \* GB3 \* MERGEFORMAT </w:instrText>
      </w:r>
      <w:r>
        <w:rPr>
          <w:rFonts w:ascii="Times New Roman"/>
          <w:snapToGrid w:val="0"/>
          <w:kern w:val="21"/>
        </w:rPr>
        <w:fldChar w:fldCharType="separate"/>
      </w:r>
      <w:r>
        <w:rPr>
          <w:rFonts w:ascii="Times New Roman"/>
        </w:rPr>
        <w:t>①</w:t>
      </w:r>
      <w:r>
        <w:rPr>
          <w:rFonts w:ascii="Times New Roman"/>
          <w:snapToGrid w:val="0"/>
          <w:kern w:val="21"/>
        </w:rPr>
        <w:fldChar w:fldCharType="end"/>
      </w:r>
    </w:p>
    <w:p w14:paraId="4F7FBE5A">
      <w:pPr>
        <w:pStyle w:val="34"/>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0"/>
        <w:rPr>
          <w:rFonts w:hint="default" w:ascii="黑体" w:hAnsi="黑体" w:eastAsia="黑体" w:cs="黑体"/>
          <w:b w:val="0"/>
          <w:bCs w:val="0"/>
          <w:snapToGrid w:val="0"/>
          <w:sz w:val="32"/>
          <w:szCs w:val="32"/>
          <w:lang w:val="en-US" w:eastAsia="zh-CN"/>
        </w:rPr>
      </w:pPr>
      <w:r>
        <w:rPr>
          <w:rFonts w:hint="eastAsia" w:ascii="黑体" w:hAnsi="黑体" w:eastAsia="黑体" w:cs="黑体"/>
          <w:b w:val="0"/>
          <w:bCs w:val="0"/>
          <w:snapToGrid w:val="0"/>
          <w:sz w:val="32"/>
          <w:szCs w:val="32"/>
        </w:rPr>
        <w:t>附表</w:t>
      </w:r>
      <w:r>
        <w:rPr>
          <w:rFonts w:hint="eastAsia" w:ascii="黑体" w:hAnsi="黑体" w:eastAsia="黑体" w:cs="黑体"/>
          <w:b w:val="0"/>
          <w:bCs w:val="0"/>
          <w:snapToGrid w:val="0"/>
          <w:sz w:val="32"/>
          <w:szCs w:val="32"/>
          <w:lang w:val="en-US" w:eastAsia="zh-CN"/>
        </w:rPr>
        <w:t>二 排污许可联动表</w:t>
      </w:r>
    </w:p>
    <w:p w14:paraId="60A9593C">
      <w:pPr>
        <w:tabs>
          <w:tab w:val="left" w:pos="1890"/>
        </w:tabs>
        <w:spacing w:line="440" w:lineRule="exact"/>
        <w:jc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表</w:t>
      </w:r>
      <w:r>
        <w:rPr>
          <w:rFonts w:hint="eastAsia" w:ascii="黑体" w:hAnsi="黑体" w:eastAsia="黑体" w:cs="黑体"/>
          <w:b w:val="0"/>
          <w:bCs w:val="0"/>
          <w:color w:val="000000"/>
          <w:sz w:val="24"/>
          <w:szCs w:val="24"/>
          <w:lang w:val="en-US" w:eastAsia="zh-CN"/>
        </w:rPr>
        <w:t>1</w:t>
      </w:r>
      <w:r>
        <w:rPr>
          <w:rFonts w:hint="eastAsia" w:ascii="黑体" w:hAnsi="黑体" w:eastAsia="黑体" w:cs="黑体"/>
          <w:b w:val="0"/>
          <w:bCs w:val="0"/>
          <w:color w:val="000000"/>
          <w:sz w:val="24"/>
          <w:szCs w:val="24"/>
        </w:rPr>
        <w:t xml:space="preserve"> 建设项目排污许可申请基本信息表</w:t>
      </w:r>
    </w:p>
    <w:tbl>
      <w:tblPr>
        <w:tblStyle w:val="39"/>
        <w:tblW w:w="13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249"/>
        <w:gridCol w:w="1259"/>
        <w:gridCol w:w="1250"/>
        <w:gridCol w:w="1250"/>
        <w:gridCol w:w="741"/>
        <w:gridCol w:w="1079"/>
        <w:gridCol w:w="1807"/>
        <w:gridCol w:w="1084"/>
        <w:gridCol w:w="2475"/>
        <w:gridCol w:w="679"/>
      </w:tblGrid>
      <w:tr w14:paraId="0B97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02" w:type="dxa"/>
            <w:noWrap w:val="0"/>
            <w:vAlign w:val="center"/>
          </w:tcPr>
          <w:p w14:paraId="448BA0E7">
            <w:pPr>
              <w:tabs>
                <w:tab w:val="left" w:pos="1890"/>
              </w:tabs>
              <w:jc w:val="center"/>
              <w:rPr>
                <w:rFonts w:hint="eastAsia"/>
                <w:b w:val="0"/>
                <w:bCs w:val="0"/>
                <w:color w:val="000000"/>
                <w:szCs w:val="21"/>
              </w:rPr>
            </w:pPr>
            <w:r>
              <w:rPr>
                <w:rFonts w:hint="eastAsia"/>
                <w:b w:val="0"/>
                <w:bCs w:val="0"/>
                <w:color w:val="000000"/>
                <w:szCs w:val="21"/>
              </w:rPr>
              <w:t>序号</w:t>
            </w:r>
          </w:p>
        </w:tc>
        <w:tc>
          <w:tcPr>
            <w:tcW w:w="1251" w:type="dxa"/>
            <w:noWrap w:val="0"/>
            <w:vAlign w:val="center"/>
          </w:tcPr>
          <w:p w14:paraId="6C52E10F">
            <w:pPr>
              <w:tabs>
                <w:tab w:val="left" w:pos="1890"/>
              </w:tabs>
              <w:jc w:val="center"/>
              <w:rPr>
                <w:rFonts w:hint="eastAsia"/>
                <w:b w:val="0"/>
                <w:bCs w:val="0"/>
                <w:color w:val="000000"/>
                <w:szCs w:val="21"/>
              </w:rPr>
            </w:pPr>
            <w:r>
              <w:rPr>
                <w:rFonts w:hint="eastAsia"/>
                <w:b w:val="0"/>
                <w:bCs w:val="0"/>
                <w:color w:val="000000"/>
                <w:szCs w:val="21"/>
              </w:rPr>
              <w:t>生产线名称</w:t>
            </w:r>
          </w:p>
        </w:tc>
        <w:tc>
          <w:tcPr>
            <w:tcW w:w="1260" w:type="dxa"/>
            <w:noWrap w:val="0"/>
            <w:vAlign w:val="center"/>
          </w:tcPr>
          <w:p w14:paraId="365EADDE">
            <w:pPr>
              <w:tabs>
                <w:tab w:val="left" w:pos="1890"/>
              </w:tabs>
              <w:jc w:val="center"/>
              <w:rPr>
                <w:rFonts w:hint="eastAsia"/>
                <w:b w:val="0"/>
                <w:bCs w:val="0"/>
                <w:color w:val="000000"/>
                <w:szCs w:val="21"/>
              </w:rPr>
            </w:pPr>
            <w:r>
              <w:rPr>
                <w:rFonts w:hint="eastAsia"/>
                <w:b w:val="0"/>
                <w:bCs w:val="0"/>
                <w:color w:val="000000"/>
                <w:szCs w:val="21"/>
              </w:rPr>
              <w:t>生产线编号</w:t>
            </w:r>
          </w:p>
        </w:tc>
        <w:tc>
          <w:tcPr>
            <w:tcW w:w="1252" w:type="dxa"/>
            <w:noWrap w:val="0"/>
            <w:vAlign w:val="center"/>
          </w:tcPr>
          <w:p w14:paraId="0C3082FE">
            <w:pPr>
              <w:tabs>
                <w:tab w:val="left" w:pos="1890"/>
              </w:tabs>
              <w:jc w:val="center"/>
              <w:rPr>
                <w:rFonts w:hint="eastAsia"/>
                <w:b w:val="0"/>
                <w:bCs w:val="0"/>
                <w:color w:val="000000"/>
                <w:szCs w:val="21"/>
              </w:rPr>
            </w:pPr>
            <w:r>
              <w:rPr>
                <w:rFonts w:hint="eastAsia"/>
                <w:b w:val="0"/>
                <w:bCs w:val="0"/>
                <w:color w:val="000000"/>
                <w:szCs w:val="21"/>
              </w:rPr>
              <w:t>产品名称</w:t>
            </w:r>
          </w:p>
        </w:tc>
        <w:tc>
          <w:tcPr>
            <w:tcW w:w="1252" w:type="dxa"/>
            <w:noWrap w:val="0"/>
            <w:vAlign w:val="center"/>
          </w:tcPr>
          <w:p w14:paraId="0E33BE0E">
            <w:pPr>
              <w:tabs>
                <w:tab w:val="left" w:pos="1890"/>
              </w:tabs>
              <w:jc w:val="center"/>
              <w:rPr>
                <w:rFonts w:hint="eastAsia"/>
                <w:b w:val="0"/>
                <w:bCs w:val="0"/>
                <w:color w:val="000000"/>
                <w:szCs w:val="21"/>
              </w:rPr>
            </w:pPr>
            <w:r>
              <w:rPr>
                <w:rFonts w:hint="eastAsia"/>
                <w:b w:val="0"/>
                <w:bCs w:val="0"/>
                <w:color w:val="000000"/>
                <w:szCs w:val="21"/>
              </w:rPr>
              <w:t>计量单位</w:t>
            </w:r>
          </w:p>
        </w:tc>
        <w:tc>
          <w:tcPr>
            <w:tcW w:w="726" w:type="dxa"/>
            <w:noWrap w:val="0"/>
            <w:vAlign w:val="center"/>
          </w:tcPr>
          <w:p w14:paraId="646BF597">
            <w:pPr>
              <w:tabs>
                <w:tab w:val="left" w:pos="1890"/>
              </w:tabs>
              <w:jc w:val="center"/>
              <w:rPr>
                <w:rFonts w:hint="eastAsia"/>
                <w:b w:val="0"/>
                <w:bCs w:val="0"/>
                <w:color w:val="000000"/>
                <w:szCs w:val="21"/>
              </w:rPr>
            </w:pPr>
            <w:r>
              <w:rPr>
                <w:rFonts w:hint="eastAsia"/>
                <w:b w:val="0"/>
                <w:bCs w:val="0"/>
                <w:color w:val="000000"/>
                <w:szCs w:val="21"/>
              </w:rPr>
              <w:t>生产能力</w:t>
            </w:r>
          </w:p>
        </w:tc>
        <w:tc>
          <w:tcPr>
            <w:tcW w:w="1080" w:type="dxa"/>
            <w:noWrap w:val="0"/>
            <w:vAlign w:val="center"/>
          </w:tcPr>
          <w:p w14:paraId="3FE0A922">
            <w:pPr>
              <w:tabs>
                <w:tab w:val="left" w:pos="1890"/>
              </w:tabs>
              <w:jc w:val="center"/>
              <w:rPr>
                <w:rFonts w:hint="eastAsia"/>
                <w:b w:val="0"/>
                <w:bCs w:val="0"/>
                <w:color w:val="000000"/>
                <w:szCs w:val="21"/>
              </w:rPr>
            </w:pPr>
            <w:r>
              <w:rPr>
                <w:rFonts w:hint="eastAsia"/>
                <w:b w:val="0"/>
                <w:bCs w:val="0"/>
                <w:color w:val="000000"/>
                <w:szCs w:val="21"/>
              </w:rPr>
              <w:t>年生产时间（h）</w:t>
            </w:r>
          </w:p>
        </w:tc>
        <w:tc>
          <w:tcPr>
            <w:tcW w:w="1810" w:type="dxa"/>
            <w:noWrap w:val="0"/>
            <w:vAlign w:val="center"/>
          </w:tcPr>
          <w:p w14:paraId="277DEF39">
            <w:pPr>
              <w:tabs>
                <w:tab w:val="left" w:pos="1890"/>
              </w:tabs>
              <w:jc w:val="center"/>
              <w:rPr>
                <w:rFonts w:hint="eastAsia"/>
                <w:b w:val="0"/>
                <w:bCs w:val="0"/>
                <w:color w:val="000000"/>
                <w:szCs w:val="21"/>
              </w:rPr>
            </w:pPr>
            <w:r>
              <w:rPr>
                <w:rFonts w:hint="eastAsia"/>
                <w:b w:val="0"/>
                <w:bCs w:val="0"/>
                <w:color w:val="000000"/>
                <w:szCs w:val="21"/>
              </w:rPr>
              <w:t>国民经济行业类别</w:t>
            </w:r>
          </w:p>
        </w:tc>
        <w:tc>
          <w:tcPr>
            <w:tcW w:w="1086" w:type="dxa"/>
            <w:noWrap w:val="0"/>
            <w:vAlign w:val="center"/>
          </w:tcPr>
          <w:p w14:paraId="0D84F984">
            <w:pPr>
              <w:tabs>
                <w:tab w:val="left" w:pos="1890"/>
              </w:tabs>
              <w:jc w:val="center"/>
              <w:rPr>
                <w:rFonts w:hint="eastAsia"/>
                <w:b w:val="0"/>
                <w:bCs w:val="0"/>
                <w:color w:val="000000"/>
                <w:szCs w:val="21"/>
              </w:rPr>
            </w:pPr>
            <w:r>
              <w:rPr>
                <w:rFonts w:hint="eastAsia"/>
                <w:b w:val="0"/>
                <w:bCs w:val="0"/>
                <w:color w:val="000000"/>
                <w:szCs w:val="21"/>
              </w:rPr>
              <w:t>排污许可管理类别</w:t>
            </w:r>
          </w:p>
        </w:tc>
        <w:tc>
          <w:tcPr>
            <w:tcW w:w="2477" w:type="dxa"/>
            <w:noWrap w:val="0"/>
            <w:vAlign w:val="center"/>
          </w:tcPr>
          <w:p w14:paraId="316E7187">
            <w:pPr>
              <w:tabs>
                <w:tab w:val="left" w:pos="1890"/>
              </w:tabs>
              <w:jc w:val="center"/>
              <w:rPr>
                <w:rFonts w:hint="eastAsia"/>
                <w:b w:val="0"/>
                <w:bCs w:val="0"/>
                <w:color w:val="000000"/>
                <w:szCs w:val="21"/>
              </w:rPr>
            </w:pPr>
            <w:r>
              <w:rPr>
                <w:rFonts w:hint="eastAsia"/>
                <w:b w:val="0"/>
                <w:bCs w:val="0"/>
                <w:color w:val="000000"/>
                <w:szCs w:val="21"/>
              </w:rPr>
              <w:t>排污许可申请与核发技术规范</w:t>
            </w:r>
          </w:p>
        </w:tc>
        <w:tc>
          <w:tcPr>
            <w:tcW w:w="679" w:type="dxa"/>
            <w:noWrap w:val="0"/>
            <w:vAlign w:val="center"/>
          </w:tcPr>
          <w:p w14:paraId="0FCBFE1D">
            <w:pPr>
              <w:tabs>
                <w:tab w:val="left" w:pos="1890"/>
              </w:tabs>
              <w:jc w:val="center"/>
              <w:rPr>
                <w:rFonts w:hint="eastAsia"/>
                <w:b w:val="0"/>
                <w:bCs w:val="0"/>
                <w:color w:val="000000"/>
                <w:szCs w:val="21"/>
              </w:rPr>
            </w:pPr>
            <w:r>
              <w:rPr>
                <w:rFonts w:hint="eastAsia"/>
                <w:b w:val="0"/>
                <w:bCs w:val="0"/>
                <w:color w:val="000000"/>
                <w:szCs w:val="21"/>
              </w:rPr>
              <w:t>备注</w:t>
            </w:r>
          </w:p>
        </w:tc>
      </w:tr>
      <w:tr w14:paraId="299C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602" w:type="dxa"/>
            <w:noWrap w:val="0"/>
            <w:vAlign w:val="center"/>
          </w:tcPr>
          <w:p w14:paraId="2EDFEC1B">
            <w:pPr>
              <w:tabs>
                <w:tab w:val="left" w:pos="1890"/>
              </w:tabs>
              <w:jc w:val="center"/>
              <w:rPr>
                <w:rFonts w:hint="eastAsia"/>
                <w:b w:val="0"/>
                <w:bCs w:val="0"/>
                <w:color w:val="000000"/>
                <w:szCs w:val="21"/>
              </w:rPr>
            </w:pPr>
            <w:r>
              <w:rPr>
                <w:rFonts w:hint="eastAsia"/>
                <w:b w:val="0"/>
                <w:bCs w:val="0"/>
                <w:color w:val="000000"/>
                <w:szCs w:val="21"/>
              </w:rPr>
              <w:t>1</w:t>
            </w:r>
          </w:p>
        </w:tc>
        <w:tc>
          <w:tcPr>
            <w:tcW w:w="1251" w:type="dxa"/>
            <w:noWrap w:val="0"/>
            <w:vAlign w:val="center"/>
          </w:tcPr>
          <w:p w14:paraId="645386E3">
            <w:pPr>
              <w:tabs>
                <w:tab w:val="left" w:pos="1890"/>
              </w:tabs>
              <w:jc w:val="center"/>
              <w:rPr>
                <w:rFonts w:hint="default"/>
                <w:b w:val="0"/>
                <w:bCs w:val="0"/>
                <w:color w:val="000000"/>
                <w:szCs w:val="21"/>
                <w:lang w:val="en-US"/>
              </w:rPr>
            </w:pPr>
            <w:r>
              <w:rPr>
                <w:rFonts w:hint="eastAsia"/>
                <w:b w:val="0"/>
                <w:bCs w:val="0"/>
                <w:color w:val="000000"/>
                <w:szCs w:val="21"/>
                <w:lang w:val="en-US" w:eastAsia="zh-CN"/>
              </w:rPr>
              <w:t>烧结砖生产线</w:t>
            </w:r>
          </w:p>
        </w:tc>
        <w:tc>
          <w:tcPr>
            <w:tcW w:w="1260" w:type="dxa"/>
            <w:noWrap w:val="0"/>
            <w:vAlign w:val="center"/>
          </w:tcPr>
          <w:p w14:paraId="27F59A79">
            <w:pPr>
              <w:tabs>
                <w:tab w:val="left" w:pos="1890"/>
              </w:tabs>
              <w:jc w:val="center"/>
              <w:rPr>
                <w:b w:val="0"/>
                <w:bCs w:val="0"/>
                <w:color w:val="000000"/>
                <w:szCs w:val="21"/>
              </w:rPr>
            </w:pPr>
            <w:r>
              <w:rPr>
                <w:rFonts w:hint="eastAsia"/>
                <w:b w:val="0"/>
                <w:bCs w:val="0"/>
                <w:color w:val="000000"/>
                <w:szCs w:val="21"/>
              </w:rPr>
              <w:t>SCX-001</w:t>
            </w:r>
          </w:p>
        </w:tc>
        <w:tc>
          <w:tcPr>
            <w:tcW w:w="1252" w:type="dxa"/>
            <w:noWrap w:val="0"/>
            <w:vAlign w:val="center"/>
          </w:tcPr>
          <w:p w14:paraId="47E07885">
            <w:pPr>
              <w:jc w:val="center"/>
              <w:rPr>
                <w:rFonts w:hint="eastAsia" w:eastAsia="宋体"/>
                <w:b w:val="0"/>
                <w:bCs w:val="0"/>
                <w:color w:val="000000"/>
                <w:szCs w:val="21"/>
                <w:lang w:eastAsia="zh-CN"/>
              </w:rPr>
            </w:pPr>
            <w:r>
              <w:rPr>
                <w:rFonts w:hint="eastAsia"/>
                <w:sz w:val="21"/>
                <w:szCs w:val="21"/>
                <w:lang w:val="en-US" w:eastAsia="zh-CN"/>
              </w:rPr>
              <w:t>烧结砖</w:t>
            </w:r>
          </w:p>
        </w:tc>
        <w:tc>
          <w:tcPr>
            <w:tcW w:w="1252" w:type="dxa"/>
            <w:noWrap w:val="0"/>
            <w:vAlign w:val="center"/>
          </w:tcPr>
          <w:p w14:paraId="1CAB27EE">
            <w:pPr>
              <w:tabs>
                <w:tab w:val="left" w:pos="1890"/>
              </w:tabs>
              <w:jc w:val="center"/>
              <w:rPr>
                <w:rFonts w:hint="eastAsia"/>
                <w:b w:val="0"/>
                <w:bCs w:val="0"/>
                <w:color w:val="000000"/>
                <w:szCs w:val="21"/>
              </w:rPr>
            </w:pPr>
            <w:r>
              <w:rPr>
                <w:rFonts w:hint="eastAsia"/>
                <w:b w:val="0"/>
                <w:bCs w:val="0"/>
                <w:color w:val="000000"/>
                <w:szCs w:val="21"/>
                <w:lang w:val="en-US" w:eastAsia="zh-CN"/>
              </w:rPr>
              <w:t>万块</w:t>
            </w:r>
            <w:r>
              <w:rPr>
                <w:rFonts w:hint="eastAsia"/>
                <w:b w:val="0"/>
                <w:bCs w:val="0"/>
                <w:color w:val="000000"/>
                <w:szCs w:val="21"/>
              </w:rPr>
              <w:t>/年</w:t>
            </w:r>
          </w:p>
        </w:tc>
        <w:tc>
          <w:tcPr>
            <w:tcW w:w="726" w:type="dxa"/>
            <w:noWrap w:val="0"/>
            <w:vAlign w:val="center"/>
          </w:tcPr>
          <w:p w14:paraId="7A8479D0">
            <w:pPr>
              <w:jc w:val="center"/>
              <w:rPr>
                <w:rFonts w:hint="default" w:eastAsia="宋体"/>
                <w:b w:val="0"/>
                <w:bCs w:val="0"/>
                <w:color w:val="000000"/>
                <w:szCs w:val="21"/>
                <w:lang w:val="en-US" w:eastAsia="zh-CN"/>
              </w:rPr>
            </w:pPr>
            <w:r>
              <w:rPr>
                <w:rFonts w:hint="eastAsia" w:cs="Times New Roman"/>
                <w:sz w:val="21"/>
                <w:szCs w:val="21"/>
                <w:highlight w:val="none"/>
                <w:lang w:val="en-US" w:eastAsia="zh-CN"/>
              </w:rPr>
              <w:t>12000</w:t>
            </w:r>
          </w:p>
        </w:tc>
        <w:tc>
          <w:tcPr>
            <w:tcW w:w="1080" w:type="dxa"/>
            <w:noWrap w:val="0"/>
            <w:vAlign w:val="center"/>
          </w:tcPr>
          <w:p w14:paraId="4AAE4008">
            <w:pPr>
              <w:tabs>
                <w:tab w:val="left" w:pos="1890"/>
              </w:tabs>
              <w:jc w:val="center"/>
              <w:rPr>
                <w:rFonts w:hint="default" w:eastAsia="宋体"/>
                <w:b w:val="0"/>
                <w:bCs w:val="0"/>
                <w:color w:val="000000"/>
                <w:szCs w:val="21"/>
                <w:lang w:val="en-US" w:eastAsia="zh-CN"/>
              </w:rPr>
            </w:pPr>
            <w:r>
              <w:rPr>
                <w:rFonts w:hint="eastAsia"/>
                <w:b w:val="0"/>
                <w:bCs w:val="0"/>
                <w:color w:val="000000"/>
                <w:szCs w:val="21"/>
                <w:lang w:val="en-US" w:eastAsia="zh-CN"/>
              </w:rPr>
              <w:t>7200</w:t>
            </w:r>
          </w:p>
        </w:tc>
        <w:tc>
          <w:tcPr>
            <w:tcW w:w="1810" w:type="dxa"/>
            <w:noWrap w:val="0"/>
            <w:vAlign w:val="center"/>
          </w:tcPr>
          <w:p w14:paraId="1CC0E001">
            <w:pPr>
              <w:tabs>
                <w:tab w:val="left" w:pos="1890"/>
              </w:tabs>
              <w:jc w:val="center"/>
              <w:rPr>
                <w:rFonts w:hint="eastAsia"/>
                <w:b w:val="0"/>
                <w:bCs w:val="0"/>
                <w:color w:val="000000"/>
                <w:szCs w:val="21"/>
              </w:rPr>
            </w:pPr>
            <w:r>
              <w:rPr>
                <w:rFonts w:hint="eastAsia"/>
                <w:b w:val="0"/>
                <w:bCs w:val="0"/>
                <w:color w:val="000000"/>
                <w:szCs w:val="21"/>
              </w:rPr>
              <w:t>C3031粘土砖瓦及建筑砌块制造</w:t>
            </w:r>
          </w:p>
        </w:tc>
        <w:tc>
          <w:tcPr>
            <w:tcW w:w="1086" w:type="dxa"/>
            <w:noWrap w:val="0"/>
            <w:vAlign w:val="center"/>
          </w:tcPr>
          <w:p w14:paraId="54FAA983">
            <w:pPr>
              <w:tabs>
                <w:tab w:val="left" w:pos="1890"/>
              </w:tabs>
              <w:jc w:val="center"/>
              <w:rPr>
                <w:rFonts w:hint="eastAsia"/>
                <w:b w:val="0"/>
                <w:bCs w:val="0"/>
                <w:color w:val="000000"/>
                <w:szCs w:val="21"/>
              </w:rPr>
            </w:pPr>
            <w:r>
              <w:rPr>
                <w:rFonts w:hint="eastAsia"/>
                <w:b w:val="0"/>
                <w:bCs w:val="0"/>
                <w:color w:val="000000"/>
                <w:szCs w:val="21"/>
                <w:lang w:val="en-US" w:eastAsia="zh-CN"/>
              </w:rPr>
              <w:t>重点</w:t>
            </w:r>
            <w:r>
              <w:rPr>
                <w:rFonts w:hint="eastAsia"/>
                <w:b w:val="0"/>
                <w:bCs w:val="0"/>
                <w:color w:val="000000"/>
                <w:szCs w:val="21"/>
              </w:rPr>
              <w:t>管理</w:t>
            </w:r>
          </w:p>
        </w:tc>
        <w:tc>
          <w:tcPr>
            <w:tcW w:w="2477" w:type="dxa"/>
            <w:noWrap w:val="0"/>
            <w:vAlign w:val="center"/>
          </w:tcPr>
          <w:p w14:paraId="0F18F140">
            <w:pPr>
              <w:tabs>
                <w:tab w:val="left" w:pos="1890"/>
              </w:tabs>
              <w:jc w:val="center"/>
              <w:rPr>
                <w:rFonts w:hint="eastAsia"/>
                <w:b w:val="0"/>
                <w:bCs w:val="0"/>
                <w:color w:val="000000"/>
                <w:szCs w:val="21"/>
              </w:rPr>
            </w:pPr>
            <w:r>
              <w:rPr>
                <w:rFonts w:hint="eastAsia" w:ascii="宋体" w:hAnsi="宋体"/>
                <w:sz w:val="21"/>
                <w:szCs w:val="21"/>
                <w:lang w:eastAsia="zh-CN"/>
              </w:rPr>
              <w:t>《</w:t>
            </w:r>
            <w:r>
              <w:rPr>
                <w:rFonts w:hint="eastAsia" w:ascii="宋体" w:hAnsi="宋体"/>
                <w:sz w:val="21"/>
                <w:szCs w:val="21"/>
              </w:rPr>
              <w:t>排污许可证申请与核发技术规范陶瓷砖瓦工业</w:t>
            </w:r>
            <w:r>
              <w:rPr>
                <w:rFonts w:hint="eastAsia" w:ascii="宋体" w:hAnsi="宋体"/>
                <w:sz w:val="21"/>
                <w:szCs w:val="21"/>
                <w:lang w:eastAsia="zh-CN"/>
              </w:rPr>
              <w:t>》</w:t>
            </w:r>
            <w:r>
              <w:rPr>
                <w:rFonts w:hint="default" w:ascii="Times New Roman" w:hAnsi="Times New Roman" w:cs="Times New Roman"/>
                <w:sz w:val="21"/>
                <w:szCs w:val="21"/>
              </w:rPr>
              <w:t>（HJ</w:t>
            </w:r>
            <w:r>
              <w:rPr>
                <w:rFonts w:hint="eastAsia" w:ascii="Times New Roman" w:hAnsi="Times New Roman" w:cs="Times New Roman"/>
                <w:sz w:val="21"/>
                <w:szCs w:val="21"/>
                <w:lang w:val="en-US" w:eastAsia="zh-CN"/>
              </w:rPr>
              <w:t>954</w:t>
            </w:r>
            <w:r>
              <w:rPr>
                <w:rFonts w:hint="default" w:ascii="Times New Roman" w:hAnsi="Times New Roman" w:cs="Times New Roman"/>
                <w:sz w:val="21"/>
                <w:szCs w:val="21"/>
              </w:rPr>
              <w:t>—201</w:t>
            </w:r>
            <w:r>
              <w:rPr>
                <w:rFonts w:hint="eastAsia" w:ascii="Times New Roman" w:hAnsi="Times New Roman" w:cs="Times New Roman"/>
                <w:sz w:val="21"/>
                <w:szCs w:val="21"/>
                <w:lang w:val="en-US" w:eastAsia="zh-CN"/>
              </w:rPr>
              <w:t>8</w:t>
            </w:r>
            <w:r>
              <w:rPr>
                <w:rFonts w:hint="default" w:ascii="Times New Roman" w:hAnsi="Times New Roman" w:cs="Times New Roman"/>
                <w:sz w:val="21"/>
                <w:szCs w:val="21"/>
              </w:rPr>
              <w:t>）</w:t>
            </w:r>
          </w:p>
        </w:tc>
        <w:tc>
          <w:tcPr>
            <w:tcW w:w="679" w:type="dxa"/>
            <w:noWrap w:val="0"/>
            <w:vAlign w:val="center"/>
          </w:tcPr>
          <w:p w14:paraId="1982BDF1">
            <w:pPr>
              <w:tabs>
                <w:tab w:val="left" w:pos="1890"/>
              </w:tabs>
              <w:jc w:val="center"/>
              <w:rPr>
                <w:rFonts w:hint="eastAsia"/>
                <w:b w:val="0"/>
                <w:bCs w:val="0"/>
                <w:color w:val="000000"/>
                <w:szCs w:val="21"/>
              </w:rPr>
            </w:pPr>
            <w:r>
              <w:rPr>
                <w:rFonts w:hint="eastAsia"/>
                <w:b w:val="0"/>
                <w:bCs w:val="0"/>
                <w:color w:val="000000"/>
                <w:szCs w:val="21"/>
              </w:rPr>
              <w:t>/</w:t>
            </w:r>
          </w:p>
        </w:tc>
      </w:tr>
    </w:tbl>
    <w:p w14:paraId="31FA2357">
      <w:pPr>
        <w:tabs>
          <w:tab w:val="left" w:pos="1890"/>
        </w:tabs>
        <w:spacing w:line="440" w:lineRule="exact"/>
        <w:jc w:val="center"/>
        <w:rPr>
          <w:rFonts w:hint="eastAsia" w:ascii="黑体" w:hAnsi="黑体" w:eastAsia="黑体" w:cs="黑体"/>
          <w:b w:val="0"/>
          <w:bCs w:val="0"/>
          <w:color w:val="000000"/>
          <w:sz w:val="24"/>
          <w:szCs w:val="28"/>
        </w:rPr>
      </w:pPr>
      <w:r>
        <w:rPr>
          <w:rFonts w:hint="eastAsia" w:ascii="黑体" w:hAnsi="黑体" w:eastAsia="黑体" w:cs="黑体"/>
          <w:b w:val="0"/>
          <w:bCs w:val="0"/>
          <w:color w:val="000000"/>
          <w:sz w:val="24"/>
          <w:szCs w:val="28"/>
        </w:rPr>
        <w:t>表</w:t>
      </w:r>
      <w:r>
        <w:rPr>
          <w:rFonts w:hint="eastAsia" w:ascii="黑体" w:hAnsi="黑体" w:eastAsia="黑体" w:cs="黑体"/>
          <w:b w:val="0"/>
          <w:bCs w:val="0"/>
          <w:color w:val="000000"/>
          <w:sz w:val="24"/>
          <w:szCs w:val="28"/>
          <w:lang w:val="en-US" w:eastAsia="zh-CN"/>
        </w:rPr>
        <w:t>2</w:t>
      </w:r>
      <w:r>
        <w:rPr>
          <w:rFonts w:hint="eastAsia" w:ascii="黑体" w:hAnsi="黑体" w:eastAsia="黑体" w:cs="黑体"/>
          <w:b w:val="0"/>
          <w:bCs w:val="0"/>
          <w:color w:val="000000"/>
          <w:sz w:val="24"/>
          <w:szCs w:val="28"/>
        </w:rPr>
        <w:t xml:space="preserve"> 建设项目主要原辅材料及燃料信息表</w:t>
      </w:r>
    </w:p>
    <w:tbl>
      <w:tblPr>
        <w:tblStyle w:val="39"/>
        <w:tblW w:w="13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282"/>
        <w:gridCol w:w="2055"/>
        <w:gridCol w:w="956"/>
        <w:gridCol w:w="883"/>
        <w:gridCol w:w="976"/>
        <w:gridCol w:w="868"/>
        <w:gridCol w:w="956"/>
        <w:gridCol w:w="1288"/>
        <w:gridCol w:w="1346"/>
        <w:gridCol w:w="1309"/>
        <w:gridCol w:w="891"/>
      </w:tblGrid>
      <w:tr w14:paraId="2868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26" w:type="dxa"/>
            <w:noWrap w:val="0"/>
            <w:vAlign w:val="center"/>
          </w:tcPr>
          <w:p w14:paraId="51F16282">
            <w:pPr>
              <w:tabs>
                <w:tab w:val="left" w:pos="1890"/>
              </w:tabs>
              <w:jc w:val="center"/>
              <w:rPr>
                <w:rFonts w:hint="eastAsia"/>
                <w:b w:val="0"/>
                <w:bCs w:val="0"/>
                <w:color w:val="000000"/>
                <w:szCs w:val="21"/>
              </w:rPr>
            </w:pPr>
            <w:r>
              <w:rPr>
                <w:rFonts w:hint="eastAsia"/>
                <w:b w:val="0"/>
                <w:bCs w:val="0"/>
                <w:color w:val="000000"/>
                <w:szCs w:val="21"/>
              </w:rPr>
              <w:t>序号</w:t>
            </w:r>
          </w:p>
        </w:tc>
        <w:tc>
          <w:tcPr>
            <w:tcW w:w="1282" w:type="dxa"/>
            <w:noWrap w:val="0"/>
            <w:vAlign w:val="center"/>
          </w:tcPr>
          <w:p w14:paraId="13277A18">
            <w:pPr>
              <w:tabs>
                <w:tab w:val="left" w:pos="1890"/>
              </w:tabs>
              <w:jc w:val="center"/>
              <w:rPr>
                <w:rFonts w:hint="eastAsia"/>
                <w:b w:val="0"/>
                <w:bCs w:val="0"/>
                <w:color w:val="000000"/>
                <w:szCs w:val="21"/>
              </w:rPr>
            </w:pPr>
            <w:r>
              <w:rPr>
                <w:rFonts w:hint="eastAsia"/>
                <w:b w:val="0"/>
                <w:bCs w:val="0"/>
                <w:color w:val="000000"/>
                <w:szCs w:val="21"/>
              </w:rPr>
              <w:t>种类</w:t>
            </w:r>
          </w:p>
        </w:tc>
        <w:tc>
          <w:tcPr>
            <w:tcW w:w="2055" w:type="dxa"/>
            <w:noWrap w:val="0"/>
            <w:vAlign w:val="center"/>
          </w:tcPr>
          <w:p w14:paraId="41BBECFA">
            <w:pPr>
              <w:tabs>
                <w:tab w:val="left" w:pos="1890"/>
              </w:tabs>
              <w:jc w:val="center"/>
              <w:rPr>
                <w:rFonts w:hint="eastAsia"/>
                <w:b w:val="0"/>
                <w:bCs w:val="0"/>
                <w:color w:val="000000"/>
                <w:szCs w:val="21"/>
              </w:rPr>
            </w:pPr>
            <w:r>
              <w:rPr>
                <w:rFonts w:hint="eastAsia"/>
                <w:b w:val="0"/>
                <w:bCs w:val="0"/>
                <w:color w:val="000000"/>
                <w:szCs w:val="21"/>
              </w:rPr>
              <w:t>名称</w:t>
            </w:r>
          </w:p>
        </w:tc>
        <w:tc>
          <w:tcPr>
            <w:tcW w:w="956" w:type="dxa"/>
            <w:noWrap w:val="0"/>
            <w:vAlign w:val="center"/>
          </w:tcPr>
          <w:p w14:paraId="645C41CD">
            <w:pPr>
              <w:tabs>
                <w:tab w:val="left" w:pos="1890"/>
              </w:tabs>
              <w:jc w:val="center"/>
              <w:rPr>
                <w:rFonts w:hint="eastAsia"/>
                <w:b w:val="0"/>
                <w:bCs w:val="0"/>
                <w:color w:val="000000"/>
                <w:szCs w:val="21"/>
              </w:rPr>
            </w:pPr>
            <w:r>
              <w:rPr>
                <w:rFonts w:hint="eastAsia"/>
                <w:b w:val="0"/>
                <w:bCs w:val="0"/>
                <w:color w:val="000000"/>
                <w:szCs w:val="21"/>
              </w:rPr>
              <w:t>设计年使用量</w:t>
            </w:r>
          </w:p>
        </w:tc>
        <w:tc>
          <w:tcPr>
            <w:tcW w:w="883" w:type="dxa"/>
            <w:noWrap w:val="0"/>
            <w:vAlign w:val="center"/>
          </w:tcPr>
          <w:p w14:paraId="55E956EA">
            <w:pPr>
              <w:tabs>
                <w:tab w:val="left" w:pos="1890"/>
              </w:tabs>
              <w:jc w:val="center"/>
              <w:rPr>
                <w:rFonts w:hint="eastAsia"/>
                <w:b w:val="0"/>
                <w:bCs w:val="0"/>
                <w:color w:val="000000"/>
                <w:szCs w:val="21"/>
              </w:rPr>
            </w:pPr>
            <w:r>
              <w:rPr>
                <w:rFonts w:hint="eastAsia"/>
                <w:b w:val="0"/>
                <w:bCs w:val="0"/>
                <w:color w:val="000000"/>
                <w:szCs w:val="21"/>
              </w:rPr>
              <w:t>年最大使用量</w:t>
            </w:r>
          </w:p>
        </w:tc>
        <w:tc>
          <w:tcPr>
            <w:tcW w:w="976" w:type="dxa"/>
            <w:noWrap w:val="0"/>
            <w:vAlign w:val="center"/>
          </w:tcPr>
          <w:p w14:paraId="32FFFF1C">
            <w:pPr>
              <w:tabs>
                <w:tab w:val="left" w:pos="1890"/>
              </w:tabs>
              <w:jc w:val="center"/>
              <w:rPr>
                <w:rFonts w:hint="eastAsia"/>
                <w:b w:val="0"/>
                <w:bCs w:val="0"/>
                <w:color w:val="000000"/>
                <w:szCs w:val="21"/>
              </w:rPr>
            </w:pPr>
            <w:r>
              <w:rPr>
                <w:rFonts w:hint="eastAsia"/>
                <w:b w:val="0"/>
                <w:bCs w:val="0"/>
                <w:color w:val="000000"/>
                <w:szCs w:val="21"/>
              </w:rPr>
              <w:t>计量</w:t>
            </w:r>
          </w:p>
          <w:p w14:paraId="4F6E28A4">
            <w:pPr>
              <w:tabs>
                <w:tab w:val="left" w:pos="1890"/>
              </w:tabs>
              <w:jc w:val="center"/>
              <w:rPr>
                <w:rFonts w:hint="eastAsia"/>
                <w:b w:val="0"/>
                <w:bCs w:val="0"/>
                <w:color w:val="000000"/>
                <w:szCs w:val="21"/>
              </w:rPr>
            </w:pPr>
            <w:r>
              <w:rPr>
                <w:rFonts w:hint="eastAsia"/>
                <w:b w:val="0"/>
                <w:bCs w:val="0"/>
                <w:color w:val="000000"/>
                <w:szCs w:val="21"/>
              </w:rPr>
              <w:t>单位</w:t>
            </w:r>
          </w:p>
        </w:tc>
        <w:tc>
          <w:tcPr>
            <w:tcW w:w="1824" w:type="dxa"/>
            <w:gridSpan w:val="2"/>
            <w:noWrap w:val="0"/>
            <w:vAlign w:val="center"/>
          </w:tcPr>
          <w:p w14:paraId="38D4BF4A">
            <w:pPr>
              <w:tabs>
                <w:tab w:val="left" w:pos="1890"/>
              </w:tabs>
              <w:jc w:val="center"/>
              <w:rPr>
                <w:rFonts w:hint="eastAsia"/>
                <w:b w:val="0"/>
                <w:bCs w:val="0"/>
                <w:color w:val="000000"/>
                <w:szCs w:val="21"/>
              </w:rPr>
            </w:pPr>
            <w:r>
              <w:rPr>
                <w:rFonts w:hint="eastAsia"/>
                <w:b w:val="0"/>
                <w:bCs w:val="0"/>
                <w:color w:val="000000"/>
                <w:szCs w:val="21"/>
              </w:rPr>
              <w:t>有毒有害成分</w:t>
            </w:r>
          </w:p>
        </w:tc>
        <w:tc>
          <w:tcPr>
            <w:tcW w:w="2634" w:type="dxa"/>
            <w:gridSpan w:val="2"/>
            <w:noWrap w:val="0"/>
            <w:vAlign w:val="center"/>
          </w:tcPr>
          <w:p w14:paraId="0A6EB671">
            <w:pPr>
              <w:tabs>
                <w:tab w:val="left" w:pos="1890"/>
              </w:tabs>
              <w:jc w:val="center"/>
              <w:rPr>
                <w:rFonts w:hint="eastAsia"/>
                <w:b w:val="0"/>
                <w:bCs w:val="0"/>
                <w:color w:val="000000"/>
                <w:szCs w:val="21"/>
              </w:rPr>
            </w:pPr>
            <w:r>
              <w:rPr>
                <w:rFonts w:hint="eastAsia"/>
                <w:b w:val="0"/>
                <w:bCs w:val="0"/>
                <w:color w:val="000000"/>
                <w:szCs w:val="21"/>
              </w:rPr>
              <w:t>有毒有害成分占比</w:t>
            </w:r>
          </w:p>
        </w:tc>
        <w:tc>
          <w:tcPr>
            <w:tcW w:w="2200" w:type="dxa"/>
            <w:gridSpan w:val="2"/>
            <w:noWrap w:val="0"/>
            <w:vAlign w:val="center"/>
          </w:tcPr>
          <w:p w14:paraId="47089CE6">
            <w:pPr>
              <w:tabs>
                <w:tab w:val="left" w:pos="1890"/>
              </w:tabs>
              <w:jc w:val="center"/>
              <w:rPr>
                <w:rFonts w:hint="eastAsia"/>
                <w:b w:val="0"/>
                <w:bCs w:val="0"/>
                <w:color w:val="000000"/>
                <w:szCs w:val="21"/>
              </w:rPr>
            </w:pPr>
            <w:r>
              <w:rPr>
                <w:rFonts w:hint="eastAsia"/>
                <w:b w:val="0"/>
                <w:bCs w:val="0"/>
                <w:color w:val="000000"/>
                <w:szCs w:val="21"/>
              </w:rPr>
              <w:t>其他信息</w:t>
            </w:r>
          </w:p>
        </w:tc>
      </w:tr>
      <w:tr w14:paraId="4300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3336" w:type="dxa"/>
            <w:gridSpan w:val="12"/>
            <w:noWrap w:val="0"/>
            <w:vAlign w:val="center"/>
          </w:tcPr>
          <w:p w14:paraId="32090E83">
            <w:pPr>
              <w:tabs>
                <w:tab w:val="left" w:pos="1890"/>
              </w:tabs>
              <w:jc w:val="center"/>
              <w:rPr>
                <w:rFonts w:hint="eastAsia"/>
                <w:b w:val="0"/>
                <w:bCs w:val="0"/>
                <w:color w:val="000000"/>
                <w:szCs w:val="21"/>
              </w:rPr>
            </w:pPr>
            <w:r>
              <w:rPr>
                <w:rFonts w:hint="eastAsia"/>
                <w:b w:val="0"/>
                <w:bCs w:val="0"/>
                <w:color w:val="000000"/>
                <w:szCs w:val="21"/>
              </w:rPr>
              <w:t>原料及辅料</w:t>
            </w:r>
          </w:p>
        </w:tc>
      </w:tr>
      <w:tr w14:paraId="644C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470201AC">
            <w:pPr>
              <w:tabs>
                <w:tab w:val="left" w:pos="1890"/>
              </w:tabs>
              <w:jc w:val="center"/>
              <w:rPr>
                <w:rFonts w:hint="eastAsia"/>
                <w:b w:val="0"/>
                <w:bCs w:val="0"/>
                <w:color w:val="000000"/>
                <w:szCs w:val="21"/>
              </w:rPr>
            </w:pPr>
            <w:r>
              <w:rPr>
                <w:rFonts w:hint="eastAsia"/>
                <w:b w:val="0"/>
                <w:bCs w:val="0"/>
                <w:color w:val="000000"/>
                <w:szCs w:val="21"/>
              </w:rPr>
              <w:t>1</w:t>
            </w:r>
          </w:p>
        </w:tc>
        <w:tc>
          <w:tcPr>
            <w:tcW w:w="1282" w:type="dxa"/>
            <w:vMerge w:val="restart"/>
            <w:noWrap w:val="0"/>
            <w:vAlign w:val="center"/>
          </w:tcPr>
          <w:p w14:paraId="79AF9CBC">
            <w:pPr>
              <w:tabs>
                <w:tab w:val="left" w:pos="1890"/>
              </w:tabs>
              <w:jc w:val="center"/>
              <w:rPr>
                <w:rFonts w:hint="eastAsia"/>
                <w:b w:val="0"/>
                <w:bCs w:val="0"/>
                <w:color w:val="000000"/>
                <w:szCs w:val="21"/>
              </w:rPr>
            </w:pPr>
            <w:r>
              <w:rPr>
                <w:rFonts w:hint="eastAsia"/>
                <w:b w:val="0"/>
                <w:bCs w:val="0"/>
                <w:color w:val="000000"/>
                <w:szCs w:val="21"/>
              </w:rPr>
              <w:t>原辅材料</w:t>
            </w:r>
          </w:p>
        </w:tc>
        <w:tc>
          <w:tcPr>
            <w:tcW w:w="2055" w:type="dxa"/>
            <w:noWrap w:val="0"/>
            <w:vAlign w:val="center"/>
          </w:tcPr>
          <w:p w14:paraId="74136BC4">
            <w:pPr>
              <w:autoSpaceDE w:val="0"/>
              <w:autoSpaceDN w:val="0"/>
              <w:spacing w:line="276" w:lineRule="auto"/>
              <w:jc w:val="center"/>
              <w:rPr>
                <w:rFonts w:ascii="Times New Roman" w:hAnsi="Times New Roman"/>
                <w:b w:val="0"/>
                <w:bCs w:val="0"/>
                <w:color w:val="000000"/>
                <w:sz w:val="21"/>
                <w:szCs w:val="21"/>
                <w:lang w:eastAsia="zh-CN"/>
              </w:rPr>
            </w:pPr>
            <w:r>
              <w:rPr>
                <w:rFonts w:hint="eastAsia" w:ascii="Times New Roman" w:hAnsi="Times New Roman" w:cs="Times New Roman"/>
                <w:b w:val="0"/>
                <w:bCs/>
                <w:sz w:val="21"/>
                <w:szCs w:val="21"/>
                <w:highlight w:val="none"/>
              </w:rPr>
              <w:t>煤矸石</w:t>
            </w:r>
          </w:p>
        </w:tc>
        <w:tc>
          <w:tcPr>
            <w:tcW w:w="956" w:type="dxa"/>
            <w:noWrap w:val="0"/>
            <w:vAlign w:val="center"/>
          </w:tcPr>
          <w:p w14:paraId="1023555A">
            <w:pPr>
              <w:spacing w:line="276" w:lineRule="auto"/>
              <w:jc w:val="center"/>
              <w:rPr>
                <w:b w:val="0"/>
                <w:bCs w:val="0"/>
                <w:color w:val="000000"/>
                <w:szCs w:val="21"/>
              </w:rPr>
            </w:pPr>
            <w:r>
              <w:rPr>
                <w:rFonts w:hint="eastAsia"/>
                <w:bCs/>
                <w:szCs w:val="21"/>
                <w:lang w:val="en-US" w:eastAsia="zh-CN"/>
              </w:rPr>
              <w:t>192</w:t>
            </w:r>
            <w:r>
              <w:rPr>
                <w:rFonts w:hint="eastAsia"/>
                <w:bCs/>
                <w:szCs w:val="21"/>
              </w:rPr>
              <w:t>000</w:t>
            </w:r>
          </w:p>
        </w:tc>
        <w:tc>
          <w:tcPr>
            <w:tcW w:w="883" w:type="dxa"/>
            <w:noWrap w:val="0"/>
            <w:vAlign w:val="center"/>
          </w:tcPr>
          <w:p w14:paraId="30735A76">
            <w:pPr>
              <w:spacing w:line="276" w:lineRule="auto"/>
              <w:jc w:val="center"/>
              <w:rPr>
                <w:b w:val="0"/>
                <w:bCs w:val="0"/>
                <w:color w:val="000000"/>
                <w:szCs w:val="21"/>
              </w:rPr>
            </w:pPr>
            <w:r>
              <w:rPr>
                <w:rFonts w:hint="eastAsia"/>
                <w:bCs/>
                <w:szCs w:val="21"/>
                <w:lang w:val="en-US" w:eastAsia="zh-CN"/>
              </w:rPr>
              <w:t>192</w:t>
            </w:r>
            <w:r>
              <w:rPr>
                <w:rFonts w:hint="eastAsia"/>
                <w:bCs/>
                <w:szCs w:val="21"/>
              </w:rPr>
              <w:t>000</w:t>
            </w:r>
          </w:p>
        </w:tc>
        <w:tc>
          <w:tcPr>
            <w:tcW w:w="976" w:type="dxa"/>
            <w:noWrap w:val="0"/>
            <w:vAlign w:val="center"/>
          </w:tcPr>
          <w:p w14:paraId="6E9B5D0D">
            <w:pPr>
              <w:jc w:val="center"/>
              <w:rPr>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0D5B5E3E">
            <w:pPr>
              <w:tabs>
                <w:tab w:val="left" w:pos="1890"/>
              </w:tabs>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05EEC1F4">
            <w:pPr>
              <w:tabs>
                <w:tab w:val="left" w:pos="1890"/>
              </w:tabs>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12FB0CA5">
            <w:pPr>
              <w:tabs>
                <w:tab w:val="left" w:pos="1890"/>
              </w:tabs>
              <w:jc w:val="center"/>
              <w:rPr>
                <w:rFonts w:hint="eastAsia"/>
                <w:b w:val="0"/>
                <w:bCs w:val="0"/>
                <w:color w:val="000000"/>
                <w:szCs w:val="21"/>
              </w:rPr>
            </w:pPr>
            <w:r>
              <w:rPr>
                <w:rFonts w:hint="eastAsia"/>
                <w:b w:val="0"/>
                <w:bCs w:val="0"/>
                <w:color w:val="000000"/>
                <w:szCs w:val="21"/>
              </w:rPr>
              <w:t>/</w:t>
            </w:r>
          </w:p>
        </w:tc>
      </w:tr>
      <w:tr w14:paraId="6312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65B36678">
            <w:pPr>
              <w:tabs>
                <w:tab w:val="left" w:pos="1890"/>
              </w:tabs>
              <w:jc w:val="center"/>
              <w:rPr>
                <w:rFonts w:hint="eastAsia"/>
                <w:b w:val="0"/>
                <w:bCs w:val="0"/>
                <w:color w:val="000000"/>
                <w:szCs w:val="21"/>
              </w:rPr>
            </w:pPr>
            <w:r>
              <w:rPr>
                <w:rFonts w:hint="eastAsia"/>
                <w:b w:val="0"/>
                <w:bCs w:val="0"/>
                <w:color w:val="000000"/>
                <w:szCs w:val="21"/>
              </w:rPr>
              <w:t>2</w:t>
            </w:r>
          </w:p>
        </w:tc>
        <w:tc>
          <w:tcPr>
            <w:tcW w:w="1282" w:type="dxa"/>
            <w:vMerge w:val="continue"/>
            <w:noWrap w:val="0"/>
            <w:vAlign w:val="center"/>
          </w:tcPr>
          <w:p w14:paraId="44095D52">
            <w:pPr>
              <w:tabs>
                <w:tab w:val="left" w:pos="1890"/>
              </w:tabs>
              <w:jc w:val="center"/>
              <w:rPr>
                <w:rFonts w:hint="eastAsia"/>
                <w:b w:val="0"/>
                <w:bCs w:val="0"/>
                <w:color w:val="000000"/>
                <w:szCs w:val="21"/>
              </w:rPr>
            </w:pPr>
          </w:p>
        </w:tc>
        <w:tc>
          <w:tcPr>
            <w:tcW w:w="2055" w:type="dxa"/>
            <w:noWrap w:val="0"/>
            <w:vAlign w:val="center"/>
          </w:tcPr>
          <w:p w14:paraId="56DCD7DB">
            <w:pPr>
              <w:autoSpaceDE w:val="0"/>
              <w:autoSpaceDN w:val="0"/>
              <w:spacing w:line="276" w:lineRule="auto"/>
              <w:jc w:val="center"/>
              <w:rPr>
                <w:rFonts w:hint="eastAsia"/>
                <w:b w:val="0"/>
                <w:bCs w:val="0"/>
                <w:color w:val="000000"/>
                <w:szCs w:val="21"/>
              </w:rPr>
            </w:pPr>
            <w:r>
              <w:rPr>
                <w:rFonts w:hint="eastAsia" w:ascii="Times New Roman" w:hAnsi="Times New Roman" w:cs="Times New Roman"/>
                <w:b w:val="0"/>
                <w:bCs/>
                <w:sz w:val="21"/>
                <w:szCs w:val="21"/>
                <w:highlight w:val="none"/>
                <w:lang w:val="en-US" w:eastAsia="zh-CN"/>
              </w:rPr>
              <w:t>粘土</w:t>
            </w:r>
          </w:p>
        </w:tc>
        <w:tc>
          <w:tcPr>
            <w:tcW w:w="956" w:type="dxa"/>
            <w:noWrap w:val="0"/>
            <w:vAlign w:val="center"/>
          </w:tcPr>
          <w:p w14:paraId="25A97CEA">
            <w:pPr>
              <w:spacing w:line="276" w:lineRule="auto"/>
              <w:jc w:val="center"/>
              <w:rPr>
                <w:rFonts w:hint="eastAsia"/>
                <w:b w:val="0"/>
                <w:bCs w:val="0"/>
                <w:color w:val="000000"/>
                <w:szCs w:val="21"/>
              </w:rPr>
            </w:pPr>
            <w:r>
              <w:rPr>
                <w:rFonts w:hint="eastAsia"/>
                <w:bCs/>
                <w:color w:val="000000"/>
                <w:szCs w:val="21"/>
                <w:lang w:val="en-US" w:eastAsia="zh-CN"/>
              </w:rPr>
              <w:t>32000</w:t>
            </w:r>
          </w:p>
        </w:tc>
        <w:tc>
          <w:tcPr>
            <w:tcW w:w="883" w:type="dxa"/>
            <w:noWrap w:val="0"/>
            <w:vAlign w:val="center"/>
          </w:tcPr>
          <w:p w14:paraId="0F78559B">
            <w:pPr>
              <w:spacing w:line="276" w:lineRule="auto"/>
              <w:jc w:val="center"/>
              <w:rPr>
                <w:rFonts w:hint="eastAsia"/>
                <w:b w:val="0"/>
                <w:bCs w:val="0"/>
                <w:color w:val="000000"/>
                <w:szCs w:val="21"/>
              </w:rPr>
            </w:pPr>
            <w:r>
              <w:rPr>
                <w:rFonts w:hint="eastAsia"/>
                <w:bCs/>
                <w:color w:val="000000"/>
                <w:szCs w:val="21"/>
                <w:lang w:val="en-US" w:eastAsia="zh-CN"/>
              </w:rPr>
              <w:t>32000</w:t>
            </w:r>
          </w:p>
        </w:tc>
        <w:tc>
          <w:tcPr>
            <w:tcW w:w="976" w:type="dxa"/>
            <w:noWrap w:val="0"/>
            <w:vAlign w:val="center"/>
          </w:tcPr>
          <w:p w14:paraId="740073B3">
            <w:pPr>
              <w:jc w:val="center"/>
              <w:rPr>
                <w:rFonts w:hint="eastAsia"/>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179A40EA">
            <w:pPr>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102006DC">
            <w:pPr>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15179FBE">
            <w:pPr>
              <w:jc w:val="center"/>
              <w:rPr>
                <w:rFonts w:hint="eastAsia"/>
                <w:b w:val="0"/>
                <w:bCs w:val="0"/>
                <w:color w:val="000000"/>
                <w:szCs w:val="21"/>
              </w:rPr>
            </w:pPr>
            <w:r>
              <w:rPr>
                <w:rFonts w:hint="eastAsia"/>
                <w:b w:val="0"/>
                <w:bCs w:val="0"/>
                <w:color w:val="000000"/>
                <w:szCs w:val="21"/>
              </w:rPr>
              <w:t>/</w:t>
            </w:r>
          </w:p>
        </w:tc>
      </w:tr>
      <w:tr w14:paraId="1EFF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28C3B27A">
            <w:pPr>
              <w:tabs>
                <w:tab w:val="left" w:pos="1890"/>
              </w:tabs>
              <w:jc w:val="center"/>
              <w:rPr>
                <w:rFonts w:hint="eastAsia"/>
                <w:b w:val="0"/>
                <w:bCs w:val="0"/>
                <w:color w:val="000000"/>
                <w:szCs w:val="21"/>
              </w:rPr>
            </w:pPr>
            <w:r>
              <w:rPr>
                <w:rFonts w:hint="eastAsia"/>
                <w:b w:val="0"/>
                <w:bCs w:val="0"/>
                <w:color w:val="000000"/>
                <w:szCs w:val="21"/>
              </w:rPr>
              <w:t>3</w:t>
            </w:r>
          </w:p>
        </w:tc>
        <w:tc>
          <w:tcPr>
            <w:tcW w:w="1282" w:type="dxa"/>
            <w:vMerge w:val="continue"/>
            <w:noWrap w:val="0"/>
            <w:vAlign w:val="center"/>
          </w:tcPr>
          <w:p w14:paraId="1FC920A6">
            <w:pPr>
              <w:tabs>
                <w:tab w:val="left" w:pos="1890"/>
              </w:tabs>
              <w:jc w:val="center"/>
              <w:rPr>
                <w:rFonts w:hint="eastAsia"/>
                <w:b w:val="0"/>
                <w:bCs w:val="0"/>
                <w:color w:val="000000"/>
                <w:szCs w:val="21"/>
              </w:rPr>
            </w:pPr>
          </w:p>
        </w:tc>
        <w:tc>
          <w:tcPr>
            <w:tcW w:w="2055" w:type="dxa"/>
            <w:noWrap w:val="0"/>
            <w:vAlign w:val="center"/>
          </w:tcPr>
          <w:p w14:paraId="668AFB99">
            <w:pPr>
              <w:autoSpaceDE w:val="0"/>
              <w:autoSpaceDN w:val="0"/>
              <w:spacing w:line="276" w:lineRule="auto"/>
              <w:jc w:val="center"/>
              <w:rPr>
                <w:rFonts w:hint="eastAsia"/>
                <w:b w:val="0"/>
                <w:bCs w:val="0"/>
                <w:color w:val="000000"/>
                <w:szCs w:val="21"/>
              </w:rPr>
            </w:pPr>
            <w:r>
              <w:rPr>
                <w:rFonts w:hint="eastAsia" w:ascii="Times New Roman" w:hAnsi="Times New Roman" w:eastAsia="宋体" w:cs="Times New Roman"/>
                <w:b w:val="0"/>
                <w:bCs/>
                <w:sz w:val="21"/>
                <w:szCs w:val="21"/>
                <w:highlight w:val="none"/>
                <w:lang w:eastAsia="zh-CN"/>
              </w:rPr>
              <w:t>建筑渣土</w:t>
            </w:r>
          </w:p>
        </w:tc>
        <w:tc>
          <w:tcPr>
            <w:tcW w:w="956" w:type="dxa"/>
            <w:noWrap w:val="0"/>
            <w:vAlign w:val="center"/>
          </w:tcPr>
          <w:p w14:paraId="5B25A835">
            <w:pPr>
              <w:spacing w:line="276" w:lineRule="auto"/>
              <w:jc w:val="center"/>
              <w:rPr>
                <w:rFonts w:hint="eastAsia"/>
                <w:b w:val="0"/>
                <w:bCs w:val="0"/>
                <w:color w:val="000000"/>
                <w:szCs w:val="21"/>
              </w:rPr>
            </w:pPr>
            <w:r>
              <w:rPr>
                <w:rFonts w:hint="eastAsia"/>
                <w:bCs/>
                <w:color w:val="000000"/>
                <w:szCs w:val="21"/>
                <w:lang w:val="en-US" w:eastAsia="zh-CN"/>
              </w:rPr>
              <w:t>960</w:t>
            </w:r>
            <w:r>
              <w:rPr>
                <w:rFonts w:hint="eastAsia"/>
                <w:bCs/>
                <w:color w:val="000000"/>
                <w:szCs w:val="21"/>
              </w:rPr>
              <w:t>00</w:t>
            </w:r>
          </w:p>
        </w:tc>
        <w:tc>
          <w:tcPr>
            <w:tcW w:w="883" w:type="dxa"/>
            <w:noWrap w:val="0"/>
            <w:vAlign w:val="center"/>
          </w:tcPr>
          <w:p w14:paraId="1AF95B2E">
            <w:pPr>
              <w:spacing w:line="276" w:lineRule="auto"/>
              <w:jc w:val="center"/>
              <w:rPr>
                <w:rFonts w:hint="eastAsia"/>
                <w:b w:val="0"/>
                <w:bCs w:val="0"/>
                <w:color w:val="000000"/>
                <w:szCs w:val="21"/>
              </w:rPr>
            </w:pPr>
            <w:r>
              <w:rPr>
                <w:rFonts w:hint="eastAsia"/>
                <w:bCs/>
                <w:color w:val="000000"/>
                <w:szCs w:val="21"/>
                <w:lang w:val="en-US" w:eastAsia="zh-CN"/>
              </w:rPr>
              <w:t>960</w:t>
            </w:r>
            <w:r>
              <w:rPr>
                <w:rFonts w:hint="eastAsia"/>
                <w:bCs/>
                <w:color w:val="000000"/>
                <w:szCs w:val="21"/>
              </w:rPr>
              <w:t>00</w:t>
            </w:r>
          </w:p>
        </w:tc>
        <w:tc>
          <w:tcPr>
            <w:tcW w:w="976" w:type="dxa"/>
            <w:noWrap w:val="0"/>
            <w:vAlign w:val="center"/>
          </w:tcPr>
          <w:p w14:paraId="7D6F818E">
            <w:pPr>
              <w:jc w:val="center"/>
              <w:rPr>
                <w:rFonts w:hint="eastAsia"/>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68AC5C1F">
            <w:pPr>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625D92D9">
            <w:pPr>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67380F2A">
            <w:pPr>
              <w:jc w:val="center"/>
              <w:rPr>
                <w:rFonts w:hint="eastAsia"/>
                <w:b w:val="0"/>
                <w:bCs w:val="0"/>
                <w:color w:val="000000"/>
                <w:szCs w:val="21"/>
              </w:rPr>
            </w:pPr>
            <w:r>
              <w:rPr>
                <w:rFonts w:hint="eastAsia"/>
                <w:b w:val="0"/>
                <w:bCs w:val="0"/>
                <w:color w:val="000000"/>
                <w:szCs w:val="21"/>
              </w:rPr>
              <w:t>/</w:t>
            </w:r>
          </w:p>
        </w:tc>
      </w:tr>
      <w:tr w14:paraId="21C6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76C5DA52">
            <w:pPr>
              <w:tabs>
                <w:tab w:val="left" w:pos="1890"/>
              </w:tabs>
              <w:jc w:val="center"/>
              <w:rPr>
                <w:b w:val="0"/>
                <w:bCs w:val="0"/>
                <w:color w:val="000000"/>
                <w:szCs w:val="21"/>
              </w:rPr>
            </w:pPr>
            <w:r>
              <w:rPr>
                <w:rFonts w:hint="eastAsia"/>
                <w:b w:val="0"/>
                <w:bCs w:val="0"/>
                <w:color w:val="000000"/>
                <w:szCs w:val="21"/>
              </w:rPr>
              <w:t>4</w:t>
            </w:r>
          </w:p>
        </w:tc>
        <w:tc>
          <w:tcPr>
            <w:tcW w:w="1282" w:type="dxa"/>
            <w:vMerge w:val="continue"/>
            <w:noWrap w:val="0"/>
            <w:vAlign w:val="center"/>
          </w:tcPr>
          <w:p w14:paraId="20F4D63D">
            <w:pPr>
              <w:tabs>
                <w:tab w:val="left" w:pos="1890"/>
              </w:tabs>
              <w:jc w:val="center"/>
              <w:rPr>
                <w:rFonts w:hint="eastAsia"/>
                <w:b w:val="0"/>
                <w:bCs w:val="0"/>
                <w:color w:val="000000"/>
                <w:szCs w:val="21"/>
              </w:rPr>
            </w:pPr>
          </w:p>
        </w:tc>
        <w:tc>
          <w:tcPr>
            <w:tcW w:w="2055" w:type="dxa"/>
            <w:noWrap w:val="0"/>
            <w:vAlign w:val="center"/>
          </w:tcPr>
          <w:p w14:paraId="72DADFA9">
            <w:pPr>
              <w:autoSpaceDE w:val="0"/>
              <w:autoSpaceDN w:val="0"/>
              <w:spacing w:line="276" w:lineRule="auto"/>
              <w:jc w:val="center"/>
              <w:rPr>
                <w:rFonts w:hint="eastAsia"/>
                <w:b w:val="0"/>
                <w:bCs w:val="0"/>
                <w:color w:val="000000"/>
                <w:szCs w:val="21"/>
              </w:rPr>
            </w:pPr>
            <w:r>
              <w:rPr>
                <w:rFonts w:hint="eastAsia" w:ascii="Times New Roman" w:hAnsi="Times New Roman" w:cs="Times New Roman"/>
                <w:b w:val="0"/>
                <w:bCs/>
                <w:sz w:val="21"/>
                <w:szCs w:val="21"/>
                <w:highlight w:val="none"/>
              </w:rPr>
              <w:t>生物质颗粒</w:t>
            </w:r>
          </w:p>
        </w:tc>
        <w:tc>
          <w:tcPr>
            <w:tcW w:w="956" w:type="dxa"/>
            <w:noWrap w:val="0"/>
            <w:vAlign w:val="center"/>
          </w:tcPr>
          <w:p w14:paraId="67935EC7">
            <w:pPr>
              <w:spacing w:line="276" w:lineRule="auto"/>
              <w:jc w:val="center"/>
              <w:rPr>
                <w:rFonts w:hint="eastAsia"/>
                <w:b w:val="0"/>
                <w:bCs w:val="0"/>
                <w:color w:val="000000"/>
                <w:szCs w:val="21"/>
              </w:rPr>
            </w:pPr>
            <w:r>
              <w:rPr>
                <w:rFonts w:hint="eastAsia"/>
                <w:bCs/>
                <w:color w:val="000000"/>
                <w:szCs w:val="21"/>
                <w:highlight w:val="none"/>
              </w:rPr>
              <w:t>12</w:t>
            </w:r>
          </w:p>
        </w:tc>
        <w:tc>
          <w:tcPr>
            <w:tcW w:w="883" w:type="dxa"/>
            <w:noWrap w:val="0"/>
            <w:vAlign w:val="center"/>
          </w:tcPr>
          <w:p w14:paraId="53DA41CC">
            <w:pPr>
              <w:spacing w:line="276" w:lineRule="auto"/>
              <w:jc w:val="center"/>
              <w:rPr>
                <w:rFonts w:hint="eastAsia"/>
                <w:b w:val="0"/>
                <w:bCs w:val="0"/>
                <w:color w:val="000000"/>
                <w:szCs w:val="21"/>
              </w:rPr>
            </w:pPr>
            <w:r>
              <w:rPr>
                <w:rFonts w:hint="eastAsia"/>
                <w:bCs/>
                <w:color w:val="000000"/>
                <w:szCs w:val="21"/>
                <w:highlight w:val="none"/>
              </w:rPr>
              <w:t>12</w:t>
            </w:r>
          </w:p>
        </w:tc>
        <w:tc>
          <w:tcPr>
            <w:tcW w:w="976" w:type="dxa"/>
            <w:noWrap w:val="0"/>
            <w:vAlign w:val="center"/>
          </w:tcPr>
          <w:p w14:paraId="4D82171C">
            <w:pPr>
              <w:jc w:val="center"/>
              <w:rPr>
                <w:rFonts w:hint="eastAsia"/>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4D807D15">
            <w:pPr>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79CF52E8">
            <w:pPr>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1DFAE36C">
            <w:pPr>
              <w:jc w:val="center"/>
              <w:rPr>
                <w:rFonts w:hint="eastAsia"/>
                <w:b w:val="0"/>
                <w:bCs w:val="0"/>
                <w:color w:val="000000"/>
                <w:szCs w:val="21"/>
              </w:rPr>
            </w:pPr>
            <w:r>
              <w:rPr>
                <w:rFonts w:hint="eastAsia"/>
                <w:b w:val="0"/>
                <w:bCs w:val="0"/>
                <w:color w:val="000000"/>
                <w:szCs w:val="21"/>
              </w:rPr>
              <w:t>/</w:t>
            </w:r>
          </w:p>
        </w:tc>
      </w:tr>
      <w:tr w14:paraId="1B16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69483369">
            <w:pPr>
              <w:tabs>
                <w:tab w:val="left" w:pos="1890"/>
              </w:tabs>
              <w:jc w:val="center"/>
              <w:rPr>
                <w:rFonts w:hint="eastAsia"/>
                <w:b w:val="0"/>
                <w:bCs w:val="0"/>
                <w:color w:val="000000"/>
                <w:szCs w:val="21"/>
              </w:rPr>
            </w:pPr>
            <w:r>
              <w:rPr>
                <w:rFonts w:hint="eastAsia"/>
                <w:b w:val="0"/>
                <w:bCs w:val="0"/>
                <w:color w:val="000000"/>
                <w:szCs w:val="21"/>
              </w:rPr>
              <w:t>5</w:t>
            </w:r>
          </w:p>
        </w:tc>
        <w:tc>
          <w:tcPr>
            <w:tcW w:w="1282" w:type="dxa"/>
            <w:vMerge w:val="continue"/>
            <w:noWrap w:val="0"/>
            <w:vAlign w:val="center"/>
          </w:tcPr>
          <w:p w14:paraId="186F91DA">
            <w:pPr>
              <w:tabs>
                <w:tab w:val="left" w:pos="1890"/>
              </w:tabs>
              <w:jc w:val="center"/>
              <w:rPr>
                <w:rFonts w:hint="eastAsia"/>
                <w:b w:val="0"/>
                <w:bCs w:val="0"/>
                <w:color w:val="000000"/>
                <w:szCs w:val="21"/>
              </w:rPr>
            </w:pPr>
          </w:p>
        </w:tc>
        <w:tc>
          <w:tcPr>
            <w:tcW w:w="2055" w:type="dxa"/>
            <w:noWrap w:val="0"/>
            <w:vAlign w:val="center"/>
          </w:tcPr>
          <w:p w14:paraId="2E89694D">
            <w:pPr>
              <w:autoSpaceDE w:val="0"/>
              <w:autoSpaceDN w:val="0"/>
              <w:spacing w:line="276" w:lineRule="auto"/>
              <w:jc w:val="center"/>
              <w:rPr>
                <w:rFonts w:hint="eastAsia"/>
                <w:b w:val="0"/>
                <w:bCs w:val="0"/>
                <w:color w:val="000000"/>
                <w:szCs w:val="21"/>
              </w:rPr>
            </w:pPr>
            <w:r>
              <w:rPr>
                <w:rFonts w:hint="eastAsia" w:ascii="Times New Roman" w:hAnsi="Times New Roman" w:cs="Times New Roman"/>
                <w:b w:val="0"/>
                <w:bCs/>
                <w:sz w:val="21"/>
                <w:szCs w:val="21"/>
                <w:highlight w:val="none"/>
              </w:rPr>
              <w:t>机油</w:t>
            </w:r>
          </w:p>
        </w:tc>
        <w:tc>
          <w:tcPr>
            <w:tcW w:w="956" w:type="dxa"/>
            <w:noWrap w:val="0"/>
            <w:vAlign w:val="center"/>
          </w:tcPr>
          <w:p w14:paraId="71AFAF41">
            <w:pPr>
              <w:spacing w:line="276" w:lineRule="auto"/>
              <w:jc w:val="center"/>
              <w:rPr>
                <w:rFonts w:hint="eastAsia" w:ascii="Times New Roman" w:hAnsi="Times New Roman"/>
                <w:b w:val="0"/>
                <w:bCs w:val="0"/>
                <w:color w:val="000000"/>
                <w:sz w:val="21"/>
                <w:szCs w:val="21"/>
              </w:rPr>
            </w:pPr>
            <w:r>
              <w:rPr>
                <w:rFonts w:hint="eastAsia"/>
                <w:bCs/>
                <w:szCs w:val="21"/>
              </w:rPr>
              <w:t>0.6</w:t>
            </w:r>
          </w:p>
        </w:tc>
        <w:tc>
          <w:tcPr>
            <w:tcW w:w="883" w:type="dxa"/>
            <w:noWrap w:val="0"/>
            <w:vAlign w:val="center"/>
          </w:tcPr>
          <w:p w14:paraId="7969AF2E">
            <w:pPr>
              <w:spacing w:line="276" w:lineRule="auto"/>
              <w:jc w:val="center"/>
              <w:rPr>
                <w:rFonts w:hint="eastAsia" w:ascii="Times New Roman" w:hAnsi="Times New Roman"/>
                <w:b w:val="0"/>
                <w:bCs w:val="0"/>
                <w:color w:val="000000"/>
                <w:sz w:val="21"/>
                <w:szCs w:val="21"/>
              </w:rPr>
            </w:pPr>
            <w:r>
              <w:rPr>
                <w:rFonts w:hint="eastAsia"/>
                <w:bCs/>
                <w:szCs w:val="21"/>
              </w:rPr>
              <w:t>0.6</w:t>
            </w:r>
          </w:p>
        </w:tc>
        <w:tc>
          <w:tcPr>
            <w:tcW w:w="976" w:type="dxa"/>
            <w:noWrap w:val="0"/>
            <w:vAlign w:val="center"/>
          </w:tcPr>
          <w:p w14:paraId="5D6A12F8">
            <w:pPr>
              <w:jc w:val="center"/>
              <w:rPr>
                <w:rFonts w:hint="eastAsia"/>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3E2DFED6">
            <w:pPr>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2B8BFE24">
            <w:pPr>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7B261923">
            <w:pPr>
              <w:jc w:val="center"/>
              <w:rPr>
                <w:rFonts w:hint="eastAsia"/>
                <w:b w:val="0"/>
                <w:bCs w:val="0"/>
                <w:color w:val="000000"/>
                <w:szCs w:val="21"/>
              </w:rPr>
            </w:pPr>
            <w:r>
              <w:rPr>
                <w:rFonts w:hint="eastAsia"/>
                <w:b w:val="0"/>
                <w:bCs w:val="0"/>
                <w:color w:val="000000"/>
                <w:szCs w:val="21"/>
              </w:rPr>
              <w:t>/</w:t>
            </w:r>
          </w:p>
        </w:tc>
      </w:tr>
      <w:tr w14:paraId="227E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071B9640">
            <w:pPr>
              <w:tabs>
                <w:tab w:val="left" w:pos="1890"/>
              </w:tabs>
              <w:jc w:val="center"/>
              <w:rPr>
                <w:rFonts w:hint="eastAsia"/>
                <w:b w:val="0"/>
                <w:bCs w:val="0"/>
                <w:color w:val="000000"/>
                <w:szCs w:val="21"/>
              </w:rPr>
            </w:pPr>
            <w:r>
              <w:rPr>
                <w:rFonts w:hint="eastAsia"/>
                <w:b w:val="0"/>
                <w:bCs w:val="0"/>
                <w:color w:val="000000"/>
                <w:szCs w:val="21"/>
              </w:rPr>
              <w:t>6</w:t>
            </w:r>
          </w:p>
        </w:tc>
        <w:tc>
          <w:tcPr>
            <w:tcW w:w="1282" w:type="dxa"/>
            <w:vMerge w:val="continue"/>
            <w:noWrap w:val="0"/>
            <w:vAlign w:val="center"/>
          </w:tcPr>
          <w:p w14:paraId="198BD431">
            <w:pPr>
              <w:tabs>
                <w:tab w:val="left" w:pos="1890"/>
              </w:tabs>
              <w:jc w:val="center"/>
              <w:rPr>
                <w:rFonts w:hint="eastAsia"/>
                <w:b w:val="0"/>
                <w:bCs w:val="0"/>
                <w:color w:val="000000"/>
                <w:szCs w:val="21"/>
              </w:rPr>
            </w:pPr>
          </w:p>
        </w:tc>
        <w:tc>
          <w:tcPr>
            <w:tcW w:w="2055" w:type="dxa"/>
            <w:noWrap w:val="0"/>
            <w:vAlign w:val="center"/>
          </w:tcPr>
          <w:p w14:paraId="59489587">
            <w:pPr>
              <w:autoSpaceDE w:val="0"/>
              <w:autoSpaceDN w:val="0"/>
              <w:spacing w:line="276" w:lineRule="auto"/>
              <w:jc w:val="center"/>
              <w:rPr>
                <w:rFonts w:hint="eastAsia" w:ascii="Times New Roman" w:hAnsi="Times New Roman"/>
                <w:b w:val="0"/>
                <w:bCs w:val="0"/>
                <w:color w:val="000000"/>
                <w:sz w:val="21"/>
                <w:szCs w:val="21"/>
                <w:lang w:eastAsia="zh-CN"/>
              </w:rPr>
            </w:pPr>
            <w:r>
              <w:rPr>
                <w:rFonts w:hint="eastAsia" w:ascii="Times New Roman" w:hAnsi="Times New Roman" w:cs="Times New Roman"/>
                <w:b w:val="0"/>
                <w:bCs/>
                <w:sz w:val="21"/>
                <w:szCs w:val="21"/>
                <w:highlight w:val="none"/>
              </w:rPr>
              <w:t>石灰石</w:t>
            </w:r>
          </w:p>
        </w:tc>
        <w:tc>
          <w:tcPr>
            <w:tcW w:w="956" w:type="dxa"/>
            <w:noWrap w:val="0"/>
            <w:vAlign w:val="center"/>
          </w:tcPr>
          <w:p w14:paraId="3D1B685B">
            <w:pPr>
              <w:spacing w:line="276" w:lineRule="auto"/>
              <w:jc w:val="center"/>
              <w:rPr>
                <w:rFonts w:hint="eastAsia" w:ascii="Times New Roman" w:hAnsi="Times New Roman"/>
                <w:b w:val="0"/>
                <w:bCs w:val="0"/>
                <w:color w:val="000000"/>
                <w:sz w:val="21"/>
                <w:szCs w:val="21"/>
                <w:lang w:eastAsia="zh-CN"/>
              </w:rPr>
            </w:pPr>
            <w:r>
              <w:rPr>
                <w:rFonts w:hint="eastAsia"/>
                <w:bCs/>
                <w:szCs w:val="21"/>
              </w:rPr>
              <w:t>1500</w:t>
            </w:r>
          </w:p>
        </w:tc>
        <w:tc>
          <w:tcPr>
            <w:tcW w:w="883" w:type="dxa"/>
            <w:noWrap w:val="0"/>
            <w:vAlign w:val="center"/>
          </w:tcPr>
          <w:p w14:paraId="2F53DEA5">
            <w:pPr>
              <w:spacing w:line="276" w:lineRule="auto"/>
              <w:jc w:val="center"/>
              <w:rPr>
                <w:rFonts w:hint="eastAsia" w:ascii="Times New Roman" w:hAnsi="Times New Roman"/>
                <w:b w:val="0"/>
                <w:bCs w:val="0"/>
                <w:color w:val="000000"/>
                <w:sz w:val="21"/>
                <w:szCs w:val="21"/>
                <w:lang w:eastAsia="zh-CN"/>
              </w:rPr>
            </w:pPr>
            <w:r>
              <w:rPr>
                <w:rFonts w:hint="eastAsia"/>
                <w:bCs/>
                <w:szCs w:val="21"/>
              </w:rPr>
              <w:t>1500</w:t>
            </w:r>
          </w:p>
        </w:tc>
        <w:tc>
          <w:tcPr>
            <w:tcW w:w="976" w:type="dxa"/>
            <w:noWrap w:val="0"/>
            <w:vAlign w:val="center"/>
          </w:tcPr>
          <w:p w14:paraId="3F1775EA">
            <w:pPr>
              <w:jc w:val="center"/>
              <w:rPr>
                <w:rFonts w:hint="eastAsia"/>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626A6C1E">
            <w:pPr>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0830B784">
            <w:pPr>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07E593B3">
            <w:pPr>
              <w:jc w:val="center"/>
              <w:rPr>
                <w:rFonts w:hint="eastAsia"/>
                <w:b w:val="0"/>
                <w:bCs w:val="0"/>
                <w:color w:val="000000"/>
                <w:szCs w:val="21"/>
              </w:rPr>
            </w:pPr>
            <w:r>
              <w:rPr>
                <w:rFonts w:hint="eastAsia"/>
                <w:b w:val="0"/>
                <w:bCs w:val="0"/>
                <w:color w:val="000000"/>
                <w:szCs w:val="21"/>
              </w:rPr>
              <w:t>/</w:t>
            </w:r>
          </w:p>
        </w:tc>
      </w:tr>
      <w:tr w14:paraId="7F4E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26" w:type="dxa"/>
            <w:noWrap w:val="0"/>
            <w:vAlign w:val="center"/>
          </w:tcPr>
          <w:p w14:paraId="1E4BB6AB">
            <w:pPr>
              <w:tabs>
                <w:tab w:val="left" w:pos="1890"/>
              </w:tabs>
              <w:jc w:val="center"/>
              <w:rPr>
                <w:rFonts w:hint="eastAsia" w:eastAsia="宋体"/>
                <w:b w:val="0"/>
                <w:bCs w:val="0"/>
                <w:color w:val="000000"/>
                <w:szCs w:val="21"/>
                <w:lang w:val="en-US" w:eastAsia="zh-CN"/>
              </w:rPr>
            </w:pPr>
            <w:r>
              <w:rPr>
                <w:rFonts w:hint="eastAsia"/>
                <w:b w:val="0"/>
                <w:bCs w:val="0"/>
                <w:color w:val="000000"/>
                <w:szCs w:val="21"/>
                <w:lang w:val="en-US" w:eastAsia="zh-CN"/>
              </w:rPr>
              <w:t>7</w:t>
            </w:r>
          </w:p>
        </w:tc>
        <w:tc>
          <w:tcPr>
            <w:tcW w:w="1282" w:type="dxa"/>
            <w:vMerge w:val="continue"/>
            <w:noWrap w:val="0"/>
            <w:vAlign w:val="center"/>
          </w:tcPr>
          <w:p w14:paraId="371022A1">
            <w:pPr>
              <w:tabs>
                <w:tab w:val="left" w:pos="1890"/>
              </w:tabs>
              <w:jc w:val="center"/>
              <w:rPr>
                <w:rFonts w:hint="eastAsia"/>
                <w:b w:val="0"/>
                <w:bCs w:val="0"/>
                <w:color w:val="000000"/>
                <w:szCs w:val="21"/>
              </w:rPr>
            </w:pPr>
          </w:p>
        </w:tc>
        <w:tc>
          <w:tcPr>
            <w:tcW w:w="2055" w:type="dxa"/>
            <w:noWrap w:val="0"/>
            <w:vAlign w:val="center"/>
          </w:tcPr>
          <w:p w14:paraId="020E00CE">
            <w:pPr>
              <w:autoSpaceDE w:val="0"/>
              <w:autoSpaceDN w:val="0"/>
              <w:spacing w:line="276" w:lineRule="auto"/>
              <w:jc w:val="center"/>
              <w:rPr>
                <w:rFonts w:hint="eastAsia" w:ascii="Times New Roman" w:hAnsi="Times New Roman" w:cs="Times New Roman"/>
                <w:b w:val="0"/>
                <w:bCs/>
                <w:sz w:val="21"/>
                <w:szCs w:val="21"/>
                <w:highlight w:val="none"/>
              </w:rPr>
            </w:pPr>
            <w:r>
              <w:rPr>
                <w:rFonts w:hint="eastAsia" w:ascii="Times New Roman" w:hAnsi="Times New Roman" w:cs="Times New Roman"/>
                <w:b w:val="0"/>
                <w:bCs/>
                <w:sz w:val="21"/>
                <w:szCs w:val="21"/>
                <w:highlight w:val="none"/>
              </w:rPr>
              <w:t>絮凝剂</w:t>
            </w:r>
          </w:p>
        </w:tc>
        <w:tc>
          <w:tcPr>
            <w:tcW w:w="956" w:type="dxa"/>
            <w:noWrap w:val="0"/>
            <w:vAlign w:val="center"/>
          </w:tcPr>
          <w:p w14:paraId="73DCAE41">
            <w:pPr>
              <w:spacing w:line="276" w:lineRule="auto"/>
              <w:jc w:val="center"/>
              <w:rPr>
                <w:rFonts w:hint="eastAsia" w:cs="Times New Roman"/>
                <w:b w:val="0"/>
                <w:bCs w:val="0"/>
                <w:sz w:val="21"/>
                <w:szCs w:val="21"/>
                <w:lang w:val="en-US" w:eastAsia="zh-CN"/>
              </w:rPr>
            </w:pPr>
            <w:r>
              <w:rPr>
                <w:rFonts w:hint="eastAsia"/>
                <w:bCs/>
                <w:szCs w:val="21"/>
              </w:rPr>
              <w:t>1.2</w:t>
            </w:r>
          </w:p>
        </w:tc>
        <w:tc>
          <w:tcPr>
            <w:tcW w:w="883" w:type="dxa"/>
            <w:noWrap w:val="0"/>
            <w:vAlign w:val="center"/>
          </w:tcPr>
          <w:p w14:paraId="228D87FB">
            <w:pPr>
              <w:spacing w:line="276" w:lineRule="auto"/>
              <w:jc w:val="center"/>
              <w:rPr>
                <w:rFonts w:hint="eastAsia" w:cs="Times New Roman"/>
                <w:b w:val="0"/>
                <w:bCs w:val="0"/>
                <w:sz w:val="21"/>
                <w:szCs w:val="21"/>
                <w:lang w:val="en-US" w:eastAsia="zh-CN"/>
              </w:rPr>
            </w:pPr>
            <w:r>
              <w:rPr>
                <w:rFonts w:hint="eastAsia"/>
                <w:bCs/>
                <w:szCs w:val="21"/>
              </w:rPr>
              <w:t>1.2</w:t>
            </w:r>
          </w:p>
        </w:tc>
        <w:tc>
          <w:tcPr>
            <w:tcW w:w="976" w:type="dxa"/>
            <w:noWrap w:val="0"/>
            <w:vAlign w:val="center"/>
          </w:tcPr>
          <w:p w14:paraId="450B476D">
            <w:pPr>
              <w:jc w:val="center"/>
              <w:rPr>
                <w:rFonts w:hint="eastAsia"/>
                <w:b w:val="0"/>
                <w:bCs w:val="0"/>
                <w:color w:val="000000"/>
                <w:szCs w:val="21"/>
              </w:rPr>
            </w:pPr>
            <w:r>
              <w:rPr>
                <w:rFonts w:hint="eastAsia"/>
                <w:b w:val="0"/>
                <w:bCs w:val="0"/>
                <w:color w:val="000000"/>
                <w:szCs w:val="21"/>
              </w:rPr>
              <w:t>t</w:t>
            </w:r>
            <w:r>
              <w:rPr>
                <w:b w:val="0"/>
                <w:bCs w:val="0"/>
                <w:color w:val="000000"/>
                <w:szCs w:val="21"/>
              </w:rPr>
              <w:t>/a</w:t>
            </w:r>
          </w:p>
        </w:tc>
        <w:tc>
          <w:tcPr>
            <w:tcW w:w="1824" w:type="dxa"/>
            <w:gridSpan w:val="2"/>
            <w:noWrap w:val="0"/>
            <w:vAlign w:val="center"/>
          </w:tcPr>
          <w:p w14:paraId="043AAEDF">
            <w:pPr>
              <w:jc w:val="center"/>
              <w:rPr>
                <w:rFonts w:hint="eastAsia"/>
                <w:b w:val="0"/>
                <w:bCs w:val="0"/>
                <w:color w:val="000000"/>
                <w:szCs w:val="21"/>
              </w:rPr>
            </w:pPr>
            <w:r>
              <w:rPr>
                <w:rFonts w:hint="eastAsia"/>
                <w:b w:val="0"/>
                <w:bCs w:val="0"/>
                <w:color w:val="000000"/>
                <w:szCs w:val="21"/>
              </w:rPr>
              <w:t>/</w:t>
            </w:r>
          </w:p>
        </w:tc>
        <w:tc>
          <w:tcPr>
            <w:tcW w:w="2634" w:type="dxa"/>
            <w:gridSpan w:val="2"/>
            <w:noWrap w:val="0"/>
            <w:vAlign w:val="center"/>
          </w:tcPr>
          <w:p w14:paraId="69F3A926">
            <w:pPr>
              <w:jc w:val="center"/>
              <w:rPr>
                <w:rFonts w:hint="eastAsia"/>
                <w:b w:val="0"/>
                <w:bCs w:val="0"/>
                <w:color w:val="000000"/>
                <w:szCs w:val="21"/>
              </w:rPr>
            </w:pPr>
            <w:r>
              <w:rPr>
                <w:rFonts w:hint="eastAsia"/>
                <w:b w:val="0"/>
                <w:bCs w:val="0"/>
                <w:color w:val="000000"/>
                <w:szCs w:val="21"/>
              </w:rPr>
              <w:t>/</w:t>
            </w:r>
          </w:p>
        </w:tc>
        <w:tc>
          <w:tcPr>
            <w:tcW w:w="2200" w:type="dxa"/>
            <w:gridSpan w:val="2"/>
            <w:noWrap w:val="0"/>
            <w:vAlign w:val="center"/>
          </w:tcPr>
          <w:p w14:paraId="237644A4">
            <w:pPr>
              <w:jc w:val="center"/>
              <w:rPr>
                <w:rFonts w:hint="eastAsia"/>
                <w:b w:val="0"/>
                <w:bCs w:val="0"/>
                <w:color w:val="000000"/>
                <w:szCs w:val="21"/>
              </w:rPr>
            </w:pPr>
            <w:r>
              <w:rPr>
                <w:rFonts w:hint="eastAsia"/>
                <w:b w:val="0"/>
                <w:bCs w:val="0"/>
                <w:color w:val="000000"/>
                <w:szCs w:val="21"/>
              </w:rPr>
              <w:t>/</w:t>
            </w:r>
          </w:p>
        </w:tc>
      </w:tr>
      <w:tr w14:paraId="7E9F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3336" w:type="dxa"/>
            <w:gridSpan w:val="12"/>
            <w:noWrap w:val="0"/>
            <w:vAlign w:val="center"/>
          </w:tcPr>
          <w:p w14:paraId="6B1728A1">
            <w:pPr>
              <w:tabs>
                <w:tab w:val="left" w:pos="1890"/>
              </w:tabs>
              <w:jc w:val="center"/>
              <w:rPr>
                <w:rFonts w:hint="eastAsia"/>
                <w:b w:val="0"/>
                <w:bCs w:val="0"/>
                <w:szCs w:val="21"/>
              </w:rPr>
            </w:pPr>
            <w:r>
              <w:rPr>
                <w:rFonts w:hint="eastAsia"/>
                <w:b w:val="0"/>
                <w:bCs w:val="0"/>
                <w:szCs w:val="21"/>
              </w:rPr>
              <w:t>燃料</w:t>
            </w:r>
          </w:p>
        </w:tc>
      </w:tr>
      <w:tr w14:paraId="7815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26" w:type="dxa"/>
            <w:noWrap w:val="0"/>
            <w:vAlign w:val="center"/>
          </w:tcPr>
          <w:p w14:paraId="63BE1D1A">
            <w:pPr>
              <w:tabs>
                <w:tab w:val="left" w:pos="1890"/>
              </w:tabs>
              <w:jc w:val="center"/>
              <w:rPr>
                <w:rFonts w:hint="eastAsia"/>
                <w:b w:val="0"/>
                <w:bCs w:val="0"/>
                <w:szCs w:val="21"/>
              </w:rPr>
            </w:pPr>
            <w:r>
              <w:rPr>
                <w:rFonts w:hint="eastAsia"/>
                <w:b w:val="0"/>
                <w:bCs w:val="0"/>
                <w:szCs w:val="21"/>
              </w:rPr>
              <w:t>序号</w:t>
            </w:r>
          </w:p>
        </w:tc>
        <w:tc>
          <w:tcPr>
            <w:tcW w:w="1282" w:type="dxa"/>
            <w:noWrap w:val="0"/>
            <w:vAlign w:val="center"/>
          </w:tcPr>
          <w:p w14:paraId="30145078">
            <w:pPr>
              <w:tabs>
                <w:tab w:val="left" w:pos="1890"/>
              </w:tabs>
              <w:jc w:val="center"/>
              <w:rPr>
                <w:rFonts w:hint="eastAsia"/>
                <w:b w:val="0"/>
                <w:bCs w:val="0"/>
                <w:szCs w:val="21"/>
              </w:rPr>
            </w:pPr>
            <w:r>
              <w:rPr>
                <w:rFonts w:hint="eastAsia"/>
                <w:b w:val="0"/>
                <w:bCs w:val="0"/>
                <w:szCs w:val="21"/>
              </w:rPr>
              <w:t>燃料名称</w:t>
            </w:r>
          </w:p>
        </w:tc>
        <w:tc>
          <w:tcPr>
            <w:tcW w:w="2055" w:type="dxa"/>
            <w:noWrap w:val="0"/>
            <w:vAlign w:val="center"/>
          </w:tcPr>
          <w:p w14:paraId="175721F5">
            <w:pPr>
              <w:tabs>
                <w:tab w:val="left" w:pos="1890"/>
              </w:tabs>
              <w:jc w:val="center"/>
              <w:rPr>
                <w:rFonts w:hint="eastAsia"/>
                <w:b w:val="0"/>
                <w:bCs w:val="0"/>
                <w:szCs w:val="21"/>
              </w:rPr>
            </w:pPr>
            <w:r>
              <w:rPr>
                <w:rFonts w:hint="eastAsia"/>
                <w:b w:val="0"/>
                <w:bCs w:val="0"/>
                <w:szCs w:val="21"/>
              </w:rPr>
              <w:t>设计年使用量</w:t>
            </w:r>
          </w:p>
        </w:tc>
        <w:tc>
          <w:tcPr>
            <w:tcW w:w="956" w:type="dxa"/>
            <w:noWrap w:val="0"/>
            <w:vAlign w:val="center"/>
          </w:tcPr>
          <w:p w14:paraId="709C0447">
            <w:pPr>
              <w:tabs>
                <w:tab w:val="left" w:pos="1890"/>
              </w:tabs>
              <w:jc w:val="center"/>
              <w:rPr>
                <w:rFonts w:hint="eastAsia"/>
                <w:b w:val="0"/>
                <w:bCs w:val="0"/>
                <w:szCs w:val="21"/>
              </w:rPr>
            </w:pPr>
            <w:r>
              <w:rPr>
                <w:rFonts w:hint="eastAsia"/>
                <w:b w:val="0"/>
                <w:bCs w:val="0"/>
                <w:szCs w:val="21"/>
              </w:rPr>
              <w:t>年最大使用量</w:t>
            </w:r>
          </w:p>
        </w:tc>
        <w:tc>
          <w:tcPr>
            <w:tcW w:w="883" w:type="dxa"/>
            <w:noWrap w:val="0"/>
            <w:vAlign w:val="center"/>
          </w:tcPr>
          <w:p w14:paraId="0D2FDC43">
            <w:pPr>
              <w:tabs>
                <w:tab w:val="left" w:pos="1890"/>
              </w:tabs>
              <w:jc w:val="center"/>
              <w:rPr>
                <w:rFonts w:hint="eastAsia"/>
                <w:b w:val="0"/>
                <w:bCs w:val="0"/>
                <w:szCs w:val="21"/>
              </w:rPr>
            </w:pPr>
            <w:r>
              <w:rPr>
                <w:rFonts w:hint="eastAsia"/>
                <w:b w:val="0"/>
                <w:bCs w:val="0"/>
                <w:szCs w:val="21"/>
              </w:rPr>
              <w:t>计量单位</w:t>
            </w:r>
          </w:p>
        </w:tc>
        <w:tc>
          <w:tcPr>
            <w:tcW w:w="976" w:type="dxa"/>
            <w:noWrap w:val="0"/>
            <w:vAlign w:val="center"/>
          </w:tcPr>
          <w:p w14:paraId="2B673CC5">
            <w:pPr>
              <w:tabs>
                <w:tab w:val="left" w:pos="1890"/>
              </w:tabs>
              <w:jc w:val="center"/>
              <w:rPr>
                <w:rFonts w:hint="eastAsia"/>
                <w:b w:val="0"/>
                <w:bCs w:val="0"/>
                <w:szCs w:val="21"/>
              </w:rPr>
            </w:pPr>
            <w:r>
              <w:rPr>
                <w:rFonts w:hint="eastAsia"/>
                <w:b w:val="0"/>
                <w:bCs w:val="0"/>
                <w:szCs w:val="21"/>
              </w:rPr>
              <w:t>灰分（%）</w:t>
            </w:r>
          </w:p>
        </w:tc>
        <w:tc>
          <w:tcPr>
            <w:tcW w:w="868" w:type="dxa"/>
            <w:noWrap w:val="0"/>
            <w:vAlign w:val="center"/>
          </w:tcPr>
          <w:p w14:paraId="0684C2F2">
            <w:pPr>
              <w:tabs>
                <w:tab w:val="left" w:pos="1890"/>
              </w:tabs>
              <w:jc w:val="center"/>
              <w:rPr>
                <w:rFonts w:hint="eastAsia"/>
                <w:b w:val="0"/>
                <w:bCs w:val="0"/>
                <w:szCs w:val="21"/>
              </w:rPr>
            </w:pPr>
            <w:r>
              <w:rPr>
                <w:rFonts w:hint="eastAsia"/>
                <w:b w:val="0"/>
                <w:bCs w:val="0"/>
                <w:szCs w:val="21"/>
              </w:rPr>
              <w:t>硫分（%）</w:t>
            </w:r>
          </w:p>
        </w:tc>
        <w:tc>
          <w:tcPr>
            <w:tcW w:w="956" w:type="dxa"/>
            <w:noWrap w:val="0"/>
            <w:vAlign w:val="center"/>
          </w:tcPr>
          <w:p w14:paraId="4754D47D">
            <w:pPr>
              <w:tabs>
                <w:tab w:val="left" w:pos="1890"/>
              </w:tabs>
              <w:jc w:val="center"/>
              <w:rPr>
                <w:rFonts w:hint="eastAsia"/>
                <w:b w:val="0"/>
                <w:bCs w:val="0"/>
                <w:szCs w:val="21"/>
              </w:rPr>
            </w:pPr>
            <w:r>
              <w:rPr>
                <w:rFonts w:hint="eastAsia"/>
                <w:b w:val="0"/>
                <w:bCs w:val="0"/>
                <w:szCs w:val="21"/>
              </w:rPr>
              <w:t>挥发分（%）</w:t>
            </w:r>
          </w:p>
        </w:tc>
        <w:tc>
          <w:tcPr>
            <w:tcW w:w="1288" w:type="dxa"/>
            <w:noWrap w:val="0"/>
            <w:vAlign w:val="center"/>
          </w:tcPr>
          <w:p w14:paraId="1CDA4E0D">
            <w:pPr>
              <w:tabs>
                <w:tab w:val="left" w:pos="1890"/>
              </w:tabs>
              <w:jc w:val="center"/>
              <w:rPr>
                <w:rFonts w:hint="eastAsia"/>
                <w:b w:val="0"/>
                <w:bCs w:val="0"/>
                <w:szCs w:val="21"/>
              </w:rPr>
            </w:pPr>
            <w:r>
              <w:rPr>
                <w:rFonts w:hint="eastAsia"/>
                <w:b w:val="0"/>
                <w:bCs w:val="0"/>
                <w:szCs w:val="21"/>
              </w:rPr>
              <w:t>低位热值（MJ/m</w:t>
            </w:r>
            <w:r>
              <w:rPr>
                <w:rFonts w:hint="eastAsia"/>
                <w:b w:val="0"/>
                <w:bCs w:val="0"/>
                <w:szCs w:val="21"/>
                <w:vertAlign w:val="superscript"/>
              </w:rPr>
              <w:t>3</w:t>
            </w:r>
            <w:r>
              <w:rPr>
                <w:rFonts w:hint="eastAsia"/>
                <w:b w:val="0"/>
                <w:bCs w:val="0"/>
                <w:szCs w:val="21"/>
              </w:rPr>
              <w:t>）</w:t>
            </w:r>
          </w:p>
        </w:tc>
        <w:tc>
          <w:tcPr>
            <w:tcW w:w="1346" w:type="dxa"/>
            <w:noWrap w:val="0"/>
            <w:vAlign w:val="center"/>
          </w:tcPr>
          <w:p w14:paraId="00623AD8">
            <w:pPr>
              <w:tabs>
                <w:tab w:val="left" w:pos="1890"/>
              </w:tabs>
              <w:jc w:val="center"/>
              <w:rPr>
                <w:rFonts w:hint="eastAsia"/>
                <w:b w:val="0"/>
                <w:bCs w:val="0"/>
                <w:szCs w:val="21"/>
              </w:rPr>
            </w:pPr>
            <w:r>
              <w:rPr>
                <w:rFonts w:hint="eastAsia"/>
                <w:b w:val="0"/>
                <w:bCs w:val="0"/>
                <w:szCs w:val="21"/>
              </w:rPr>
              <w:t>有毒有害</w:t>
            </w:r>
          </w:p>
          <w:p w14:paraId="40B9CF61">
            <w:pPr>
              <w:tabs>
                <w:tab w:val="left" w:pos="1890"/>
              </w:tabs>
              <w:jc w:val="center"/>
              <w:rPr>
                <w:rFonts w:hint="eastAsia"/>
                <w:b w:val="0"/>
                <w:bCs w:val="0"/>
                <w:szCs w:val="21"/>
              </w:rPr>
            </w:pPr>
            <w:r>
              <w:rPr>
                <w:rFonts w:hint="eastAsia"/>
                <w:b w:val="0"/>
                <w:bCs w:val="0"/>
                <w:szCs w:val="21"/>
              </w:rPr>
              <w:t>物质</w:t>
            </w:r>
          </w:p>
        </w:tc>
        <w:tc>
          <w:tcPr>
            <w:tcW w:w="1309" w:type="dxa"/>
            <w:noWrap w:val="0"/>
            <w:vAlign w:val="center"/>
          </w:tcPr>
          <w:p w14:paraId="7317DDAE">
            <w:pPr>
              <w:tabs>
                <w:tab w:val="left" w:pos="1890"/>
              </w:tabs>
              <w:jc w:val="center"/>
              <w:rPr>
                <w:rFonts w:hint="eastAsia"/>
                <w:b w:val="0"/>
                <w:bCs w:val="0"/>
                <w:szCs w:val="21"/>
              </w:rPr>
            </w:pPr>
            <w:r>
              <w:rPr>
                <w:rFonts w:hint="eastAsia"/>
                <w:b w:val="0"/>
                <w:bCs w:val="0"/>
                <w:szCs w:val="21"/>
              </w:rPr>
              <w:t>有毒有害成分占比</w:t>
            </w:r>
          </w:p>
        </w:tc>
        <w:tc>
          <w:tcPr>
            <w:tcW w:w="891" w:type="dxa"/>
            <w:noWrap w:val="0"/>
            <w:vAlign w:val="center"/>
          </w:tcPr>
          <w:p w14:paraId="690EA650">
            <w:pPr>
              <w:tabs>
                <w:tab w:val="left" w:pos="1890"/>
              </w:tabs>
              <w:jc w:val="center"/>
              <w:rPr>
                <w:rFonts w:hint="eastAsia"/>
                <w:b w:val="0"/>
                <w:bCs w:val="0"/>
                <w:szCs w:val="21"/>
              </w:rPr>
            </w:pPr>
            <w:r>
              <w:rPr>
                <w:rFonts w:hint="eastAsia"/>
                <w:b w:val="0"/>
                <w:bCs w:val="0"/>
                <w:szCs w:val="21"/>
              </w:rPr>
              <w:t>其他信息</w:t>
            </w:r>
          </w:p>
        </w:tc>
      </w:tr>
      <w:tr w14:paraId="1D68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26" w:type="dxa"/>
            <w:noWrap w:val="0"/>
            <w:vAlign w:val="center"/>
          </w:tcPr>
          <w:p w14:paraId="2B07C12E">
            <w:pPr>
              <w:tabs>
                <w:tab w:val="left" w:pos="1890"/>
              </w:tabs>
              <w:jc w:val="center"/>
              <w:rPr>
                <w:rFonts w:hint="eastAsia" w:eastAsia="宋体"/>
                <w:b w:val="0"/>
                <w:bCs w:val="0"/>
                <w:szCs w:val="21"/>
                <w:lang w:val="en-US" w:eastAsia="zh-CN"/>
              </w:rPr>
            </w:pPr>
            <w:r>
              <w:rPr>
                <w:rFonts w:hint="eastAsia"/>
                <w:b w:val="0"/>
                <w:bCs w:val="0"/>
                <w:szCs w:val="21"/>
                <w:lang w:val="en-US" w:eastAsia="zh-CN"/>
              </w:rPr>
              <w:t>1</w:t>
            </w:r>
          </w:p>
        </w:tc>
        <w:tc>
          <w:tcPr>
            <w:tcW w:w="1282" w:type="dxa"/>
            <w:noWrap w:val="0"/>
            <w:vAlign w:val="center"/>
          </w:tcPr>
          <w:p w14:paraId="4E56E99A">
            <w:pPr>
              <w:tabs>
                <w:tab w:val="left" w:pos="1890"/>
              </w:tabs>
              <w:jc w:val="center"/>
              <w:rPr>
                <w:rFonts w:hint="eastAsia"/>
                <w:b w:val="0"/>
                <w:bCs w:val="0"/>
                <w:szCs w:val="21"/>
              </w:rPr>
            </w:pPr>
            <w:r>
              <w:rPr>
                <w:rFonts w:hint="eastAsia" w:ascii="Times New Roman" w:hAnsi="Times New Roman" w:cs="Times New Roman"/>
                <w:b w:val="0"/>
                <w:bCs/>
                <w:sz w:val="21"/>
                <w:szCs w:val="21"/>
                <w:highlight w:val="none"/>
              </w:rPr>
              <w:t>生物质颗粒</w:t>
            </w:r>
          </w:p>
        </w:tc>
        <w:tc>
          <w:tcPr>
            <w:tcW w:w="2055" w:type="dxa"/>
            <w:noWrap w:val="0"/>
            <w:vAlign w:val="center"/>
          </w:tcPr>
          <w:p w14:paraId="475F05E7">
            <w:pPr>
              <w:tabs>
                <w:tab w:val="left" w:pos="1890"/>
              </w:tabs>
              <w:jc w:val="center"/>
              <w:rPr>
                <w:rFonts w:hint="eastAsia"/>
                <w:b w:val="0"/>
                <w:bCs w:val="0"/>
                <w:szCs w:val="21"/>
              </w:rPr>
            </w:pPr>
            <w:r>
              <w:rPr>
                <w:rFonts w:hint="eastAsia" w:ascii="Times New Roman" w:hAnsi="Times New Roman" w:cs="Times New Roman"/>
                <w:b w:val="0"/>
                <w:bCs/>
                <w:sz w:val="21"/>
                <w:szCs w:val="21"/>
                <w:highlight w:val="none"/>
              </w:rPr>
              <w:t>12</w:t>
            </w:r>
          </w:p>
        </w:tc>
        <w:tc>
          <w:tcPr>
            <w:tcW w:w="956" w:type="dxa"/>
            <w:noWrap w:val="0"/>
            <w:vAlign w:val="center"/>
          </w:tcPr>
          <w:p w14:paraId="36AFB276">
            <w:pPr>
              <w:tabs>
                <w:tab w:val="left" w:pos="1890"/>
              </w:tabs>
              <w:jc w:val="center"/>
              <w:rPr>
                <w:rFonts w:hint="eastAsia"/>
                <w:b w:val="0"/>
                <w:bCs w:val="0"/>
                <w:szCs w:val="21"/>
              </w:rPr>
            </w:pPr>
            <w:r>
              <w:rPr>
                <w:rFonts w:hint="eastAsia" w:ascii="Times New Roman" w:hAnsi="Times New Roman" w:cs="Times New Roman"/>
                <w:b w:val="0"/>
                <w:bCs/>
                <w:sz w:val="21"/>
                <w:szCs w:val="21"/>
                <w:highlight w:val="none"/>
              </w:rPr>
              <w:t>12</w:t>
            </w:r>
          </w:p>
        </w:tc>
        <w:tc>
          <w:tcPr>
            <w:tcW w:w="883" w:type="dxa"/>
            <w:noWrap w:val="0"/>
            <w:vAlign w:val="center"/>
          </w:tcPr>
          <w:p w14:paraId="48A9F592">
            <w:pPr>
              <w:tabs>
                <w:tab w:val="left" w:pos="1890"/>
              </w:tabs>
              <w:jc w:val="center"/>
              <w:rPr>
                <w:rFonts w:hint="eastAsia"/>
                <w:b w:val="0"/>
                <w:bCs w:val="0"/>
                <w:szCs w:val="21"/>
              </w:rPr>
            </w:pPr>
            <w:r>
              <w:rPr>
                <w:rFonts w:hint="eastAsia"/>
                <w:b w:val="0"/>
                <w:bCs w:val="0"/>
                <w:color w:val="000000"/>
                <w:szCs w:val="21"/>
              </w:rPr>
              <w:t>t</w:t>
            </w:r>
            <w:r>
              <w:rPr>
                <w:b w:val="0"/>
                <w:bCs w:val="0"/>
                <w:color w:val="000000"/>
                <w:szCs w:val="21"/>
              </w:rPr>
              <w:t>/a</w:t>
            </w:r>
          </w:p>
        </w:tc>
        <w:tc>
          <w:tcPr>
            <w:tcW w:w="976" w:type="dxa"/>
            <w:noWrap w:val="0"/>
            <w:vAlign w:val="center"/>
          </w:tcPr>
          <w:p w14:paraId="06323EE7">
            <w:pPr>
              <w:jc w:val="center"/>
              <w:rPr>
                <w:rFonts w:hint="eastAsia"/>
                <w:b w:val="0"/>
                <w:bCs w:val="0"/>
                <w:szCs w:val="21"/>
              </w:rPr>
            </w:pPr>
            <w:r>
              <w:rPr>
                <w:rFonts w:hint="eastAsia"/>
                <w:b w:val="0"/>
                <w:bCs w:val="0"/>
                <w:color w:val="000000"/>
                <w:szCs w:val="21"/>
              </w:rPr>
              <w:t>/</w:t>
            </w:r>
          </w:p>
        </w:tc>
        <w:tc>
          <w:tcPr>
            <w:tcW w:w="868" w:type="dxa"/>
            <w:noWrap w:val="0"/>
            <w:vAlign w:val="center"/>
          </w:tcPr>
          <w:p w14:paraId="320B61D7">
            <w:pPr>
              <w:jc w:val="center"/>
              <w:rPr>
                <w:rFonts w:hint="eastAsia"/>
                <w:b w:val="0"/>
                <w:bCs w:val="0"/>
                <w:szCs w:val="21"/>
              </w:rPr>
            </w:pPr>
            <w:r>
              <w:rPr>
                <w:rFonts w:hint="eastAsia"/>
                <w:b w:val="0"/>
                <w:bCs w:val="0"/>
                <w:color w:val="000000"/>
                <w:szCs w:val="21"/>
              </w:rPr>
              <w:t>/</w:t>
            </w:r>
          </w:p>
        </w:tc>
        <w:tc>
          <w:tcPr>
            <w:tcW w:w="956" w:type="dxa"/>
            <w:noWrap w:val="0"/>
            <w:vAlign w:val="center"/>
          </w:tcPr>
          <w:p w14:paraId="39FBB85D">
            <w:pPr>
              <w:jc w:val="center"/>
              <w:rPr>
                <w:rFonts w:hint="eastAsia"/>
                <w:b w:val="0"/>
                <w:bCs w:val="0"/>
                <w:szCs w:val="21"/>
              </w:rPr>
            </w:pPr>
            <w:r>
              <w:rPr>
                <w:rFonts w:hint="eastAsia"/>
                <w:b w:val="0"/>
                <w:bCs w:val="0"/>
                <w:color w:val="000000"/>
                <w:szCs w:val="21"/>
              </w:rPr>
              <w:t>/</w:t>
            </w:r>
          </w:p>
        </w:tc>
        <w:tc>
          <w:tcPr>
            <w:tcW w:w="1288" w:type="dxa"/>
            <w:noWrap w:val="0"/>
            <w:vAlign w:val="center"/>
          </w:tcPr>
          <w:p w14:paraId="58330567">
            <w:pPr>
              <w:jc w:val="center"/>
              <w:rPr>
                <w:rFonts w:hint="eastAsia"/>
                <w:b w:val="0"/>
                <w:bCs w:val="0"/>
                <w:szCs w:val="21"/>
              </w:rPr>
            </w:pPr>
            <w:r>
              <w:rPr>
                <w:rFonts w:hint="eastAsia"/>
                <w:b w:val="0"/>
                <w:bCs w:val="0"/>
                <w:color w:val="000000"/>
                <w:szCs w:val="21"/>
              </w:rPr>
              <w:t>/</w:t>
            </w:r>
          </w:p>
        </w:tc>
        <w:tc>
          <w:tcPr>
            <w:tcW w:w="1346" w:type="dxa"/>
            <w:noWrap w:val="0"/>
            <w:vAlign w:val="center"/>
          </w:tcPr>
          <w:p w14:paraId="08C82B08">
            <w:pPr>
              <w:jc w:val="center"/>
              <w:rPr>
                <w:rFonts w:hint="eastAsia"/>
                <w:b w:val="0"/>
                <w:bCs w:val="0"/>
                <w:szCs w:val="21"/>
              </w:rPr>
            </w:pPr>
            <w:r>
              <w:rPr>
                <w:rFonts w:hint="eastAsia"/>
                <w:b w:val="0"/>
                <w:bCs w:val="0"/>
                <w:color w:val="000000"/>
                <w:szCs w:val="21"/>
              </w:rPr>
              <w:t>/</w:t>
            </w:r>
          </w:p>
        </w:tc>
        <w:tc>
          <w:tcPr>
            <w:tcW w:w="1309" w:type="dxa"/>
            <w:noWrap w:val="0"/>
            <w:vAlign w:val="center"/>
          </w:tcPr>
          <w:p w14:paraId="10E26A22">
            <w:pPr>
              <w:jc w:val="center"/>
              <w:rPr>
                <w:rFonts w:hint="eastAsia"/>
                <w:b w:val="0"/>
                <w:bCs w:val="0"/>
                <w:szCs w:val="21"/>
              </w:rPr>
            </w:pPr>
            <w:r>
              <w:rPr>
                <w:rFonts w:hint="eastAsia"/>
                <w:b w:val="0"/>
                <w:bCs w:val="0"/>
                <w:color w:val="000000"/>
                <w:szCs w:val="21"/>
              </w:rPr>
              <w:t>/</w:t>
            </w:r>
          </w:p>
        </w:tc>
        <w:tc>
          <w:tcPr>
            <w:tcW w:w="891" w:type="dxa"/>
            <w:noWrap w:val="0"/>
            <w:vAlign w:val="center"/>
          </w:tcPr>
          <w:p w14:paraId="0B524E7A">
            <w:pPr>
              <w:jc w:val="center"/>
              <w:rPr>
                <w:rFonts w:hint="eastAsia"/>
                <w:b w:val="0"/>
                <w:bCs w:val="0"/>
                <w:szCs w:val="21"/>
              </w:rPr>
            </w:pPr>
            <w:r>
              <w:rPr>
                <w:rFonts w:hint="eastAsia"/>
                <w:b w:val="0"/>
                <w:bCs w:val="0"/>
                <w:color w:val="000000"/>
                <w:szCs w:val="21"/>
              </w:rPr>
              <w:t>/</w:t>
            </w:r>
          </w:p>
        </w:tc>
      </w:tr>
    </w:tbl>
    <w:p w14:paraId="55AAE669">
      <w:pPr>
        <w:tabs>
          <w:tab w:val="left" w:pos="1890"/>
        </w:tabs>
        <w:jc w:val="center"/>
        <w:rPr>
          <w:rFonts w:hint="eastAsia" w:ascii="黑体" w:hAnsi="黑体" w:eastAsia="黑体" w:cs="黑体"/>
          <w:b w:val="0"/>
          <w:bCs w:val="0"/>
          <w:sz w:val="24"/>
          <w:szCs w:val="28"/>
        </w:rPr>
      </w:pPr>
    </w:p>
    <w:p w14:paraId="1D18CF34">
      <w:pPr>
        <w:tabs>
          <w:tab w:val="left" w:pos="1890"/>
        </w:tabs>
        <w:jc w:val="center"/>
        <w:rPr>
          <w:rFonts w:hint="eastAsia" w:ascii="黑体" w:hAnsi="黑体" w:eastAsia="黑体" w:cs="黑体"/>
          <w:b w:val="0"/>
          <w:bCs w:val="0"/>
          <w:sz w:val="24"/>
          <w:szCs w:val="28"/>
        </w:rPr>
      </w:pPr>
    </w:p>
    <w:p w14:paraId="4B8B7EA1">
      <w:pPr>
        <w:tabs>
          <w:tab w:val="left" w:pos="1890"/>
        </w:tabs>
        <w:jc w:val="center"/>
        <w:rPr>
          <w:rFonts w:hint="eastAsia" w:ascii="黑体" w:hAnsi="黑体" w:eastAsia="黑体" w:cs="黑体"/>
          <w:b w:val="0"/>
          <w:bCs w:val="0"/>
          <w:sz w:val="24"/>
          <w:szCs w:val="28"/>
        </w:rPr>
      </w:pPr>
      <w:r>
        <w:rPr>
          <w:rFonts w:hint="eastAsia" w:ascii="黑体" w:hAnsi="黑体" w:eastAsia="黑体" w:cs="黑体"/>
          <w:b w:val="0"/>
          <w:bCs w:val="0"/>
          <w:sz w:val="24"/>
          <w:szCs w:val="28"/>
        </w:rPr>
        <w:t>表</w:t>
      </w:r>
      <w:r>
        <w:rPr>
          <w:rFonts w:hint="eastAsia" w:ascii="黑体" w:hAnsi="黑体" w:eastAsia="黑体" w:cs="黑体"/>
          <w:b w:val="0"/>
          <w:bCs w:val="0"/>
          <w:sz w:val="24"/>
          <w:szCs w:val="28"/>
          <w:lang w:val="en-US" w:eastAsia="zh-CN"/>
        </w:rPr>
        <w:t>3</w:t>
      </w:r>
      <w:r>
        <w:rPr>
          <w:rFonts w:hint="eastAsia" w:ascii="黑体" w:hAnsi="黑体" w:eastAsia="黑体" w:cs="黑体"/>
          <w:b w:val="0"/>
          <w:bCs w:val="0"/>
          <w:sz w:val="24"/>
          <w:szCs w:val="28"/>
        </w:rPr>
        <w:t xml:space="preserve">  建设项目主要生产设施一览表</w:t>
      </w:r>
    </w:p>
    <w:tbl>
      <w:tblPr>
        <w:tblStyle w:val="39"/>
        <w:tblW w:w="13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866"/>
        <w:gridCol w:w="1554"/>
        <w:gridCol w:w="1385"/>
        <w:gridCol w:w="1512"/>
        <w:gridCol w:w="935"/>
        <w:gridCol w:w="757"/>
        <w:gridCol w:w="730"/>
        <w:gridCol w:w="719"/>
        <w:gridCol w:w="3010"/>
        <w:gridCol w:w="744"/>
        <w:gridCol w:w="675"/>
      </w:tblGrid>
      <w:tr w14:paraId="705D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630" w:type="dxa"/>
            <w:vMerge w:val="restart"/>
            <w:noWrap w:val="0"/>
            <w:vAlign w:val="center"/>
          </w:tcPr>
          <w:p w14:paraId="6A1783D2">
            <w:pPr>
              <w:tabs>
                <w:tab w:val="left" w:pos="1890"/>
              </w:tabs>
              <w:jc w:val="center"/>
              <w:rPr>
                <w:rFonts w:hint="eastAsia"/>
                <w:b w:val="0"/>
                <w:bCs w:val="0"/>
                <w:szCs w:val="21"/>
              </w:rPr>
            </w:pPr>
            <w:r>
              <w:rPr>
                <w:rFonts w:hint="eastAsia"/>
                <w:b w:val="0"/>
                <w:bCs w:val="0"/>
                <w:szCs w:val="21"/>
              </w:rPr>
              <w:t>序号</w:t>
            </w:r>
          </w:p>
        </w:tc>
        <w:tc>
          <w:tcPr>
            <w:tcW w:w="866" w:type="dxa"/>
            <w:vMerge w:val="restart"/>
            <w:noWrap w:val="0"/>
            <w:vAlign w:val="center"/>
          </w:tcPr>
          <w:p w14:paraId="606E1C15">
            <w:pPr>
              <w:tabs>
                <w:tab w:val="left" w:pos="1890"/>
              </w:tabs>
              <w:jc w:val="center"/>
              <w:rPr>
                <w:rFonts w:hint="eastAsia"/>
                <w:b w:val="0"/>
                <w:bCs w:val="0"/>
                <w:szCs w:val="21"/>
              </w:rPr>
            </w:pPr>
            <w:r>
              <w:rPr>
                <w:rFonts w:hint="eastAsia"/>
                <w:b w:val="0"/>
                <w:bCs w:val="0"/>
                <w:szCs w:val="21"/>
              </w:rPr>
              <w:t>生产线</w:t>
            </w:r>
          </w:p>
          <w:p w14:paraId="7A337F25">
            <w:pPr>
              <w:tabs>
                <w:tab w:val="left" w:pos="1890"/>
              </w:tabs>
              <w:jc w:val="center"/>
              <w:rPr>
                <w:rFonts w:hint="eastAsia"/>
                <w:b w:val="0"/>
                <w:bCs w:val="0"/>
                <w:szCs w:val="21"/>
              </w:rPr>
            </w:pPr>
            <w:r>
              <w:rPr>
                <w:rFonts w:hint="eastAsia"/>
                <w:b w:val="0"/>
                <w:bCs w:val="0"/>
                <w:szCs w:val="21"/>
              </w:rPr>
              <w:t>名称</w:t>
            </w:r>
          </w:p>
        </w:tc>
        <w:tc>
          <w:tcPr>
            <w:tcW w:w="1554" w:type="dxa"/>
            <w:vMerge w:val="restart"/>
            <w:noWrap w:val="0"/>
            <w:vAlign w:val="center"/>
          </w:tcPr>
          <w:p w14:paraId="461903C6">
            <w:pPr>
              <w:tabs>
                <w:tab w:val="left" w:pos="1890"/>
              </w:tabs>
              <w:jc w:val="center"/>
              <w:rPr>
                <w:rFonts w:hint="eastAsia"/>
                <w:b w:val="0"/>
                <w:bCs w:val="0"/>
                <w:szCs w:val="21"/>
              </w:rPr>
            </w:pPr>
            <w:r>
              <w:rPr>
                <w:rFonts w:hint="eastAsia"/>
                <w:b w:val="0"/>
                <w:bCs w:val="0"/>
                <w:szCs w:val="21"/>
              </w:rPr>
              <w:t>主要生产单元名称（总平图中标识）</w:t>
            </w:r>
          </w:p>
        </w:tc>
        <w:tc>
          <w:tcPr>
            <w:tcW w:w="1385" w:type="dxa"/>
            <w:vMerge w:val="restart"/>
            <w:noWrap w:val="0"/>
            <w:vAlign w:val="center"/>
          </w:tcPr>
          <w:p w14:paraId="02C37D82">
            <w:pPr>
              <w:tabs>
                <w:tab w:val="left" w:pos="1890"/>
              </w:tabs>
              <w:jc w:val="center"/>
              <w:rPr>
                <w:rFonts w:hint="eastAsia"/>
                <w:b w:val="0"/>
                <w:bCs w:val="0"/>
                <w:szCs w:val="21"/>
              </w:rPr>
            </w:pPr>
            <w:r>
              <w:rPr>
                <w:rFonts w:hint="eastAsia"/>
                <w:b w:val="0"/>
                <w:bCs w:val="0"/>
                <w:szCs w:val="21"/>
              </w:rPr>
              <w:t>主要工艺名称（工艺流程图中标识）</w:t>
            </w:r>
          </w:p>
        </w:tc>
        <w:tc>
          <w:tcPr>
            <w:tcW w:w="1512" w:type="dxa"/>
            <w:vMerge w:val="restart"/>
            <w:noWrap w:val="0"/>
            <w:vAlign w:val="center"/>
          </w:tcPr>
          <w:p w14:paraId="29A59DC6">
            <w:pPr>
              <w:tabs>
                <w:tab w:val="left" w:pos="1890"/>
              </w:tabs>
              <w:jc w:val="center"/>
              <w:rPr>
                <w:rFonts w:hint="eastAsia"/>
                <w:b w:val="0"/>
                <w:bCs w:val="0"/>
                <w:szCs w:val="21"/>
              </w:rPr>
            </w:pPr>
            <w:r>
              <w:rPr>
                <w:rFonts w:hint="eastAsia"/>
                <w:b w:val="0"/>
                <w:bCs w:val="0"/>
                <w:szCs w:val="21"/>
              </w:rPr>
              <w:t>生产设施</w:t>
            </w:r>
          </w:p>
          <w:p w14:paraId="4276E37F">
            <w:pPr>
              <w:tabs>
                <w:tab w:val="left" w:pos="1890"/>
              </w:tabs>
              <w:jc w:val="center"/>
              <w:rPr>
                <w:rFonts w:hint="eastAsia"/>
                <w:b w:val="0"/>
                <w:bCs w:val="0"/>
                <w:szCs w:val="21"/>
              </w:rPr>
            </w:pPr>
            <w:r>
              <w:rPr>
                <w:rFonts w:hint="eastAsia"/>
                <w:b w:val="0"/>
                <w:bCs w:val="0"/>
                <w:szCs w:val="21"/>
              </w:rPr>
              <w:t>名称</w:t>
            </w:r>
          </w:p>
        </w:tc>
        <w:tc>
          <w:tcPr>
            <w:tcW w:w="935" w:type="dxa"/>
            <w:vMerge w:val="restart"/>
            <w:noWrap w:val="0"/>
            <w:vAlign w:val="center"/>
          </w:tcPr>
          <w:p w14:paraId="57345024">
            <w:pPr>
              <w:tabs>
                <w:tab w:val="left" w:pos="1890"/>
              </w:tabs>
              <w:jc w:val="center"/>
              <w:rPr>
                <w:rFonts w:hint="eastAsia"/>
                <w:b w:val="0"/>
                <w:bCs w:val="0"/>
                <w:szCs w:val="21"/>
              </w:rPr>
            </w:pPr>
            <w:r>
              <w:rPr>
                <w:rFonts w:hint="eastAsia"/>
                <w:b w:val="0"/>
                <w:bCs w:val="0"/>
                <w:szCs w:val="21"/>
              </w:rPr>
              <w:t>生产设施编号</w:t>
            </w:r>
          </w:p>
        </w:tc>
        <w:tc>
          <w:tcPr>
            <w:tcW w:w="5216" w:type="dxa"/>
            <w:gridSpan w:val="4"/>
            <w:noWrap w:val="0"/>
            <w:vAlign w:val="center"/>
          </w:tcPr>
          <w:p w14:paraId="5F71E7E3">
            <w:pPr>
              <w:tabs>
                <w:tab w:val="left" w:pos="1890"/>
              </w:tabs>
              <w:jc w:val="center"/>
              <w:rPr>
                <w:rFonts w:hint="eastAsia"/>
                <w:b w:val="0"/>
                <w:bCs w:val="0"/>
                <w:szCs w:val="21"/>
              </w:rPr>
            </w:pPr>
            <w:r>
              <w:rPr>
                <w:rFonts w:hint="eastAsia"/>
                <w:b w:val="0"/>
                <w:bCs w:val="0"/>
                <w:szCs w:val="21"/>
              </w:rPr>
              <w:t>设施参数</w:t>
            </w:r>
          </w:p>
        </w:tc>
        <w:tc>
          <w:tcPr>
            <w:tcW w:w="744" w:type="dxa"/>
            <w:vMerge w:val="restart"/>
            <w:noWrap w:val="0"/>
            <w:vAlign w:val="center"/>
          </w:tcPr>
          <w:p w14:paraId="505E2879">
            <w:pPr>
              <w:tabs>
                <w:tab w:val="left" w:pos="1890"/>
              </w:tabs>
              <w:jc w:val="center"/>
              <w:rPr>
                <w:rFonts w:hint="eastAsia"/>
                <w:b w:val="0"/>
                <w:bCs w:val="0"/>
                <w:szCs w:val="21"/>
              </w:rPr>
            </w:pPr>
            <w:r>
              <w:rPr>
                <w:rFonts w:hint="eastAsia"/>
                <w:b w:val="0"/>
                <w:bCs w:val="0"/>
                <w:szCs w:val="21"/>
              </w:rPr>
              <w:t>其他设施信息</w:t>
            </w:r>
          </w:p>
        </w:tc>
        <w:tc>
          <w:tcPr>
            <w:tcW w:w="675" w:type="dxa"/>
            <w:vMerge w:val="restart"/>
            <w:noWrap w:val="0"/>
            <w:vAlign w:val="center"/>
          </w:tcPr>
          <w:p w14:paraId="4628498B">
            <w:pPr>
              <w:tabs>
                <w:tab w:val="left" w:pos="1890"/>
              </w:tabs>
              <w:jc w:val="center"/>
              <w:rPr>
                <w:rFonts w:hint="eastAsia"/>
                <w:b w:val="0"/>
                <w:bCs w:val="0"/>
                <w:szCs w:val="21"/>
              </w:rPr>
            </w:pPr>
            <w:r>
              <w:rPr>
                <w:rFonts w:hint="eastAsia"/>
                <w:b w:val="0"/>
                <w:bCs w:val="0"/>
                <w:szCs w:val="21"/>
              </w:rPr>
              <w:t>备注</w:t>
            </w:r>
          </w:p>
        </w:tc>
      </w:tr>
      <w:tr w14:paraId="3E86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630" w:type="dxa"/>
            <w:vMerge w:val="continue"/>
            <w:noWrap w:val="0"/>
            <w:vAlign w:val="center"/>
          </w:tcPr>
          <w:p w14:paraId="66116891">
            <w:pPr>
              <w:tabs>
                <w:tab w:val="left" w:pos="1890"/>
              </w:tabs>
              <w:jc w:val="center"/>
              <w:rPr>
                <w:rFonts w:hint="eastAsia"/>
                <w:b w:val="0"/>
                <w:bCs w:val="0"/>
                <w:szCs w:val="21"/>
              </w:rPr>
            </w:pPr>
          </w:p>
        </w:tc>
        <w:tc>
          <w:tcPr>
            <w:tcW w:w="866" w:type="dxa"/>
            <w:vMerge w:val="continue"/>
            <w:noWrap w:val="0"/>
            <w:vAlign w:val="center"/>
          </w:tcPr>
          <w:p w14:paraId="2CCB1B2A">
            <w:pPr>
              <w:tabs>
                <w:tab w:val="left" w:pos="1890"/>
              </w:tabs>
              <w:jc w:val="center"/>
              <w:rPr>
                <w:rFonts w:hint="eastAsia"/>
                <w:b w:val="0"/>
                <w:bCs w:val="0"/>
                <w:szCs w:val="21"/>
              </w:rPr>
            </w:pPr>
          </w:p>
        </w:tc>
        <w:tc>
          <w:tcPr>
            <w:tcW w:w="1554" w:type="dxa"/>
            <w:vMerge w:val="continue"/>
            <w:noWrap w:val="0"/>
            <w:vAlign w:val="center"/>
          </w:tcPr>
          <w:p w14:paraId="195DCD7F">
            <w:pPr>
              <w:tabs>
                <w:tab w:val="left" w:pos="1890"/>
              </w:tabs>
              <w:jc w:val="center"/>
              <w:rPr>
                <w:rFonts w:hint="eastAsia"/>
                <w:b w:val="0"/>
                <w:bCs w:val="0"/>
                <w:szCs w:val="21"/>
              </w:rPr>
            </w:pPr>
          </w:p>
        </w:tc>
        <w:tc>
          <w:tcPr>
            <w:tcW w:w="1385" w:type="dxa"/>
            <w:vMerge w:val="continue"/>
            <w:noWrap w:val="0"/>
            <w:vAlign w:val="center"/>
          </w:tcPr>
          <w:p w14:paraId="5AC8A633">
            <w:pPr>
              <w:tabs>
                <w:tab w:val="left" w:pos="1890"/>
              </w:tabs>
              <w:jc w:val="center"/>
              <w:rPr>
                <w:rFonts w:hint="eastAsia"/>
                <w:b w:val="0"/>
                <w:bCs w:val="0"/>
                <w:szCs w:val="21"/>
              </w:rPr>
            </w:pPr>
          </w:p>
        </w:tc>
        <w:tc>
          <w:tcPr>
            <w:tcW w:w="1512" w:type="dxa"/>
            <w:vMerge w:val="continue"/>
            <w:noWrap w:val="0"/>
            <w:vAlign w:val="center"/>
          </w:tcPr>
          <w:p w14:paraId="1C91789E">
            <w:pPr>
              <w:tabs>
                <w:tab w:val="left" w:pos="1890"/>
              </w:tabs>
              <w:jc w:val="center"/>
              <w:rPr>
                <w:rFonts w:hint="eastAsia"/>
                <w:b w:val="0"/>
                <w:bCs w:val="0"/>
                <w:szCs w:val="21"/>
              </w:rPr>
            </w:pPr>
          </w:p>
        </w:tc>
        <w:tc>
          <w:tcPr>
            <w:tcW w:w="935" w:type="dxa"/>
            <w:vMerge w:val="continue"/>
            <w:noWrap w:val="0"/>
            <w:vAlign w:val="center"/>
          </w:tcPr>
          <w:p w14:paraId="28CC38C5">
            <w:pPr>
              <w:tabs>
                <w:tab w:val="left" w:pos="1890"/>
              </w:tabs>
              <w:jc w:val="center"/>
              <w:rPr>
                <w:rFonts w:hint="eastAsia"/>
                <w:b w:val="0"/>
                <w:bCs w:val="0"/>
                <w:szCs w:val="21"/>
              </w:rPr>
            </w:pPr>
          </w:p>
        </w:tc>
        <w:tc>
          <w:tcPr>
            <w:tcW w:w="757" w:type="dxa"/>
            <w:noWrap w:val="0"/>
            <w:vAlign w:val="center"/>
          </w:tcPr>
          <w:p w14:paraId="0606E393">
            <w:pPr>
              <w:tabs>
                <w:tab w:val="left" w:pos="1890"/>
              </w:tabs>
              <w:jc w:val="center"/>
              <w:rPr>
                <w:rFonts w:hint="eastAsia"/>
                <w:b w:val="0"/>
                <w:bCs w:val="0"/>
                <w:szCs w:val="21"/>
              </w:rPr>
            </w:pPr>
            <w:r>
              <w:rPr>
                <w:rFonts w:hint="eastAsia"/>
                <w:b w:val="0"/>
                <w:bCs w:val="0"/>
                <w:szCs w:val="21"/>
              </w:rPr>
              <w:t>参数名称</w:t>
            </w:r>
          </w:p>
        </w:tc>
        <w:tc>
          <w:tcPr>
            <w:tcW w:w="730" w:type="dxa"/>
            <w:noWrap w:val="0"/>
            <w:vAlign w:val="center"/>
          </w:tcPr>
          <w:p w14:paraId="4214A221">
            <w:pPr>
              <w:tabs>
                <w:tab w:val="left" w:pos="1890"/>
              </w:tabs>
              <w:jc w:val="center"/>
              <w:rPr>
                <w:rFonts w:hint="eastAsia"/>
                <w:b w:val="0"/>
                <w:bCs w:val="0"/>
                <w:szCs w:val="21"/>
              </w:rPr>
            </w:pPr>
            <w:r>
              <w:rPr>
                <w:rFonts w:hint="eastAsia"/>
                <w:b w:val="0"/>
                <w:bCs w:val="0"/>
                <w:szCs w:val="21"/>
              </w:rPr>
              <w:t>计量单位</w:t>
            </w:r>
          </w:p>
        </w:tc>
        <w:tc>
          <w:tcPr>
            <w:tcW w:w="719" w:type="dxa"/>
            <w:noWrap w:val="0"/>
            <w:vAlign w:val="center"/>
          </w:tcPr>
          <w:p w14:paraId="3049B2DE">
            <w:pPr>
              <w:tabs>
                <w:tab w:val="left" w:pos="1890"/>
              </w:tabs>
              <w:jc w:val="center"/>
              <w:rPr>
                <w:rFonts w:hint="eastAsia"/>
                <w:b w:val="0"/>
                <w:bCs w:val="0"/>
                <w:szCs w:val="21"/>
              </w:rPr>
            </w:pPr>
            <w:r>
              <w:rPr>
                <w:rFonts w:hint="eastAsia"/>
                <w:b w:val="0"/>
                <w:bCs w:val="0"/>
                <w:szCs w:val="21"/>
              </w:rPr>
              <w:t>设计值</w:t>
            </w:r>
          </w:p>
        </w:tc>
        <w:tc>
          <w:tcPr>
            <w:tcW w:w="3010" w:type="dxa"/>
            <w:noWrap w:val="0"/>
            <w:vAlign w:val="center"/>
          </w:tcPr>
          <w:p w14:paraId="065FF47E">
            <w:pPr>
              <w:tabs>
                <w:tab w:val="left" w:pos="1890"/>
              </w:tabs>
              <w:jc w:val="center"/>
              <w:rPr>
                <w:rFonts w:hint="eastAsia"/>
                <w:b w:val="0"/>
                <w:bCs w:val="0"/>
                <w:szCs w:val="21"/>
              </w:rPr>
            </w:pPr>
            <w:r>
              <w:rPr>
                <w:rFonts w:hint="eastAsia"/>
                <w:b w:val="0"/>
                <w:bCs w:val="0"/>
                <w:szCs w:val="21"/>
              </w:rPr>
              <w:t>其他设施参数信息</w:t>
            </w:r>
          </w:p>
        </w:tc>
        <w:tc>
          <w:tcPr>
            <w:tcW w:w="744" w:type="dxa"/>
            <w:vMerge w:val="continue"/>
            <w:noWrap w:val="0"/>
            <w:vAlign w:val="center"/>
          </w:tcPr>
          <w:p w14:paraId="2AA55153">
            <w:pPr>
              <w:tabs>
                <w:tab w:val="left" w:pos="1890"/>
              </w:tabs>
              <w:jc w:val="center"/>
              <w:rPr>
                <w:rFonts w:hint="eastAsia"/>
                <w:b w:val="0"/>
                <w:bCs w:val="0"/>
                <w:szCs w:val="21"/>
              </w:rPr>
            </w:pPr>
          </w:p>
        </w:tc>
        <w:tc>
          <w:tcPr>
            <w:tcW w:w="675" w:type="dxa"/>
            <w:vMerge w:val="continue"/>
            <w:noWrap w:val="0"/>
            <w:vAlign w:val="center"/>
          </w:tcPr>
          <w:p w14:paraId="3CBDD782">
            <w:pPr>
              <w:tabs>
                <w:tab w:val="left" w:pos="1890"/>
              </w:tabs>
              <w:jc w:val="center"/>
              <w:rPr>
                <w:rFonts w:hint="eastAsia"/>
                <w:b w:val="0"/>
                <w:bCs w:val="0"/>
                <w:szCs w:val="21"/>
              </w:rPr>
            </w:pPr>
          </w:p>
        </w:tc>
      </w:tr>
      <w:tr w14:paraId="308E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30" w:type="dxa"/>
            <w:noWrap w:val="0"/>
            <w:vAlign w:val="center"/>
          </w:tcPr>
          <w:p w14:paraId="0B5C807F">
            <w:pPr>
              <w:tabs>
                <w:tab w:val="left" w:pos="1890"/>
              </w:tabs>
              <w:jc w:val="center"/>
              <w:rPr>
                <w:rFonts w:hint="eastAsia"/>
                <w:b w:val="0"/>
                <w:bCs w:val="0"/>
                <w:szCs w:val="21"/>
              </w:rPr>
            </w:pPr>
            <w:r>
              <w:rPr>
                <w:rFonts w:hint="eastAsia"/>
                <w:b w:val="0"/>
                <w:bCs w:val="0"/>
                <w:szCs w:val="21"/>
              </w:rPr>
              <w:t>1</w:t>
            </w:r>
          </w:p>
        </w:tc>
        <w:tc>
          <w:tcPr>
            <w:tcW w:w="6252" w:type="dxa"/>
            <w:gridSpan w:val="5"/>
            <w:noWrap w:val="0"/>
            <w:vAlign w:val="center"/>
          </w:tcPr>
          <w:p w14:paraId="0E98B9BA">
            <w:pPr>
              <w:tabs>
                <w:tab w:val="left" w:pos="1890"/>
              </w:tabs>
              <w:jc w:val="center"/>
              <w:rPr>
                <w:rFonts w:hint="default" w:eastAsia="宋体"/>
                <w:b w:val="0"/>
                <w:bCs w:val="0"/>
                <w:szCs w:val="21"/>
                <w:lang w:val="en-US" w:eastAsia="zh-CN"/>
              </w:rPr>
            </w:pPr>
            <w:r>
              <w:rPr>
                <w:rFonts w:hint="eastAsia" w:eastAsia="宋体"/>
                <w:b w:val="0"/>
                <w:bCs w:val="0"/>
                <w:szCs w:val="21"/>
                <w:lang w:val="en-US" w:eastAsia="zh-CN"/>
              </w:rPr>
              <w:t>升级改造现有设备</w:t>
            </w:r>
          </w:p>
        </w:tc>
        <w:tc>
          <w:tcPr>
            <w:tcW w:w="757" w:type="dxa"/>
            <w:noWrap w:val="0"/>
            <w:vAlign w:val="center"/>
          </w:tcPr>
          <w:p w14:paraId="5ACC3A9D">
            <w:pPr>
              <w:jc w:val="center"/>
              <w:rPr>
                <w:rFonts w:hint="eastAsia"/>
                <w:b w:val="0"/>
                <w:bCs w:val="0"/>
                <w:szCs w:val="21"/>
              </w:rPr>
            </w:pPr>
            <w:r>
              <w:rPr>
                <w:rFonts w:hint="eastAsia"/>
                <w:b w:val="0"/>
                <w:bCs w:val="0"/>
                <w:szCs w:val="21"/>
              </w:rPr>
              <w:t>/</w:t>
            </w:r>
          </w:p>
        </w:tc>
        <w:tc>
          <w:tcPr>
            <w:tcW w:w="730" w:type="dxa"/>
            <w:noWrap w:val="0"/>
            <w:vAlign w:val="center"/>
          </w:tcPr>
          <w:p w14:paraId="20BCB12D">
            <w:pPr>
              <w:jc w:val="center"/>
              <w:rPr>
                <w:rFonts w:hint="eastAsia"/>
                <w:b w:val="0"/>
                <w:bCs w:val="0"/>
                <w:szCs w:val="21"/>
              </w:rPr>
            </w:pPr>
            <w:r>
              <w:rPr>
                <w:rFonts w:hint="eastAsia"/>
                <w:b w:val="0"/>
                <w:bCs w:val="0"/>
                <w:szCs w:val="21"/>
              </w:rPr>
              <w:t>/</w:t>
            </w:r>
          </w:p>
        </w:tc>
        <w:tc>
          <w:tcPr>
            <w:tcW w:w="719" w:type="dxa"/>
            <w:noWrap w:val="0"/>
            <w:vAlign w:val="center"/>
          </w:tcPr>
          <w:p w14:paraId="6381E180">
            <w:pPr>
              <w:jc w:val="center"/>
              <w:rPr>
                <w:rFonts w:hint="eastAsia"/>
                <w:b w:val="0"/>
                <w:bCs w:val="0"/>
                <w:szCs w:val="21"/>
              </w:rPr>
            </w:pPr>
            <w:r>
              <w:rPr>
                <w:rFonts w:hint="eastAsia"/>
                <w:b w:val="0"/>
                <w:bCs w:val="0"/>
                <w:szCs w:val="21"/>
              </w:rPr>
              <w:t>/</w:t>
            </w:r>
          </w:p>
        </w:tc>
        <w:tc>
          <w:tcPr>
            <w:tcW w:w="3010" w:type="dxa"/>
            <w:noWrap w:val="0"/>
            <w:vAlign w:val="center"/>
          </w:tcPr>
          <w:p w14:paraId="1DB1EAAC">
            <w:pPr>
              <w:jc w:val="center"/>
              <w:rPr>
                <w:rFonts w:hAnsi="宋体" w:cs="宋体"/>
                <w:b w:val="0"/>
                <w:bCs w:val="0"/>
                <w:lang w:val="zh-CN" w:bidi="zh-CN"/>
              </w:rPr>
            </w:pPr>
            <w:r>
              <w:rPr>
                <w:rFonts w:hint="eastAsia"/>
                <w:b w:val="0"/>
                <w:bCs w:val="0"/>
                <w:szCs w:val="21"/>
              </w:rPr>
              <w:t>/</w:t>
            </w:r>
          </w:p>
        </w:tc>
        <w:tc>
          <w:tcPr>
            <w:tcW w:w="744" w:type="dxa"/>
            <w:noWrap w:val="0"/>
            <w:vAlign w:val="center"/>
          </w:tcPr>
          <w:p w14:paraId="64644BC0">
            <w:pPr>
              <w:jc w:val="center"/>
              <w:rPr>
                <w:rFonts w:hint="eastAsia"/>
                <w:b w:val="0"/>
                <w:bCs w:val="0"/>
                <w:szCs w:val="21"/>
              </w:rPr>
            </w:pPr>
            <w:r>
              <w:rPr>
                <w:rFonts w:hint="eastAsia"/>
                <w:b w:val="0"/>
                <w:bCs w:val="0"/>
                <w:szCs w:val="21"/>
              </w:rPr>
              <w:t>/</w:t>
            </w:r>
          </w:p>
        </w:tc>
        <w:tc>
          <w:tcPr>
            <w:tcW w:w="675" w:type="dxa"/>
            <w:noWrap w:val="0"/>
            <w:vAlign w:val="center"/>
          </w:tcPr>
          <w:p w14:paraId="1FF94FFF">
            <w:pPr>
              <w:tabs>
                <w:tab w:val="left" w:pos="1890"/>
              </w:tabs>
              <w:jc w:val="center"/>
              <w:rPr>
                <w:rFonts w:hint="default" w:eastAsia="宋体"/>
                <w:b w:val="0"/>
                <w:bCs w:val="0"/>
                <w:szCs w:val="21"/>
                <w:lang w:val="en-US" w:eastAsia="zh-CN"/>
              </w:rPr>
            </w:pPr>
            <w:r>
              <w:rPr>
                <w:rFonts w:hint="eastAsia"/>
                <w:b w:val="0"/>
                <w:bCs w:val="0"/>
                <w:szCs w:val="21"/>
                <w:lang w:val="en-US" w:eastAsia="zh-CN"/>
              </w:rPr>
              <w:t>/</w:t>
            </w:r>
          </w:p>
        </w:tc>
      </w:tr>
    </w:tbl>
    <w:p w14:paraId="0EB9CC0A">
      <w:pPr>
        <w:tabs>
          <w:tab w:val="left" w:pos="1890"/>
        </w:tabs>
        <w:spacing w:line="440" w:lineRule="exact"/>
        <w:jc w:val="center"/>
        <w:rPr>
          <w:rFonts w:hint="eastAsia"/>
          <w:b w:val="0"/>
          <w:bCs w:val="0"/>
          <w:sz w:val="21"/>
          <w:szCs w:val="22"/>
        </w:rPr>
      </w:pPr>
    </w:p>
    <w:p w14:paraId="0A88AAF1">
      <w:pPr>
        <w:tabs>
          <w:tab w:val="left" w:pos="1890"/>
        </w:tabs>
        <w:spacing w:line="440" w:lineRule="exact"/>
        <w:jc w:val="center"/>
        <w:rPr>
          <w:rFonts w:hint="eastAsia" w:ascii="黑体" w:hAnsi="黑体" w:eastAsia="黑体" w:cs="黑体"/>
          <w:b w:val="0"/>
          <w:bCs w:val="0"/>
          <w:sz w:val="24"/>
          <w:szCs w:val="28"/>
        </w:rPr>
      </w:pPr>
      <w:r>
        <w:rPr>
          <w:rFonts w:hint="eastAsia" w:ascii="黑体" w:hAnsi="黑体" w:eastAsia="黑体" w:cs="黑体"/>
          <w:b w:val="0"/>
          <w:bCs w:val="0"/>
          <w:sz w:val="24"/>
          <w:szCs w:val="28"/>
        </w:rPr>
        <w:t>表</w:t>
      </w:r>
      <w:r>
        <w:rPr>
          <w:rFonts w:hint="eastAsia" w:ascii="黑体" w:hAnsi="黑体" w:eastAsia="黑体" w:cs="黑体"/>
          <w:b w:val="0"/>
          <w:bCs w:val="0"/>
          <w:sz w:val="24"/>
          <w:szCs w:val="28"/>
          <w:lang w:val="en-US" w:eastAsia="zh-CN"/>
        </w:rPr>
        <w:t>4</w:t>
      </w:r>
      <w:r>
        <w:rPr>
          <w:rFonts w:hint="eastAsia" w:ascii="黑体" w:hAnsi="黑体" w:eastAsia="黑体" w:cs="黑体"/>
          <w:b w:val="0"/>
          <w:bCs w:val="0"/>
          <w:sz w:val="24"/>
          <w:szCs w:val="28"/>
        </w:rPr>
        <w:t xml:space="preserve">  建设项目</w:t>
      </w:r>
      <w:r>
        <w:rPr>
          <w:rFonts w:hint="eastAsia" w:ascii="黑体" w:hAnsi="黑体" w:eastAsia="黑体" w:cs="黑体"/>
          <w:b w:val="0"/>
          <w:bCs w:val="0"/>
          <w:sz w:val="24"/>
          <w:szCs w:val="28"/>
          <w:lang w:val="en-US" w:eastAsia="zh-CN"/>
        </w:rPr>
        <w:t>有组织</w:t>
      </w:r>
      <w:r>
        <w:rPr>
          <w:rFonts w:hint="eastAsia" w:ascii="黑体" w:hAnsi="黑体" w:eastAsia="黑体" w:cs="黑体"/>
          <w:b w:val="0"/>
          <w:bCs w:val="0"/>
          <w:sz w:val="24"/>
          <w:szCs w:val="28"/>
        </w:rPr>
        <w:t>废气产排污节点、污染物及污染治理设施信息表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27"/>
        <w:gridCol w:w="678"/>
        <w:gridCol w:w="662"/>
        <w:gridCol w:w="466"/>
        <w:gridCol w:w="888"/>
        <w:gridCol w:w="722"/>
        <w:gridCol w:w="722"/>
        <w:gridCol w:w="884"/>
        <w:gridCol w:w="427"/>
        <w:gridCol w:w="751"/>
        <w:gridCol w:w="682"/>
        <w:gridCol w:w="893"/>
        <w:gridCol w:w="723"/>
        <w:gridCol w:w="699"/>
        <w:gridCol w:w="795"/>
        <w:gridCol w:w="691"/>
        <w:gridCol w:w="693"/>
        <w:gridCol w:w="800"/>
        <w:gridCol w:w="620"/>
      </w:tblGrid>
      <w:tr w14:paraId="3054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restart"/>
            <w:noWrap w:val="0"/>
            <w:vAlign w:val="center"/>
          </w:tcPr>
          <w:p w14:paraId="413B6946">
            <w:pPr>
              <w:spacing w:line="320" w:lineRule="exact"/>
              <w:jc w:val="center"/>
              <w:rPr>
                <w:szCs w:val="21"/>
              </w:rPr>
            </w:pPr>
            <w:r>
              <w:rPr>
                <w:rFonts w:hint="eastAsia"/>
                <w:szCs w:val="21"/>
              </w:rPr>
              <w:t>生产线</w:t>
            </w:r>
          </w:p>
        </w:tc>
        <w:tc>
          <w:tcPr>
            <w:tcW w:w="156" w:type="pct"/>
            <w:vMerge w:val="restart"/>
            <w:noWrap w:val="0"/>
            <w:vAlign w:val="center"/>
          </w:tcPr>
          <w:p w14:paraId="3822FF20">
            <w:pPr>
              <w:spacing w:line="320" w:lineRule="exact"/>
              <w:jc w:val="center"/>
              <w:rPr>
                <w:szCs w:val="21"/>
              </w:rPr>
            </w:pPr>
            <w:r>
              <w:rPr>
                <w:rFonts w:hint="eastAsia"/>
                <w:szCs w:val="21"/>
              </w:rPr>
              <w:t>产污环节</w:t>
            </w:r>
          </w:p>
        </w:tc>
        <w:tc>
          <w:tcPr>
            <w:tcW w:w="248" w:type="pct"/>
            <w:vMerge w:val="restart"/>
            <w:noWrap w:val="0"/>
            <w:vAlign w:val="center"/>
          </w:tcPr>
          <w:p w14:paraId="23DE88BC">
            <w:pPr>
              <w:spacing w:line="320" w:lineRule="exact"/>
              <w:jc w:val="center"/>
              <w:rPr>
                <w:szCs w:val="21"/>
              </w:rPr>
            </w:pPr>
            <w:r>
              <w:rPr>
                <w:rFonts w:hint="eastAsia"/>
                <w:szCs w:val="21"/>
              </w:rPr>
              <w:t>污染源名称</w:t>
            </w:r>
          </w:p>
        </w:tc>
        <w:tc>
          <w:tcPr>
            <w:tcW w:w="242" w:type="pct"/>
            <w:vMerge w:val="restart"/>
            <w:noWrap w:val="0"/>
            <w:vAlign w:val="center"/>
          </w:tcPr>
          <w:p w14:paraId="57D0831D">
            <w:pPr>
              <w:spacing w:line="320" w:lineRule="exact"/>
              <w:jc w:val="center"/>
              <w:rPr>
                <w:szCs w:val="21"/>
              </w:rPr>
            </w:pPr>
            <w:r>
              <w:rPr>
                <w:szCs w:val="21"/>
              </w:rPr>
              <w:t>核算方法</w:t>
            </w:r>
          </w:p>
        </w:tc>
        <w:tc>
          <w:tcPr>
            <w:tcW w:w="170" w:type="pct"/>
            <w:vMerge w:val="restart"/>
            <w:noWrap w:val="0"/>
            <w:vAlign w:val="center"/>
          </w:tcPr>
          <w:p w14:paraId="297193CF">
            <w:pPr>
              <w:spacing w:line="320" w:lineRule="exact"/>
              <w:jc w:val="center"/>
              <w:rPr>
                <w:szCs w:val="21"/>
              </w:rPr>
            </w:pPr>
            <w:r>
              <w:rPr>
                <w:szCs w:val="21"/>
              </w:rPr>
              <w:t>排气筒编号</w:t>
            </w:r>
          </w:p>
        </w:tc>
        <w:tc>
          <w:tcPr>
            <w:tcW w:w="325" w:type="pct"/>
            <w:vMerge w:val="restart"/>
            <w:noWrap w:val="0"/>
            <w:vAlign w:val="center"/>
          </w:tcPr>
          <w:p w14:paraId="46ECF802">
            <w:pPr>
              <w:spacing w:line="320" w:lineRule="exact"/>
              <w:jc w:val="center"/>
              <w:rPr>
                <w:szCs w:val="21"/>
              </w:rPr>
            </w:pPr>
            <w:r>
              <w:rPr>
                <w:szCs w:val="21"/>
              </w:rPr>
              <w:t>污染物</w:t>
            </w:r>
          </w:p>
        </w:tc>
        <w:tc>
          <w:tcPr>
            <w:tcW w:w="852" w:type="pct"/>
            <w:gridSpan w:val="3"/>
            <w:noWrap w:val="0"/>
            <w:vAlign w:val="center"/>
          </w:tcPr>
          <w:p w14:paraId="1A90ABEE">
            <w:pPr>
              <w:spacing w:line="320" w:lineRule="exact"/>
              <w:jc w:val="center"/>
              <w:rPr>
                <w:szCs w:val="21"/>
              </w:rPr>
            </w:pPr>
            <w:r>
              <w:rPr>
                <w:szCs w:val="21"/>
              </w:rPr>
              <w:t>污染物产生</w:t>
            </w:r>
          </w:p>
        </w:tc>
        <w:tc>
          <w:tcPr>
            <w:tcW w:w="1273" w:type="pct"/>
            <w:gridSpan w:val="5"/>
            <w:noWrap w:val="0"/>
            <w:vAlign w:val="center"/>
          </w:tcPr>
          <w:p w14:paraId="39867E81">
            <w:pPr>
              <w:spacing w:line="320" w:lineRule="exact"/>
              <w:jc w:val="center"/>
              <w:rPr>
                <w:szCs w:val="21"/>
              </w:rPr>
            </w:pPr>
            <w:r>
              <w:rPr>
                <w:szCs w:val="21"/>
              </w:rPr>
              <w:t>治理措施</w:t>
            </w:r>
          </w:p>
        </w:tc>
        <w:tc>
          <w:tcPr>
            <w:tcW w:w="256" w:type="pct"/>
            <w:vMerge w:val="restart"/>
            <w:noWrap w:val="0"/>
            <w:vAlign w:val="center"/>
          </w:tcPr>
          <w:p w14:paraId="710CD229">
            <w:pPr>
              <w:spacing w:line="320" w:lineRule="exact"/>
              <w:jc w:val="center"/>
              <w:rPr>
                <w:szCs w:val="21"/>
              </w:rPr>
            </w:pPr>
            <w:r>
              <w:rPr>
                <w:szCs w:val="21"/>
              </w:rPr>
              <w:t>是否为可行性技术</w:t>
            </w:r>
          </w:p>
        </w:tc>
        <w:tc>
          <w:tcPr>
            <w:tcW w:w="798" w:type="pct"/>
            <w:gridSpan w:val="3"/>
            <w:noWrap w:val="0"/>
            <w:vAlign w:val="center"/>
          </w:tcPr>
          <w:p w14:paraId="409A3897">
            <w:pPr>
              <w:spacing w:line="320" w:lineRule="exact"/>
              <w:jc w:val="center"/>
              <w:rPr>
                <w:szCs w:val="21"/>
              </w:rPr>
            </w:pPr>
            <w:r>
              <w:rPr>
                <w:szCs w:val="21"/>
              </w:rPr>
              <w:t>污染物排放</w:t>
            </w:r>
          </w:p>
        </w:tc>
        <w:tc>
          <w:tcPr>
            <w:tcW w:w="519" w:type="pct"/>
            <w:gridSpan w:val="2"/>
            <w:noWrap w:val="0"/>
            <w:vAlign w:val="center"/>
          </w:tcPr>
          <w:p w14:paraId="33BDD4B5">
            <w:pPr>
              <w:spacing w:line="320" w:lineRule="exact"/>
              <w:jc w:val="center"/>
              <w:rPr>
                <w:szCs w:val="21"/>
              </w:rPr>
            </w:pPr>
            <w:r>
              <w:rPr>
                <w:szCs w:val="21"/>
              </w:rPr>
              <w:t>标准</w:t>
            </w:r>
          </w:p>
        </w:tc>
      </w:tr>
      <w:tr w14:paraId="1C58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continue"/>
            <w:noWrap w:val="0"/>
            <w:vAlign w:val="center"/>
          </w:tcPr>
          <w:p w14:paraId="415A717D">
            <w:pPr>
              <w:spacing w:line="320" w:lineRule="exact"/>
              <w:jc w:val="center"/>
              <w:rPr>
                <w:szCs w:val="21"/>
              </w:rPr>
            </w:pPr>
          </w:p>
        </w:tc>
        <w:tc>
          <w:tcPr>
            <w:tcW w:w="156" w:type="pct"/>
            <w:vMerge w:val="continue"/>
            <w:noWrap w:val="0"/>
            <w:vAlign w:val="center"/>
          </w:tcPr>
          <w:p w14:paraId="117FE678">
            <w:pPr>
              <w:spacing w:line="320" w:lineRule="exact"/>
              <w:jc w:val="center"/>
              <w:rPr>
                <w:szCs w:val="21"/>
              </w:rPr>
            </w:pPr>
          </w:p>
        </w:tc>
        <w:tc>
          <w:tcPr>
            <w:tcW w:w="248" w:type="pct"/>
            <w:vMerge w:val="continue"/>
            <w:noWrap w:val="0"/>
            <w:vAlign w:val="center"/>
          </w:tcPr>
          <w:p w14:paraId="0A0C2FC1">
            <w:pPr>
              <w:spacing w:line="320" w:lineRule="exact"/>
              <w:jc w:val="center"/>
              <w:rPr>
                <w:szCs w:val="21"/>
              </w:rPr>
            </w:pPr>
          </w:p>
        </w:tc>
        <w:tc>
          <w:tcPr>
            <w:tcW w:w="242" w:type="pct"/>
            <w:vMerge w:val="continue"/>
            <w:noWrap w:val="0"/>
            <w:vAlign w:val="center"/>
          </w:tcPr>
          <w:p w14:paraId="7523F338">
            <w:pPr>
              <w:spacing w:line="320" w:lineRule="exact"/>
              <w:jc w:val="center"/>
              <w:rPr>
                <w:szCs w:val="21"/>
              </w:rPr>
            </w:pPr>
          </w:p>
        </w:tc>
        <w:tc>
          <w:tcPr>
            <w:tcW w:w="170" w:type="pct"/>
            <w:vMerge w:val="continue"/>
            <w:noWrap w:val="0"/>
            <w:vAlign w:val="center"/>
          </w:tcPr>
          <w:p w14:paraId="46FE3D1C">
            <w:pPr>
              <w:spacing w:line="320" w:lineRule="exact"/>
              <w:jc w:val="center"/>
              <w:rPr>
                <w:szCs w:val="21"/>
              </w:rPr>
            </w:pPr>
          </w:p>
        </w:tc>
        <w:tc>
          <w:tcPr>
            <w:tcW w:w="325" w:type="pct"/>
            <w:vMerge w:val="continue"/>
            <w:noWrap w:val="0"/>
            <w:vAlign w:val="center"/>
          </w:tcPr>
          <w:p w14:paraId="4B15939E">
            <w:pPr>
              <w:spacing w:line="320" w:lineRule="exact"/>
              <w:jc w:val="center"/>
              <w:rPr>
                <w:szCs w:val="21"/>
              </w:rPr>
            </w:pPr>
          </w:p>
        </w:tc>
        <w:tc>
          <w:tcPr>
            <w:tcW w:w="264" w:type="pct"/>
            <w:noWrap w:val="0"/>
            <w:vAlign w:val="center"/>
          </w:tcPr>
          <w:p w14:paraId="56E01613">
            <w:pPr>
              <w:spacing w:line="320" w:lineRule="exact"/>
              <w:jc w:val="center"/>
              <w:rPr>
                <w:szCs w:val="21"/>
              </w:rPr>
            </w:pPr>
            <w:r>
              <w:rPr>
                <w:rFonts w:hint="eastAsia"/>
                <w:szCs w:val="21"/>
              </w:rPr>
              <w:t>浓度</w:t>
            </w:r>
            <w:r>
              <w:rPr>
                <w:szCs w:val="21"/>
              </w:rPr>
              <w:t>mg</w:t>
            </w:r>
            <w:r>
              <w:rPr>
                <w:rFonts w:hint="eastAsia"/>
                <w:szCs w:val="21"/>
              </w:rPr>
              <w:t>/</w:t>
            </w:r>
            <w:r>
              <w:rPr>
                <w:szCs w:val="21"/>
              </w:rPr>
              <w:t>m</w:t>
            </w:r>
            <w:r>
              <w:rPr>
                <w:szCs w:val="21"/>
                <w:vertAlign w:val="superscript"/>
              </w:rPr>
              <w:t>3</w:t>
            </w:r>
          </w:p>
        </w:tc>
        <w:tc>
          <w:tcPr>
            <w:tcW w:w="264" w:type="pct"/>
            <w:noWrap w:val="0"/>
            <w:vAlign w:val="center"/>
          </w:tcPr>
          <w:p w14:paraId="565679A0">
            <w:pPr>
              <w:spacing w:line="320" w:lineRule="exact"/>
              <w:jc w:val="center"/>
              <w:rPr>
                <w:szCs w:val="21"/>
              </w:rPr>
            </w:pPr>
            <w:r>
              <w:rPr>
                <w:szCs w:val="21"/>
              </w:rPr>
              <w:t>速率</w:t>
            </w:r>
          </w:p>
          <w:p w14:paraId="2C94545B">
            <w:pPr>
              <w:spacing w:line="320" w:lineRule="exact"/>
              <w:jc w:val="center"/>
              <w:rPr>
                <w:szCs w:val="21"/>
              </w:rPr>
            </w:pPr>
            <w:r>
              <w:rPr>
                <w:szCs w:val="21"/>
              </w:rPr>
              <w:t>kg/h</w:t>
            </w:r>
          </w:p>
        </w:tc>
        <w:tc>
          <w:tcPr>
            <w:tcW w:w="323" w:type="pct"/>
            <w:noWrap w:val="0"/>
            <w:vAlign w:val="center"/>
          </w:tcPr>
          <w:p w14:paraId="4496DA4D">
            <w:pPr>
              <w:spacing w:line="320" w:lineRule="exact"/>
              <w:jc w:val="center"/>
              <w:rPr>
                <w:szCs w:val="21"/>
              </w:rPr>
            </w:pPr>
            <w:r>
              <w:rPr>
                <w:szCs w:val="21"/>
              </w:rPr>
              <w:t>产生量t/a</w:t>
            </w:r>
          </w:p>
        </w:tc>
        <w:tc>
          <w:tcPr>
            <w:tcW w:w="156" w:type="pct"/>
            <w:noWrap w:val="0"/>
            <w:vAlign w:val="center"/>
          </w:tcPr>
          <w:p w14:paraId="4F3A0828">
            <w:pPr>
              <w:spacing w:line="320" w:lineRule="exact"/>
              <w:jc w:val="center"/>
              <w:rPr>
                <w:szCs w:val="21"/>
              </w:rPr>
            </w:pPr>
            <w:r>
              <w:rPr>
                <w:szCs w:val="21"/>
              </w:rPr>
              <w:t>收集措施</w:t>
            </w:r>
          </w:p>
        </w:tc>
        <w:tc>
          <w:tcPr>
            <w:tcW w:w="275" w:type="pct"/>
            <w:noWrap w:val="0"/>
            <w:vAlign w:val="center"/>
          </w:tcPr>
          <w:p w14:paraId="242793FC">
            <w:pPr>
              <w:spacing w:line="320" w:lineRule="exact"/>
              <w:jc w:val="center"/>
              <w:rPr>
                <w:szCs w:val="21"/>
              </w:rPr>
            </w:pPr>
            <w:r>
              <w:rPr>
                <w:rFonts w:hint="eastAsia"/>
                <w:szCs w:val="21"/>
              </w:rPr>
              <w:t>治理能力</w:t>
            </w:r>
          </w:p>
          <w:p w14:paraId="061C79D8">
            <w:pPr>
              <w:spacing w:line="320" w:lineRule="exact"/>
              <w:jc w:val="center"/>
              <w:rPr>
                <w:szCs w:val="21"/>
              </w:rPr>
            </w:pPr>
            <w:r>
              <w:rPr>
                <w:szCs w:val="21"/>
              </w:rPr>
              <w:t>m</w:t>
            </w:r>
            <w:r>
              <w:rPr>
                <w:szCs w:val="21"/>
                <w:vertAlign w:val="superscript"/>
              </w:rPr>
              <w:t>3</w:t>
            </w:r>
            <w:r>
              <w:rPr>
                <w:szCs w:val="21"/>
              </w:rPr>
              <w:t>/h</w:t>
            </w:r>
          </w:p>
        </w:tc>
        <w:tc>
          <w:tcPr>
            <w:tcW w:w="249" w:type="pct"/>
            <w:noWrap w:val="0"/>
            <w:vAlign w:val="center"/>
          </w:tcPr>
          <w:p w14:paraId="0C9045AE">
            <w:pPr>
              <w:spacing w:line="320" w:lineRule="exact"/>
              <w:jc w:val="center"/>
              <w:rPr>
                <w:szCs w:val="21"/>
              </w:rPr>
            </w:pPr>
            <w:r>
              <w:rPr>
                <w:szCs w:val="21"/>
              </w:rPr>
              <w:t>收集效率</w:t>
            </w:r>
            <w:r>
              <w:rPr>
                <w:rFonts w:hint="eastAsia"/>
                <w:szCs w:val="21"/>
              </w:rPr>
              <w:t>(%)</w:t>
            </w:r>
          </w:p>
        </w:tc>
        <w:tc>
          <w:tcPr>
            <w:tcW w:w="326" w:type="pct"/>
            <w:noWrap w:val="0"/>
            <w:vAlign w:val="center"/>
          </w:tcPr>
          <w:p w14:paraId="099E0BB3">
            <w:pPr>
              <w:spacing w:line="320" w:lineRule="exact"/>
              <w:jc w:val="center"/>
              <w:rPr>
                <w:szCs w:val="21"/>
              </w:rPr>
            </w:pPr>
            <w:r>
              <w:rPr>
                <w:szCs w:val="21"/>
              </w:rPr>
              <w:t>治理措施</w:t>
            </w:r>
          </w:p>
        </w:tc>
        <w:tc>
          <w:tcPr>
            <w:tcW w:w="264" w:type="pct"/>
            <w:noWrap w:val="0"/>
            <w:vAlign w:val="center"/>
          </w:tcPr>
          <w:p w14:paraId="0040CB6E">
            <w:pPr>
              <w:spacing w:line="320" w:lineRule="exact"/>
              <w:jc w:val="center"/>
              <w:rPr>
                <w:szCs w:val="21"/>
              </w:rPr>
            </w:pPr>
            <w:r>
              <w:rPr>
                <w:szCs w:val="21"/>
              </w:rPr>
              <w:t>治理效率</w:t>
            </w:r>
            <w:r>
              <w:rPr>
                <w:rFonts w:hint="eastAsia"/>
                <w:szCs w:val="21"/>
              </w:rPr>
              <w:t>(%)</w:t>
            </w:r>
          </w:p>
        </w:tc>
        <w:tc>
          <w:tcPr>
            <w:tcW w:w="256" w:type="pct"/>
            <w:vMerge w:val="continue"/>
            <w:noWrap w:val="0"/>
            <w:vAlign w:val="center"/>
          </w:tcPr>
          <w:p w14:paraId="5DC80882">
            <w:pPr>
              <w:spacing w:line="320" w:lineRule="exact"/>
              <w:jc w:val="center"/>
              <w:rPr>
                <w:szCs w:val="21"/>
              </w:rPr>
            </w:pPr>
          </w:p>
        </w:tc>
        <w:tc>
          <w:tcPr>
            <w:tcW w:w="290" w:type="pct"/>
            <w:noWrap w:val="0"/>
            <w:vAlign w:val="center"/>
          </w:tcPr>
          <w:p w14:paraId="61CF52B8">
            <w:pPr>
              <w:spacing w:line="320" w:lineRule="exact"/>
              <w:jc w:val="center"/>
              <w:rPr>
                <w:szCs w:val="21"/>
              </w:rPr>
            </w:pPr>
            <w:r>
              <w:rPr>
                <w:szCs w:val="21"/>
              </w:rPr>
              <w:t>浓度</w:t>
            </w:r>
          </w:p>
          <w:p w14:paraId="37BB1E6E">
            <w:pPr>
              <w:spacing w:line="320" w:lineRule="exact"/>
              <w:jc w:val="center"/>
              <w:rPr>
                <w:szCs w:val="21"/>
              </w:rPr>
            </w:pPr>
            <w:r>
              <w:rPr>
                <w:szCs w:val="21"/>
              </w:rPr>
              <w:t>mg/m³</w:t>
            </w:r>
          </w:p>
        </w:tc>
        <w:tc>
          <w:tcPr>
            <w:tcW w:w="253" w:type="pct"/>
            <w:noWrap w:val="0"/>
            <w:vAlign w:val="center"/>
          </w:tcPr>
          <w:p w14:paraId="78576C62">
            <w:pPr>
              <w:spacing w:line="320" w:lineRule="exact"/>
              <w:jc w:val="center"/>
              <w:rPr>
                <w:szCs w:val="21"/>
              </w:rPr>
            </w:pPr>
            <w:r>
              <w:rPr>
                <w:szCs w:val="21"/>
              </w:rPr>
              <w:t>速率</w:t>
            </w:r>
          </w:p>
          <w:p w14:paraId="1D2C606D">
            <w:pPr>
              <w:spacing w:line="320" w:lineRule="exact"/>
              <w:jc w:val="center"/>
              <w:rPr>
                <w:szCs w:val="21"/>
              </w:rPr>
            </w:pPr>
            <w:r>
              <w:rPr>
                <w:szCs w:val="21"/>
              </w:rPr>
              <w:t>kg/h</w:t>
            </w:r>
          </w:p>
        </w:tc>
        <w:tc>
          <w:tcPr>
            <w:tcW w:w="253" w:type="pct"/>
            <w:noWrap w:val="0"/>
            <w:vAlign w:val="center"/>
          </w:tcPr>
          <w:p w14:paraId="16D702BA">
            <w:pPr>
              <w:spacing w:line="320" w:lineRule="exact"/>
              <w:jc w:val="center"/>
              <w:rPr>
                <w:szCs w:val="21"/>
              </w:rPr>
            </w:pPr>
            <w:r>
              <w:rPr>
                <w:szCs w:val="21"/>
              </w:rPr>
              <w:t>排放量t/a</w:t>
            </w:r>
          </w:p>
        </w:tc>
        <w:tc>
          <w:tcPr>
            <w:tcW w:w="292" w:type="pct"/>
            <w:noWrap w:val="0"/>
            <w:vAlign w:val="center"/>
          </w:tcPr>
          <w:p w14:paraId="35CA128D">
            <w:pPr>
              <w:spacing w:line="320" w:lineRule="exact"/>
              <w:jc w:val="center"/>
              <w:textAlignment w:val="center"/>
              <w:rPr>
                <w:szCs w:val="21"/>
              </w:rPr>
            </w:pPr>
            <w:r>
              <w:rPr>
                <w:szCs w:val="21"/>
              </w:rPr>
              <w:t>浓度mg/m</w:t>
            </w:r>
            <w:r>
              <w:rPr>
                <w:szCs w:val="21"/>
                <w:vertAlign w:val="superscript"/>
              </w:rPr>
              <w:t>3</w:t>
            </w:r>
          </w:p>
        </w:tc>
        <w:tc>
          <w:tcPr>
            <w:tcW w:w="227" w:type="pct"/>
            <w:noWrap w:val="0"/>
            <w:vAlign w:val="center"/>
          </w:tcPr>
          <w:p w14:paraId="47D84D62">
            <w:pPr>
              <w:spacing w:line="320" w:lineRule="exact"/>
              <w:jc w:val="center"/>
              <w:textAlignment w:val="center"/>
              <w:rPr>
                <w:szCs w:val="21"/>
              </w:rPr>
            </w:pPr>
            <w:r>
              <w:rPr>
                <w:szCs w:val="21"/>
              </w:rPr>
              <w:t>速率kg/h</w:t>
            </w:r>
          </w:p>
        </w:tc>
      </w:tr>
      <w:tr w14:paraId="1BDE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restart"/>
            <w:noWrap w:val="0"/>
            <w:vAlign w:val="center"/>
          </w:tcPr>
          <w:p w14:paraId="7ED4AC8F">
            <w:pPr>
              <w:spacing w:line="320" w:lineRule="exact"/>
              <w:jc w:val="center"/>
              <w:textAlignment w:val="center"/>
              <w:rPr>
                <w:szCs w:val="21"/>
              </w:rPr>
            </w:pPr>
            <w:r>
              <w:rPr>
                <w:rFonts w:hint="eastAsia"/>
                <w:szCs w:val="21"/>
              </w:rPr>
              <w:t>煤矸石烧结空心砖生产线</w:t>
            </w:r>
          </w:p>
        </w:tc>
        <w:tc>
          <w:tcPr>
            <w:tcW w:w="156" w:type="pct"/>
            <w:noWrap w:val="0"/>
            <w:vAlign w:val="center"/>
          </w:tcPr>
          <w:p w14:paraId="7356E387">
            <w:pPr>
              <w:spacing w:line="320" w:lineRule="exact"/>
              <w:jc w:val="center"/>
              <w:textAlignment w:val="center"/>
              <w:rPr>
                <w:szCs w:val="21"/>
              </w:rPr>
            </w:pPr>
            <w:r>
              <w:rPr>
                <w:rFonts w:hint="eastAsia"/>
                <w:szCs w:val="21"/>
              </w:rPr>
              <w:t>破碎筛分</w:t>
            </w:r>
          </w:p>
        </w:tc>
        <w:tc>
          <w:tcPr>
            <w:tcW w:w="248" w:type="pct"/>
            <w:noWrap w:val="0"/>
            <w:vAlign w:val="center"/>
          </w:tcPr>
          <w:p w14:paraId="09FE423F">
            <w:pPr>
              <w:spacing w:line="320" w:lineRule="exact"/>
              <w:jc w:val="center"/>
              <w:rPr>
                <w:szCs w:val="21"/>
              </w:rPr>
            </w:pPr>
            <w:r>
              <w:rPr>
                <w:rFonts w:hint="eastAsia"/>
                <w:szCs w:val="21"/>
                <w:lang w:val="en-US" w:eastAsia="zh-CN"/>
              </w:rPr>
              <w:t>上料</w:t>
            </w:r>
            <w:r>
              <w:rPr>
                <w:rFonts w:hint="eastAsia"/>
                <w:szCs w:val="21"/>
              </w:rPr>
              <w:t>破碎筛分粉尘</w:t>
            </w:r>
          </w:p>
        </w:tc>
        <w:tc>
          <w:tcPr>
            <w:tcW w:w="242" w:type="pct"/>
            <w:noWrap w:val="0"/>
            <w:vAlign w:val="center"/>
          </w:tcPr>
          <w:p w14:paraId="46C94D45">
            <w:pPr>
              <w:spacing w:line="320" w:lineRule="exact"/>
              <w:jc w:val="center"/>
              <w:textAlignment w:val="center"/>
              <w:rPr>
                <w:rFonts w:hint="default" w:eastAsia="宋体"/>
                <w:szCs w:val="21"/>
                <w:lang w:val="en-US" w:eastAsia="zh-CN"/>
              </w:rPr>
            </w:pPr>
            <w:r>
              <w:rPr>
                <w:rFonts w:hint="eastAsia"/>
                <w:szCs w:val="21"/>
                <w:lang w:val="en-US" w:eastAsia="zh-CN"/>
              </w:rPr>
              <w:t>实测法及产物系数法</w:t>
            </w:r>
          </w:p>
        </w:tc>
        <w:tc>
          <w:tcPr>
            <w:tcW w:w="170" w:type="pct"/>
            <w:noWrap w:val="0"/>
            <w:vAlign w:val="center"/>
          </w:tcPr>
          <w:p w14:paraId="5C231294">
            <w:pPr>
              <w:spacing w:line="320" w:lineRule="exact"/>
              <w:jc w:val="center"/>
              <w:textAlignment w:val="center"/>
              <w:rPr>
                <w:szCs w:val="21"/>
              </w:rPr>
            </w:pPr>
            <w:r>
              <w:rPr>
                <w:rFonts w:hint="eastAsia"/>
                <w:szCs w:val="21"/>
              </w:rPr>
              <w:t>DA001</w:t>
            </w:r>
          </w:p>
        </w:tc>
        <w:tc>
          <w:tcPr>
            <w:tcW w:w="325" w:type="pct"/>
            <w:noWrap w:val="0"/>
            <w:vAlign w:val="center"/>
          </w:tcPr>
          <w:p w14:paraId="5A231794">
            <w:pPr>
              <w:spacing w:line="320" w:lineRule="exact"/>
              <w:jc w:val="center"/>
              <w:textAlignment w:val="center"/>
              <w:rPr>
                <w:szCs w:val="21"/>
              </w:rPr>
            </w:pPr>
            <w:r>
              <w:rPr>
                <w:rFonts w:hint="eastAsia"/>
                <w:szCs w:val="21"/>
              </w:rPr>
              <w:t>颗粒物</w:t>
            </w:r>
          </w:p>
        </w:tc>
        <w:tc>
          <w:tcPr>
            <w:tcW w:w="264" w:type="pct"/>
            <w:noWrap w:val="0"/>
            <w:vAlign w:val="center"/>
          </w:tcPr>
          <w:p w14:paraId="5690740D">
            <w:pPr>
              <w:spacing w:line="320" w:lineRule="exact"/>
              <w:jc w:val="center"/>
              <w:textAlignment w:val="center"/>
              <w:rPr>
                <w:rFonts w:hint="default" w:eastAsia="宋体"/>
                <w:szCs w:val="21"/>
                <w:lang w:val="en-US" w:eastAsia="zh-CN"/>
              </w:rPr>
            </w:pPr>
            <w:r>
              <w:rPr>
                <w:rFonts w:hint="eastAsia"/>
                <w:szCs w:val="21"/>
                <w:lang w:val="en-US" w:eastAsia="zh-CN"/>
              </w:rPr>
              <w:t>906</w:t>
            </w:r>
          </w:p>
        </w:tc>
        <w:tc>
          <w:tcPr>
            <w:tcW w:w="264" w:type="pct"/>
            <w:noWrap w:val="0"/>
            <w:vAlign w:val="center"/>
          </w:tcPr>
          <w:p w14:paraId="583C9C34">
            <w:pPr>
              <w:spacing w:line="320" w:lineRule="exact"/>
              <w:jc w:val="center"/>
              <w:textAlignment w:val="center"/>
              <w:rPr>
                <w:rFonts w:hint="default" w:eastAsia="宋体"/>
                <w:szCs w:val="21"/>
                <w:lang w:val="en-US" w:eastAsia="zh-CN"/>
              </w:rPr>
            </w:pPr>
            <w:r>
              <w:rPr>
                <w:rFonts w:hint="eastAsia"/>
                <w:szCs w:val="21"/>
                <w:lang w:val="en-US" w:eastAsia="zh-CN"/>
              </w:rPr>
              <w:t>45.3</w:t>
            </w:r>
          </w:p>
        </w:tc>
        <w:tc>
          <w:tcPr>
            <w:tcW w:w="323" w:type="pct"/>
            <w:noWrap w:val="0"/>
            <w:vAlign w:val="center"/>
          </w:tcPr>
          <w:p w14:paraId="3DF24DE1">
            <w:pPr>
              <w:spacing w:line="320" w:lineRule="exact"/>
              <w:jc w:val="center"/>
              <w:textAlignment w:val="center"/>
              <w:rPr>
                <w:rFonts w:hint="default" w:eastAsia="宋体"/>
                <w:szCs w:val="21"/>
                <w:lang w:val="en-US" w:eastAsia="zh-CN"/>
              </w:rPr>
            </w:pPr>
            <w:r>
              <w:rPr>
                <w:rFonts w:hint="eastAsia"/>
                <w:szCs w:val="21"/>
                <w:lang w:val="en-US" w:eastAsia="zh-CN"/>
              </w:rPr>
              <w:t>64</w:t>
            </w:r>
          </w:p>
        </w:tc>
        <w:tc>
          <w:tcPr>
            <w:tcW w:w="156" w:type="pct"/>
            <w:noWrap w:val="0"/>
            <w:vAlign w:val="center"/>
          </w:tcPr>
          <w:p w14:paraId="1D2F57C0">
            <w:pPr>
              <w:spacing w:line="320" w:lineRule="exact"/>
              <w:jc w:val="center"/>
              <w:rPr>
                <w:szCs w:val="21"/>
              </w:rPr>
            </w:pPr>
            <w:r>
              <w:rPr>
                <w:rFonts w:hint="eastAsia"/>
                <w:szCs w:val="21"/>
              </w:rPr>
              <w:t>集气罩</w:t>
            </w:r>
          </w:p>
        </w:tc>
        <w:tc>
          <w:tcPr>
            <w:tcW w:w="275" w:type="pct"/>
            <w:noWrap w:val="0"/>
            <w:vAlign w:val="center"/>
          </w:tcPr>
          <w:p w14:paraId="5A13DCB2">
            <w:pPr>
              <w:spacing w:line="320" w:lineRule="exact"/>
              <w:jc w:val="center"/>
              <w:textAlignment w:val="center"/>
              <w:rPr>
                <w:rFonts w:hint="default" w:eastAsia="宋体"/>
                <w:color w:val="000000"/>
                <w:szCs w:val="21"/>
                <w:highlight w:val="none"/>
                <w:lang w:val="en-US" w:eastAsia="zh-CN"/>
              </w:rPr>
            </w:pPr>
            <w:r>
              <w:rPr>
                <w:rFonts w:hint="eastAsia"/>
                <w:color w:val="000000"/>
                <w:szCs w:val="21"/>
                <w:highlight w:val="none"/>
                <w:lang w:val="en-US" w:eastAsia="zh-CN"/>
              </w:rPr>
              <w:t>50000</w:t>
            </w:r>
          </w:p>
        </w:tc>
        <w:tc>
          <w:tcPr>
            <w:tcW w:w="249" w:type="pct"/>
            <w:noWrap w:val="0"/>
            <w:vAlign w:val="center"/>
          </w:tcPr>
          <w:p w14:paraId="4ECFB61C">
            <w:pPr>
              <w:spacing w:line="320" w:lineRule="exact"/>
              <w:jc w:val="center"/>
              <w:textAlignment w:val="center"/>
              <w:rPr>
                <w:szCs w:val="21"/>
              </w:rPr>
            </w:pPr>
            <w:r>
              <w:rPr>
                <w:rFonts w:hint="eastAsia"/>
                <w:szCs w:val="21"/>
              </w:rPr>
              <w:t>90</w:t>
            </w:r>
          </w:p>
        </w:tc>
        <w:tc>
          <w:tcPr>
            <w:tcW w:w="326" w:type="pct"/>
            <w:noWrap w:val="0"/>
            <w:vAlign w:val="center"/>
          </w:tcPr>
          <w:p w14:paraId="59A70BD3">
            <w:pPr>
              <w:spacing w:line="320" w:lineRule="exact"/>
              <w:jc w:val="center"/>
              <w:textAlignment w:val="center"/>
              <w:rPr>
                <w:szCs w:val="21"/>
              </w:rPr>
            </w:pPr>
            <w:r>
              <w:rPr>
                <w:rFonts w:hint="eastAsia"/>
                <w:szCs w:val="21"/>
              </w:rPr>
              <w:t>脉冲式布袋除尘器</w:t>
            </w:r>
          </w:p>
        </w:tc>
        <w:tc>
          <w:tcPr>
            <w:tcW w:w="264" w:type="pct"/>
            <w:noWrap w:val="0"/>
            <w:vAlign w:val="center"/>
          </w:tcPr>
          <w:p w14:paraId="0623646F">
            <w:pPr>
              <w:spacing w:line="320" w:lineRule="exact"/>
              <w:jc w:val="center"/>
              <w:textAlignment w:val="center"/>
              <w:rPr>
                <w:szCs w:val="21"/>
              </w:rPr>
            </w:pPr>
            <w:r>
              <w:rPr>
                <w:rFonts w:hint="eastAsia"/>
                <w:szCs w:val="21"/>
              </w:rPr>
              <w:t>99</w:t>
            </w:r>
          </w:p>
        </w:tc>
        <w:tc>
          <w:tcPr>
            <w:tcW w:w="256" w:type="pct"/>
            <w:noWrap w:val="0"/>
            <w:vAlign w:val="center"/>
          </w:tcPr>
          <w:p w14:paraId="2D01FEC3">
            <w:pPr>
              <w:spacing w:line="320" w:lineRule="exact"/>
              <w:jc w:val="center"/>
              <w:textAlignment w:val="center"/>
              <w:rPr>
                <w:szCs w:val="21"/>
              </w:rPr>
            </w:pPr>
            <w:r>
              <w:rPr>
                <w:rFonts w:hint="eastAsia"/>
                <w:szCs w:val="21"/>
              </w:rPr>
              <w:t>是</w:t>
            </w:r>
          </w:p>
        </w:tc>
        <w:tc>
          <w:tcPr>
            <w:tcW w:w="290" w:type="pct"/>
            <w:noWrap w:val="0"/>
            <w:vAlign w:val="center"/>
          </w:tcPr>
          <w:p w14:paraId="08ADB150">
            <w:pPr>
              <w:spacing w:line="320" w:lineRule="exact"/>
              <w:jc w:val="center"/>
              <w:rPr>
                <w:rFonts w:hint="default" w:eastAsia="宋体"/>
                <w:szCs w:val="21"/>
                <w:lang w:val="en-US" w:eastAsia="zh-CN"/>
              </w:rPr>
            </w:pPr>
            <w:r>
              <w:rPr>
                <w:rFonts w:hint="eastAsia"/>
                <w:szCs w:val="21"/>
                <w:lang w:val="en-US" w:eastAsia="zh-CN"/>
              </w:rPr>
              <w:t>9</w:t>
            </w:r>
          </w:p>
        </w:tc>
        <w:tc>
          <w:tcPr>
            <w:tcW w:w="253" w:type="pct"/>
            <w:noWrap w:val="0"/>
            <w:vAlign w:val="center"/>
          </w:tcPr>
          <w:p w14:paraId="57769E34">
            <w:pPr>
              <w:spacing w:line="320" w:lineRule="exact"/>
              <w:jc w:val="center"/>
              <w:textAlignment w:val="center"/>
              <w:rPr>
                <w:rFonts w:hint="default" w:eastAsia="宋体"/>
                <w:szCs w:val="21"/>
                <w:lang w:val="en-US" w:eastAsia="zh-CN"/>
              </w:rPr>
            </w:pPr>
            <w:r>
              <w:rPr>
                <w:rFonts w:hint="eastAsia"/>
                <w:szCs w:val="21"/>
                <w:lang w:val="en-US" w:eastAsia="zh-CN"/>
              </w:rPr>
              <w:t>0.45</w:t>
            </w:r>
          </w:p>
        </w:tc>
        <w:tc>
          <w:tcPr>
            <w:tcW w:w="253" w:type="pct"/>
            <w:noWrap w:val="0"/>
            <w:vAlign w:val="center"/>
          </w:tcPr>
          <w:p w14:paraId="5B4179E2">
            <w:pPr>
              <w:spacing w:line="320" w:lineRule="exact"/>
              <w:jc w:val="center"/>
              <w:textAlignment w:val="center"/>
              <w:rPr>
                <w:rFonts w:hint="default" w:eastAsia="宋体"/>
                <w:szCs w:val="21"/>
                <w:lang w:val="en-US" w:eastAsia="zh-CN"/>
              </w:rPr>
            </w:pPr>
            <w:r>
              <w:rPr>
                <w:rFonts w:hint="eastAsia"/>
                <w:szCs w:val="21"/>
                <w:lang w:val="en-US" w:eastAsia="zh-CN"/>
              </w:rPr>
              <w:t>0.57</w:t>
            </w:r>
          </w:p>
        </w:tc>
        <w:tc>
          <w:tcPr>
            <w:tcW w:w="292" w:type="pct"/>
            <w:noWrap w:val="0"/>
            <w:vAlign w:val="center"/>
          </w:tcPr>
          <w:p w14:paraId="15B0674B">
            <w:pPr>
              <w:spacing w:line="320" w:lineRule="exact"/>
              <w:jc w:val="center"/>
              <w:textAlignment w:val="center"/>
              <w:rPr>
                <w:szCs w:val="21"/>
              </w:rPr>
            </w:pPr>
            <w:r>
              <w:rPr>
                <w:rFonts w:hint="eastAsia"/>
                <w:szCs w:val="21"/>
              </w:rPr>
              <w:t>10</w:t>
            </w:r>
          </w:p>
        </w:tc>
        <w:tc>
          <w:tcPr>
            <w:tcW w:w="227" w:type="pct"/>
            <w:noWrap w:val="0"/>
            <w:vAlign w:val="center"/>
          </w:tcPr>
          <w:p w14:paraId="24752FF0">
            <w:pPr>
              <w:spacing w:line="320" w:lineRule="exact"/>
              <w:jc w:val="center"/>
              <w:textAlignment w:val="center"/>
              <w:rPr>
                <w:szCs w:val="21"/>
              </w:rPr>
            </w:pPr>
            <w:r>
              <w:rPr>
                <w:rFonts w:hint="eastAsia"/>
                <w:szCs w:val="21"/>
              </w:rPr>
              <w:t>/</w:t>
            </w:r>
          </w:p>
        </w:tc>
      </w:tr>
      <w:tr w14:paraId="7CC4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56" w:type="pct"/>
            <w:vMerge w:val="continue"/>
            <w:noWrap w:val="0"/>
            <w:vAlign w:val="center"/>
          </w:tcPr>
          <w:p w14:paraId="1F0C4D19">
            <w:pPr>
              <w:spacing w:line="320" w:lineRule="exact"/>
              <w:jc w:val="center"/>
              <w:textAlignment w:val="center"/>
              <w:rPr>
                <w:szCs w:val="21"/>
              </w:rPr>
            </w:pPr>
          </w:p>
        </w:tc>
        <w:tc>
          <w:tcPr>
            <w:tcW w:w="156" w:type="pct"/>
            <w:vMerge w:val="restart"/>
            <w:noWrap w:val="0"/>
            <w:vAlign w:val="center"/>
          </w:tcPr>
          <w:p w14:paraId="6380CAEC">
            <w:pPr>
              <w:spacing w:line="320" w:lineRule="exact"/>
              <w:jc w:val="center"/>
              <w:textAlignment w:val="center"/>
              <w:rPr>
                <w:szCs w:val="21"/>
              </w:rPr>
            </w:pPr>
            <w:r>
              <w:rPr>
                <w:szCs w:val="21"/>
              </w:rPr>
              <w:t>干燥焙烧</w:t>
            </w:r>
          </w:p>
        </w:tc>
        <w:tc>
          <w:tcPr>
            <w:tcW w:w="248" w:type="pct"/>
            <w:vMerge w:val="restart"/>
            <w:noWrap w:val="0"/>
            <w:vAlign w:val="center"/>
          </w:tcPr>
          <w:p w14:paraId="115F4620">
            <w:pPr>
              <w:spacing w:line="320" w:lineRule="exact"/>
              <w:jc w:val="center"/>
              <w:rPr>
                <w:szCs w:val="21"/>
              </w:rPr>
            </w:pPr>
            <w:r>
              <w:rPr>
                <w:rFonts w:hint="eastAsia"/>
                <w:szCs w:val="21"/>
              </w:rPr>
              <w:t>干燥</w:t>
            </w:r>
            <w:r>
              <w:rPr>
                <w:szCs w:val="21"/>
              </w:rPr>
              <w:t>焙烧废气</w:t>
            </w:r>
          </w:p>
        </w:tc>
        <w:tc>
          <w:tcPr>
            <w:tcW w:w="242" w:type="pct"/>
            <w:vMerge w:val="restart"/>
            <w:noWrap w:val="0"/>
            <w:vAlign w:val="center"/>
          </w:tcPr>
          <w:p w14:paraId="785FF2E0">
            <w:pPr>
              <w:spacing w:line="320" w:lineRule="exact"/>
              <w:jc w:val="center"/>
              <w:textAlignment w:val="center"/>
              <w:rPr>
                <w:szCs w:val="21"/>
              </w:rPr>
            </w:pPr>
            <w:r>
              <w:rPr>
                <w:rFonts w:hint="eastAsia"/>
                <w:szCs w:val="21"/>
                <w:lang w:val="en-US" w:eastAsia="zh-CN"/>
              </w:rPr>
              <w:t>实测法</w:t>
            </w:r>
          </w:p>
        </w:tc>
        <w:tc>
          <w:tcPr>
            <w:tcW w:w="170" w:type="pct"/>
            <w:vMerge w:val="restart"/>
            <w:noWrap w:val="0"/>
            <w:vAlign w:val="center"/>
          </w:tcPr>
          <w:p w14:paraId="4A9AB3AE">
            <w:pPr>
              <w:spacing w:line="320" w:lineRule="exact"/>
              <w:jc w:val="center"/>
              <w:textAlignment w:val="center"/>
              <w:rPr>
                <w:szCs w:val="21"/>
              </w:rPr>
            </w:pPr>
            <w:r>
              <w:rPr>
                <w:rFonts w:hint="eastAsia"/>
                <w:szCs w:val="21"/>
              </w:rPr>
              <w:t>DA002</w:t>
            </w:r>
          </w:p>
        </w:tc>
        <w:tc>
          <w:tcPr>
            <w:tcW w:w="325" w:type="pct"/>
            <w:noWrap w:val="0"/>
            <w:vAlign w:val="center"/>
          </w:tcPr>
          <w:p w14:paraId="6399F127">
            <w:pPr>
              <w:spacing w:line="320" w:lineRule="exact"/>
              <w:jc w:val="center"/>
              <w:textAlignment w:val="center"/>
              <w:rPr>
                <w:szCs w:val="21"/>
              </w:rPr>
            </w:pPr>
            <w:r>
              <w:rPr>
                <w:szCs w:val="21"/>
              </w:rPr>
              <w:t>颗粒物</w:t>
            </w:r>
          </w:p>
        </w:tc>
        <w:tc>
          <w:tcPr>
            <w:tcW w:w="264" w:type="pct"/>
            <w:noWrap w:val="0"/>
            <w:vAlign w:val="center"/>
          </w:tcPr>
          <w:p w14:paraId="7CE2B21A">
            <w:pPr>
              <w:spacing w:line="320" w:lineRule="exact"/>
              <w:jc w:val="center"/>
              <w:textAlignment w:val="center"/>
              <w:rPr>
                <w:rFonts w:hint="default" w:eastAsia="宋体"/>
                <w:szCs w:val="21"/>
                <w:lang w:val="en-US" w:eastAsia="zh-CN"/>
              </w:rPr>
            </w:pPr>
            <w:r>
              <w:rPr>
                <w:rFonts w:hint="eastAsia"/>
                <w:szCs w:val="21"/>
                <w:lang w:val="en-US" w:eastAsia="zh-CN"/>
              </w:rPr>
              <w:t>50</w:t>
            </w:r>
          </w:p>
        </w:tc>
        <w:tc>
          <w:tcPr>
            <w:tcW w:w="264" w:type="pct"/>
            <w:noWrap w:val="0"/>
            <w:vAlign w:val="center"/>
          </w:tcPr>
          <w:p w14:paraId="3C554967">
            <w:pPr>
              <w:spacing w:line="320" w:lineRule="exact"/>
              <w:jc w:val="center"/>
              <w:textAlignment w:val="center"/>
              <w:rPr>
                <w:rFonts w:hint="default" w:eastAsia="宋体"/>
                <w:szCs w:val="21"/>
                <w:lang w:val="en-US" w:eastAsia="zh-CN"/>
              </w:rPr>
            </w:pPr>
            <w:r>
              <w:rPr>
                <w:rFonts w:hint="eastAsia"/>
                <w:szCs w:val="21"/>
                <w:lang w:val="en-US" w:eastAsia="zh-CN"/>
              </w:rPr>
              <w:t>15</w:t>
            </w:r>
          </w:p>
        </w:tc>
        <w:tc>
          <w:tcPr>
            <w:tcW w:w="323" w:type="pct"/>
            <w:noWrap w:val="0"/>
            <w:vAlign w:val="center"/>
          </w:tcPr>
          <w:p w14:paraId="7E716F5A">
            <w:pPr>
              <w:spacing w:line="320" w:lineRule="exact"/>
              <w:jc w:val="center"/>
              <w:textAlignment w:val="center"/>
              <w:rPr>
                <w:rFonts w:hint="default" w:eastAsia="宋体"/>
                <w:szCs w:val="21"/>
                <w:lang w:val="en-US" w:eastAsia="zh-CN"/>
              </w:rPr>
            </w:pPr>
            <w:r>
              <w:rPr>
                <w:rFonts w:hint="eastAsia"/>
                <w:szCs w:val="21"/>
                <w:lang w:val="en-US" w:eastAsia="zh-CN"/>
              </w:rPr>
              <w:t>108</w:t>
            </w:r>
          </w:p>
        </w:tc>
        <w:tc>
          <w:tcPr>
            <w:tcW w:w="156" w:type="pct"/>
            <w:vMerge w:val="restart"/>
            <w:noWrap w:val="0"/>
            <w:vAlign w:val="center"/>
          </w:tcPr>
          <w:p w14:paraId="2D4D01F8">
            <w:pPr>
              <w:spacing w:line="320" w:lineRule="exact"/>
              <w:jc w:val="center"/>
              <w:rPr>
                <w:szCs w:val="21"/>
              </w:rPr>
            </w:pPr>
            <w:r>
              <w:rPr>
                <w:rFonts w:hint="eastAsia"/>
                <w:szCs w:val="21"/>
              </w:rPr>
              <w:t>管道收集</w:t>
            </w:r>
          </w:p>
        </w:tc>
        <w:tc>
          <w:tcPr>
            <w:tcW w:w="275" w:type="pct"/>
            <w:vMerge w:val="restart"/>
            <w:noWrap w:val="0"/>
            <w:vAlign w:val="center"/>
          </w:tcPr>
          <w:p w14:paraId="562A2CAA">
            <w:pPr>
              <w:spacing w:line="320" w:lineRule="exact"/>
              <w:jc w:val="center"/>
              <w:textAlignment w:val="center"/>
              <w:rPr>
                <w:rFonts w:hint="default" w:eastAsia="宋体"/>
                <w:color w:val="000000"/>
                <w:szCs w:val="21"/>
                <w:highlight w:val="none"/>
                <w:lang w:val="en-US" w:eastAsia="zh-CN"/>
              </w:rPr>
            </w:pPr>
            <w:r>
              <w:rPr>
                <w:rFonts w:hint="eastAsia"/>
                <w:color w:val="000000"/>
                <w:szCs w:val="21"/>
                <w:highlight w:val="none"/>
                <w:lang w:val="en-US" w:eastAsia="zh-CN"/>
              </w:rPr>
              <w:t>300000</w:t>
            </w:r>
          </w:p>
        </w:tc>
        <w:tc>
          <w:tcPr>
            <w:tcW w:w="249" w:type="pct"/>
            <w:vMerge w:val="restart"/>
            <w:noWrap w:val="0"/>
            <w:vAlign w:val="center"/>
          </w:tcPr>
          <w:p w14:paraId="52150C2F">
            <w:pPr>
              <w:spacing w:line="320" w:lineRule="exact"/>
              <w:jc w:val="center"/>
              <w:textAlignment w:val="center"/>
              <w:rPr>
                <w:szCs w:val="21"/>
              </w:rPr>
            </w:pPr>
            <w:r>
              <w:rPr>
                <w:rFonts w:hint="eastAsia"/>
                <w:szCs w:val="21"/>
              </w:rPr>
              <w:t>100</w:t>
            </w:r>
          </w:p>
        </w:tc>
        <w:tc>
          <w:tcPr>
            <w:tcW w:w="326" w:type="pct"/>
            <w:vMerge w:val="restart"/>
            <w:noWrap w:val="0"/>
            <w:vAlign w:val="center"/>
          </w:tcPr>
          <w:p w14:paraId="4F00D016">
            <w:pPr>
              <w:spacing w:line="320" w:lineRule="exact"/>
              <w:jc w:val="center"/>
            </w:pPr>
            <w:r>
              <w:rPr>
                <w:rFonts w:hint="eastAsia"/>
                <w:szCs w:val="21"/>
                <w:lang w:val="en-US" w:eastAsia="zh-CN"/>
              </w:rPr>
              <w:t>SNCR+</w:t>
            </w:r>
            <w:r>
              <w:rPr>
                <w:szCs w:val="21"/>
              </w:rPr>
              <w:t>石灰石—石膏法</w:t>
            </w:r>
            <w:r>
              <w:rPr>
                <w:rFonts w:hint="eastAsia"/>
                <w:szCs w:val="21"/>
                <w:lang w:val="en-US" w:eastAsia="zh-CN"/>
              </w:rPr>
              <w:t>+</w:t>
            </w:r>
            <w:r>
              <w:rPr>
                <w:szCs w:val="21"/>
              </w:rPr>
              <w:t>湿电除尘</w:t>
            </w:r>
          </w:p>
        </w:tc>
        <w:tc>
          <w:tcPr>
            <w:tcW w:w="264" w:type="pct"/>
            <w:noWrap w:val="0"/>
            <w:vAlign w:val="center"/>
          </w:tcPr>
          <w:p w14:paraId="5DB8B38C">
            <w:pPr>
              <w:spacing w:line="320" w:lineRule="exact"/>
              <w:jc w:val="center"/>
              <w:textAlignment w:val="center"/>
              <w:rPr>
                <w:szCs w:val="21"/>
              </w:rPr>
            </w:pPr>
            <w:r>
              <w:rPr>
                <w:rFonts w:hint="eastAsia"/>
                <w:szCs w:val="21"/>
              </w:rPr>
              <w:t>92</w:t>
            </w:r>
          </w:p>
        </w:tc>
        <w:tc>
          <w:tcPr>
            <w:tcW w:w="256" w:type="pct"/>
            <w:vMerge w:val="restart"/>
            <w:noWrap w:val="0"/>
            <w:vAlign w:val="center"/>
          </w:tcPr>
          <w:p w14:paraId="35380F07">
            <w:pPr>
              <w:spacing w:line="320" w:lineRule="exact"/>
              <w:jc w:val="center"/>
              <w:textAlignment w:val="center"/>
              <w:rPr>
                <w:szCs w:val="21"/>
              </w:rPr>
            </w:pPr>
            <w:r>
              <w:rPr>
                <w:rFonts w:hint="eastAsia"/>
                <w:szCs w:val="21"/>
              </w:rPr>
              <w:t>是</w:t>
            </w:r>
          </w:p>
        </w:tc>
        <w:tc>
          <w:tcPr>
            <w:tcW w:w="290" w:type="pct"/>
            <w:noWrap w:val="0"/>
            <w:vAlign w:val="center"/>
          </w:tcPr>
          <w:p w14:paraId="30E06034">
            <w:pPr>
              <w:spacing w:line="320" w:lineRule="exact"/>
              <w:jc w:val="center"/>
              <w:textAlignment w:val="center"/>
              <w:rPr>
                <w:rFonts w:hint="default" w:eastAsia="宋体"/>
                <w:szCs w:val="21"/>
                <w:lang w:val="en-US" w:eastAsia="zh-CN"/>
              </w:rPr>
            </w:pPr>
            <w:r>
              <w:rPr>
                <w:rFonts w:hint="eastAsia"/>
                <w:szCs w:val="21"/>
                <w:lang w:val="en-US" w:eastAsia="zh-CN"/>
              </w:rPr>
              <w:t>4</w:t>
            </w:r>
          </w:p>
        </w:tc>
        <w:tc>
          <w:tcPr>
            <w:tcW w:w="253" w:type="pct"/>
            <w:noWrap w:val="0"/>
            <w:vAlign w:val="center"/>
          </w:tcPr>
          <w:p w14:paraId="5A405DE2">
            <w:pPr>
              <w:spacing w:line="320" w:lineRule="exact"/>
              <w:jc w:val="center"/>
              <w:textAlignment w:val="center"/>
              <w:rPr>
                <w:rFonts w:hint="default" w:eastAsia="宋体"/>
                <w:szCs w:val="21"/>
                <w:lang w:val="en-US" w:eastAsia="zh-CN"/>
              </w:rPr>
            </w:pPr>
            <w:r>
              <w:rPr>
                <w:rFonts w:hint="eastAsia"/>
                <w:szCs w:val="21"/>
                <w:lang w:val="en-US" w:eastAsia="zh-CN"/>
              </w:rPr>
              <w:t>1.2</w:t>
            </w:r>
          </w:p>
        </w:tc>
        <w:tc>
          <w:tcPr>
            <w:tcW w:w="253" w:type="pct"/>
            <w:noWrap w:val="0"/>
            <w:vAlign w:val="center"/>
          </w:tcPr>
          <w:p w14:paraId="10C201C0">
            <w:pPr>
              <w:spacing w:line="320" w:lineRule="exact"/>
              <w:jc w:val="center"/>
              <w:textAlignment w:val="center"/>
              <w:rPr>
                <w:rFonts w:hint="default" w:eastAsia="宋体"/>
                <w:szCs w:val="21"/>
                <w:lang w:val="en-US" w:eastAsia="zh-CN"/>
              </w:rPr>
            </w:pPr>
            <w:r>
              <w:rPr>
                <w:rFonts w:hint="eastAsia"/>
                <w:szCs w:val="21"/>
                <w:lang w:val="en-US" w:eastAsia="zh-CN"/>
              </w:rPr>
              <w:t>8.64</w:t>
            </w:r>
          </w:p>
        </w:tc>
        <w:tc>
          <w:tcPr>
            <w:tcW w:w="292" w:type="pct"/>
            <w:noWrap w:val="0"/>
            <w:vAlign w:val="center"/>
          </w:tcPr>
          <w:p w14:paraId="2E9020D5">
            <w:pPr>
              <w:spacing w:line="320" w:lineRule="exact"/>
              <w:jc w:val="center"/>
              <w:textAlignment w:val="center"/>
              <w:rPr>
                <w:szCs w:val="21"/>
              </w:rPr>
            </w:pPr>
            <w:r>
              <w:rPr>
                <w:rFonts w:hint="eastAsia"/>
                <w:szCs w:val="21"/>
              </w:rPr>
              <w:t>10</w:t>
            </w:r>
          </w:p>
        </w:tc>
        <w:tc>
          <w:tcPr>
            <w:tcW w:w="227" w:type="pct"/>
            <w:noWrap w:val="0"/>
            <w:vAlign w:val="center"/>
          </w:tcPr>
          <w:p w14:paraId="70FE7954">
            <w:pPr>
              <w:spacing w:line="320" w:lineRule="exact"/>
              <w:jc w:val="center"/>
              <w:textAlignment w:val="center"/>
              <w:rPr>
                <w:szCs w:val="21"/>
              </w:rPr>
            </w:pPr>
            <w:r>
              <w:rPr>
                <w:rFonts w:hint="eastAsia"/>
                <w:szCs w:val="21"/>
              </w:rPr>
              <w:t>/</w:t>
            </w:r>
          </w:p>
        </w:tc>
      </w:tr>
      <w:tr w14:paraId="1C2A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6" w:type="pct"/>
            <w:vMerge w:val="continue"/>
            <w:noWrap w:val="0"/>
            <w:vAlign w:val="center"/>
          </w:tcPr>
          <w:p w14:paraId="76E34910">
            <w:pPr>
              <w:spacing w:line="320" w:lineRule="exact"/>
              <w:jc w:val="center"/>
              <w:textAlignment w:val="center"/>
              <w:rPr>
                <w:szCs w:val="21"/>
              </w:rPr>
            </w:pPr>
          </w:p>
        </w:tc>
        <w:tc>
          <w:tcPr>
            <w:tcW w:w="156" w:type="pct"/>
            <w:vMerge w:val="continue"/>
            <w:noWrap w:val="0"/>
            <w:vAlign w:val="center"/>
          </w:tcPr>
          <w:p w14:paraId="5F4A54B5">
            <w:pPr>
              <w:spacing w:line="320" w:lineRule="exact"/>
              <w:jc w:val="center"/>
              <w:textAlignment w:val="center"/>
              <w:rPr>
                <w:szCs w:val="21"/>
              </w:rPr>
            </w:pPr>
          </w:p>
        </w:tc>
        <w:tc>
          <w:tcPr>
            <w:tcW w:w="248" w:type="pct"/>
            <w:vMerge w:val="continue"/>
            <w:noWrap w:val="0"/>
            <w:vAlign w:val="center"/>
          </w:tcPr>
          <w:p w14:paraId="34E0C2EF">
            <w:pPr>
              <w:spacing w:line="320" w:lineRule="exact"/>
              <w:jc w:val="center"/>
              <w:rPr>
                <w:szCs w:val="21"/>
              </w:rPr>
            </w:pPr>
          </w:p>
        </w:tc>
        <w:tc>
          <w:tcPr>
            <w:tcW w:w="242" w:type="pct"/>
            <w:vMerge w:val="continue"/>
            <w:noWrap w:val="0"/>
            <w:vAlign w:val="center"/>
          </w:tcPr>
          <w:p w14:paraId="01706E7A">
            <w:pPr>
              <w:spacing w:line="320" w:lineRule="exact"/>
              <w:jc w:val="center"/>
              <w:textAlignment w:val="center"/>
              <w:rPr>
                <w:szCs w:val="21"/>
              </w:rPr>
            </w:pPr>
          </w:p>
        </w:tc>
        <w:tc>
          <w:tcPr>
            <w:tcW w:w="170" w:type="pct"/>
            <w:vMerge w:val="continue"/>
            <w:noWrap w:val="0"/>
            <w:vAlign w:val="center"/>
          </w:tcPr>
          <w:p w14:paraId="7898AB14">
            <w:pPr>
              <w:spacing w:line="320" w:lineRule="exact"/>
              <w:jc w:val="center"/>
              <w:textAlignment w:val="center"/>
              <w:rPr>
                <w:szCs w:val="21"/>
              </w:rPr>
            </w:pPr>
          </w:p>
        </w:tc>
        <w:tc>
          <w:tcPr>
            <w:tcW w:w="325" w:type="pct"/>
            <w:noWrap w:val="0"/>
            <w:vAlign w:val="center"/>
          </w:tcPr>
          <w:p w14:paraId="4D3AD87C">
            <w:pPr>
              <w:spacing w:line="320" w:lineRule="exact"/>
              <w:jc w:val="center"/>
              <w:textAlignment w:val="center"/>
              <w:rPr>
                <w:szCs w:val="21"/>
              </w:rPr>
            </w:pPr>
            <w:r>
              <w:rPr>
                <w:rFonts w:hint="eastAsia"/>
                <w:szCs w:val="21"/>
              </w:rPr>
              <w:t>SO</w:t>
            </w:r>
            <w:r>
              <w:rPr>
                <w:rFonts w:hint="eastAsia"/>
                <w:szCs w:val="21"/>
                <w:vertAlign w:val="subscript"/>
              </w:rPr>
              <w:t>2</w:t>
            </w:r>
          </w:p>
        </w:tc>
        <w:tc>
          <w:tcPr>
            <w:tcW w:w="264" w:type="pct"/>
            <w:noWrap w:val="0"/>
            <w:vAlign w:val="center"/>
          </w:tcPr>
          <w:p w14:paraId="7DD83DC5">
            <w:pPr>
              <w:spacing w:line="320" w:lineRule="exact"/>
              <w:jc w:val="center"/>
              <w:textAlignment w:val="center"/>
              <w:rPr>
                <w:rFonts w:hint="default" w:eastAsia="宋体"/>
                <w:szCs w:val="21"/>
                <w:lang w:val="en-US" w:eastAsia="zh-CN"/>
              </w:rPr>
            </w:pPr>
            <w:r>
              <w:rPr>
                <w:rFonts w:hint="eastAsia"/>
                <w:szCs w:val="21"/>
                <w:lang w:val="en-US" w:eastAsia="zh-CN"/>
              </w:rPr>
              <w:t>584.7</w:t>
            </w:r>
          </w:p>
        </w:tc>
        <w:tc>
          <w:tcPr>
            <w:tcW w:w="264" w:type="pct"/>
            <w:noWrap w:val="0"/>
            <w:vAlign w:val="center"/>
          </w:tcPr>
          <w:p w14:paraId="48B26920">
            <w:pPr>
              <w:spacing w:line="320" w:lineRule="exact"/>
              <w:jc w:val="center"/>
              <w:textAlignment w:val="center"/>
              <w:rPr>
                <w:rFonts w:hint="default" w:eastAsia="宋体"/>
                <w:szCs w:val="21"/>
                <w:lang w:val="en-US" w:eastAsia="zh-CN"/>
              </w:rPr>
            </w:pPr>
            <w:r>
              <w:rPr>
                <w:rFonts w:hint="eastAsia"/>
                <w:szCs w:val="21"/>
                <w:lang w:val="en-US" w:eastAsia="zh-CN"/>
              </w:rPr>
              <w:t>175.4</w:t>
            </w:r>
          </w:p>
        </w:tc>
        <w:tc>
          <w:tcPr>
            <w:tcW w:w="323" w:type="pct"/>
            <w:noWrap w:val="0"/>
            <w:vAlign w:val="center"/>
          </w:tcPr>
          <w:p w14:paraId="36594AD8">
            <w:pPr>
              <w:spacing w:line="320" w:lineRule="exact"/>
              <w:jc w:val="center"/>
              <w:textAlignment w:val="center"/>
              <w:rPr>
                <w:rFonts w:hint="default" w:eastAsia="宋体"/>
                <w:szCs w:val="21"/>
                <w:lang w:val="en-US" w:eastAsia="zh-CN"/>
              </w:rPr>
            </w:pPr>
            <w:r>
              <w:rPr>
                <w:rFonts w:hint="eastAsia"/>
                <w:szCs w:val="21"/>
                <w:lang w:val="en-US" w:eastAsia="zh-CN"/>
              </w:rPr>
              <w:t>1262.9</w:t>
            </w:r>
          </w:p>
        </w:tc>
        <w:tc>
          <w:tcPr>
            <w:tcW w:w="156" w:type="pct"/>
            <w:vMerge w:val="continue"/>
            <w:noWrap w:val="0"/>
            <w:vAlign w:val="center"/>
          </w:tcPr>
          <w:p w14:paraId="6E23E661">
            <w:pPr>
              <w:spacing w:line="320" w:lineRule="exact"/>
              <w:jc w:val="center"/>
              <w:rPr>
                <w:szCs w:val="21"/>
              </w:rPr>
            </w:pPr>
          </w:p>
        </w:tc>
        <w:tc>
          <w:tcPr>
            <w:tcW w:w="275" w:type="pct"/>
            <w:vMerge w:val="continue"/>
            <w:noWrap w:val="0"/>
            <w:vAlign w:val="center"/>
          </w:tcPr>
          <w:p w14:paraId="13683EA9">
            <w:pPr>
              <w:spacing w:line="320" w:lineRule="exact"/>
              <w:jc w:val="center"/>
              <w:textAlignment w:val="center"/>
              <w:rPr>
                <w:szCs w:val="21"/>
              </w:rPr>
            </w:pPr>
          </w:p>
        </w:tc>
        <w:tc>
          <w:tcPr>
            <w:tcW w:w="249" w:type="pct"/>
            <w:vMerge w:val="continue"/>
            <w:noWrap w:val="0"/>
            <w:vAlign w:val="center"/>
          </w:tcPr>
          <w:p w14:paraId="5AFB241D">
            <w:pPr>
              <w:spacing w:line="320" w:lineRule="exact"/>
              <w:jc w:val="center"/>
              <w:textAlignment w:val="center"/>
              <w:rPr>
                <w:szCs w:val="21"/>
              </w:rPr>
            </w:pPr>
          </w:p>
        </w:tc>
        <w:tc>
          <w:tcPr>
            <w:tcW w:w="326" w:type="pct"/>
            <w:vMerge w:val="continue"/>
            <w:noWrap w:val="0"/>
            <w:vAlign w:val="center"/>
          </w:tcPr>
          <w:p w14:paraId="28BC4B4A">
            <w:pPr>
              <w:spacing w:line="320" w:lineRule="exact"/>
              <w:jc w:val="center"/>
              <w:rPr>
                <w:szCs w:val="21"/>
              </w:rPr>
            </w:pPr>
          </w:p>
        </w:tc>
        <w:tc>
          <w:tcPr>
            <w:tcW w:w="264" w:type="pct"/>
            <w:noWrap w:val="0"/>
            <w:vAlign w:val="center"/>
          </w:tcPr>
          <w:p w14:paraId="0722243D">
            <w:pPr>
              <w:spacing w:line="320" w:lineRule="exact"/>
              <w:jc w:val="center"/>
              <w:textAlignment w:val="center"/>
              <w:rPr>
                <w:szCs w:val="21"/>
              </w:rPr>
            </w:pPr>
            <w:r>
              <w:rPr>
                <w:rFonts w:hint="eastAsia"/>
                <w:szCs w:val="21"/>
              </w:rPr>
              <w:t>95</w:t>
            </w:r>
          </w:p>
        </w:tc>
        <w:tc>
          <w:tcPr>
            <w:tcW w:w="256" w:type="pct"/>
            <w:vMerge w:val="continue"/>
            <w:noWrap w:val="0"/>
            <w:vAlign w:val="center"/>
          </w:tcPr>
          <w:p w14:paraId="70903481">
            <w:pPr>
              <w:spacing w:line="320" w:lineRule="exact"/>
              <w:jc w:val="center"/>
              <w:textAlignment w:val="center"/>
              <w:rPr>
                <w:szCs w:val="21"/>
              </w:rPr>
            </w:pPr>
          </w:p>
        </w:tc>
        <w:tc>
          <w:tcPr>
            <w:tcW w:w="290" w:type="pct"/>
            <w:noWrap w:val="0"/>
            <w:vAlign w:val="center"/>
          </w:tcPr>
          <w:p w14:paraId="501F3F64">
            <w:pPr>
              <w:spacing w:line="320" w:lineRule="exact"/>
              <w:jc w:val="center"/>
              <w:textAlignment w:val="center"/>
              <w:rPr>
                <w:rFonts w:hint="default" w:eastAsia="宋体"/>
                <w:szCs w:val="21"/>
                <w:lang w:val="en-US" w:eastAsia="zh-CN"/>
              </w:rPr>
            </w:pPr>
            <w:r>
              <w:rPr>
                <w:rFonts w:hint="eastAsia"/>
                <w:szCs w:val="21"/>
                <w:lang w:val="en-US" w:eastAsia="zh-CN"/>
              </w:rPr>
              <w:t>29.2</w:t>
            </w:r>
          </w:p>
        </w:tc>
        <w:tc>
          <w:tcPr>
            <w:tcW w:w="253" w:type="pct"/>
            <w:noWrap w:val="0"/>
            <w:vAlign w:val="center"/>
          </w:tcPr>
          <w:p w14:paraId="2BA7256D">
            <w:pPr>
              <w:spacing w:line="320" w:lineRule="exact"/>
              <w:jc w:val="center"/>
              <w:textAlignment w:val="center"/>
              <w:rPr>
                <w:rFonts w:hint="default" w:eastAsia="宋体"/>
                <w:szCs w:val="21"/>
                <w:lang w:val="en-US" w:eastAsia="zh-CN"/>
              </w:rPr>
            </w:pPr>
            <w:r>
              <w:rPr>
                <w:rFonts w:hint="eastAsia"/>
                <w:szCs w:val="21"/>
                <w:lang w:val="en-US" w:eastAsia="zh-CN"/>
              </w:rPr>
              <w:t>8.77</w:t>
            </w:r>
          </w:p>
        </w:tc>
        <w:tc>
          <w:tcPr>
            <w:tcW w:w="253" w:type="pct"/>
            <w:noWrap w:val="0"/>
            <w:vAlign w:val="center"/>
          </w:tcPr>
          <w:p w14:paraId="1FE054A4">
            <w:pPr>
              <w:spacing w:line="320" w:lineRule="exact"/>
              <w:jc w:val="center"/>
              <w:textAlignment w:val="center"/>
              <w:rPr>
                <w:rFonts w:hint="default" w:eastAsia="宋体"/>
                <w:szCs w:val="21"/>
                <w:lang w:val="en-US" w:eastAsia="zh-CN"/>
              </w:rPr>
            </w:pPr>
            <w:r>
              <w:rPr>
                <w:rFonts w:hint="eastAsia"/>
                <w:szCs w:val="21"/>
                <w:lang w:val="en-US" w:eastAsia="zh-CN"/>
              </w:rPr>
              <w:t>63.1</w:t>
            </w:r>
          </w:p>
        </w:tc>
        <w:tc>
          <w:tcPr>
            <w:tcW w:w="292" w:type="pct"/>
            <w:noWrap w:val="0"/>
            <w:vAlign w:val="center"/>
          </w:tcPr>
          <w:p w14:paraId="676B0E4F">
            <w:pPr>
              <w:spacing w:line="320" w:lineRule="exact"/>
              <w:jc w:val="center"/>
              <w:textAlignment w:val="center"/>
              <w:rPr>
                <w:szCs w:val="21"/>
              </w:rPr>
            </w:pPr>
            <w:r>
              <w:rPr>
                <w:rFonts w:hint="eastAsia"/>
                <w:szCs w:val="21"/>
              </w:rPr>
              <w:t>50</w:t>
            </w:r>
          </w:p>
        </w:tc>
        <w:tc>
          <w:tcPr>
            <w:tcW w:w="227" w:type="pct"/>
            <w:noWrap w:val="0"/>
            <w:vAlign w:val="center"/>
          </w:tcPr>
          <w:p w14:paraId="4C6C0C58">
            <w:pPr>
              <w:spacing w:line="320" w:lineRule="exact"/>
              <w:jc w:val="center"/>
              <w:textAlignment w:val="center"/>
              <w:rPr>
                <w:szCs w:val="21"/>
              </w:rPr>
            </w:pPr>
            <w:r>
              <w:rPr>
                <w:rFonts w:hint="eastAsia"/>
                <w:szCs w:val="21"/>
              </w:rPr>
              <w:t>/</w:t>
            </w:r>
          </w:p>
        </w:tc>
      </w:tr>
      <w:tr w14:paraId="0066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6" w:type="pct"/>
            <w:vMerge w:val="continue"/>
            <w:noWrap w:val="0"/>
            <w:vAlign w:val="center"/>
          </w:tcPr>
          <w:p w14:paraId="4A6FF607">
            <w:pPr>
              <w:spacing w:line="320" w:lineRule="exact"/>
              <w:jc w:val="center"/>
              <w:textAlignment w:val="center"/>
              <w:rPr>
                <w:szCs w:val="21"/>
              </w:rPr>
            </w:pPr>
          </w:p>
        </w:tc>
        <w:tc>
          <w:tcPr>
            <w:tcW w:w="156" w:type="pct"/>
            <w:vMerge w:val="continue"/>
            <w:noWrap w:val="0"/>
            <w:vAlign w:val="center"/>
          </w:tcPr>
          <w:p w14:paraId="56518EF1">
            <w:pPr>
              <w:spacing w:line="320" w:lineRule="exact"/>
              <w:jc w:val="center"/>
              <w:textAlignment w:val="center"/>
              <w:rPr>
                <w:szCs w:val="21"/>
              </w:rPr>
            </w:pPr>
          </w:p>
        </w:tc>
        <w:tc>
          <w:tcPr>
            <w:tcW w:w="248" w:type="pct"/>
            <w:vMerge w:val="continue"/>
            <w:noWrap w:val="0"/>
            <w:vAlign w:val="center"/>
          </w:tcPr>
          <w:p w14:paraId="0F278205">
            <w:pPr>
              <w:spacing w:line="320" w:lineRule="exact"/>
              <w:jc w:val="center"/>
              <w:rPr>
                <w:szCs w:val="21"/>
              </w:rPr>
            </w:pPr>
          </w:p>
        </w:tc>
        <w:tc>
          <w:tcPr>
            <w:tcW w:w="242" w:type="pct"/>
            <w:vMerge w:val="continue"/>
            <w:noWrap w:val="0"/>
            <w:vAlign w:val="center"/>
          </w:tcPr>
          <w:p w14:paraId="5B2BAE6A">
            <w:pPr>
              <w:spacing w:line="320" w:lineRule="exact"/>
              <w:jc w:val="center"/>
              <w:textAlignment w:val="center"/>
              <w:rPr>
                <w:szCs w:val="21"/>
              </w:rPr>
            </w:pPr>
          </w:p>
        </w:tc>
        <w:tc>
          <w:tcPr>
            <w:tcW w:w="170" w:type="pct"/>
            <w:vMerge w:val="continue"/>
            <w:noWrap w:val="0"/>
            <w:vAlign w:val="center"/>
          </w:tcPr>
          <w:p w14:paraId="0CA85753">
            <w:pPr>
              <w:spacing w:line="320" w:lineRule="exact"/>
              <w:jc w:val="center"/>
              <w:textAlignment w:val="center"/>
              <w:rPr>
                <w:szCs w:val="21"/>
              </w:rPr>
            </w:pPr>
          </w:p>
        </w:tc>
        <w:tc>
          <w:tcPr>
            <w:tcW w:w="325" w:type="pct"/>
            <w:noWrap w:val="0"/>
            <w:vAlign w:val="center"/>
          </w:tcPr>
          <w:p w14:paraId="27452C33">
            <w:pPr>
              <w:spacing w:line="320" w:lineRule="exact"/>
              <w:jc w:val="center"/>
              <w:textAlignment w:val="center"/>
              <w:rPr>
                <w:szCs w:val="21"/>
              </w:rPr>
            </w:pPr>
            <w:r>
              <w:rPr>
                <w:rFonts w:hint="eastAsia"/>
                <w:szCs w:val="21"/>
              </w:rPr>
              <w:t>NOx</w:t>
            </w:r>
          </w:p>
        </w:tc>
        <w:tc>
          <w:tcPr>
            <w:tcW w:w="264" w:type="pct"/>
            <w:noWrap w:val="0"/>
            <w:vAlign w:val="center"/>
          </w:tcPr>
          <w:p w14:paraId="6FAC11AB">
            <w:pPr>
              <w:spacing w:line="320" w:lineRule="exact"/>
              <w:jc w:val="center"/>
              <w:textAlignment w:val="center"/>
              <w:rPr>
                <w:rFonts w:hint="default" w:eastAsia="宋体"/>
                <w:szCs w:val="21"/>
                <w:lang w:val="en-US" w:eastAsia="zh-CN"/>
              </w:rPr>
            </w:pPr>
            <w:r>
              <w:rPr>
                <w:rFonts w:hint="eastAsia"/>
                <w:szCs w:val="21"/>
                <w:lang w:val="en-US" w:eastAsia="zh-CN"/>
              </w:rPr>
              <w:t>34.8</w:t>
            </w:r>
          </w:p>
        </w:tc>
        <w:tc>
          <w:tcPr>
            <w:tcW w:w="264" w:type="pct"/>
            <w:noWrap w:val="0"/>
            <w:vAlign w:val="center"/>
          </w:tcPr>
          <w:p w14:paraId="3CADFBB5">
            <w:pPr>
              <w:spacing w:line="320" w:lineRule="exact"/>
              <w:jc w:val="center"/>
              <w:textAlignment w:val="center"/>
              <w:rPr>
                <w:rFonts w:hint="default" w:eastAsia="宋体"/>
                <w:szCs w:val="21"/>
                <w:lang w:val="en-US" w:eastAsia="zh-CN"/>
              </w:rPr>
            </w:pPr>
            <w:r>
              <w:rPr>
                <w:rFonts w:hint="eastAsia"/>
                <w:szCs w:val="21"/>
                <w:lang w:val="en-US" w:eastAsia="zh-CN"/>
              </w:rPr>
              <w:t>10.44</w:t>
            </w:r>
          </w:p>
        </w:tc>
        <w:tc>
          <w:tcPr>
            <w:tcW w:w="323" w:type="pct"/>
            <w:noWrap w:val="0"/>
            <w:vAlign w:val="center"/>
          </w:tcPr>
          <w:p w14:paraId="40F4BDBF">
            <w:pPr>
              <w:spacing w:line="320" w:lineRule="exact"/>
              <w:jc w:val="center"/>
              <w:textAlignment w:val="center"/>
              <w:rPr>
                <w:rFonts w:hint="default" w:eastAsia="宋体"/>
                <w:szCs w:val="21"/>
                <w:lang w:val="en-US" w:eastAsia="zh-CN"/>
              </w:rPr>
            </w:pPr>
            <w:r>
              <w:rPr>
                <w:rFonts w:hint="eastAsia"/>
                <w:szCs w:val="21"/>
                <w:lang w:val="en-US" w:eastAsia="zh-CN"/>
              </w:rPr>
              <w:t>75.2</w:t>
            </w:r>
          </w:p>
        </w:tc>
        <w:tc>
          <w:tcPr>
            <w:tcW w:w="156" w:type="pct"/>
            <w:vMerge w:val="continue"/>
            <w:noWrap w:val="0"/>
            <w:vAlign w:val="center"/>
          </w:tcPr>
          <w:p w14:paraId="43377FC6">
            <w:pPr>
              <w:spacing w:line="320" w:lineRule="exact"/>
              <w:jc w:val="center"/>
              <w:rPr>
                <w:szCs w:val="21"/>
              </w:rPr>
            </w:pPr>
          </w:p>
        </w:tc>
        <w:tc>
          <w:tcPr>
            <w:tcW w:w="275" w:type="pct"/>
            <w:vMerge w:val="continue"/>
            <w:noWrap w:val="0"/>
            <w:vAlign w:val="center"/>
          </w:tcPr>
          <w:p w14:paraId="281EA45C">
            <w:pPr>
              <w:spacing w:line="320" w:lineRule="exact"/>
              <w:jc w:val="center"/>
              <w:textAlignment w:val="center"/>
              <w:rPr>
                <w:szCs w:val="21"/>
              </w:rPr>
            </w:pPr>
          </w:p>
        </w:tc>
        <w:tc>
          <w:tcPr>
            <w:tcW w:w="249" w:type="pct"/>
            <w:vMerge w:val="continue"/>
            <w:noWrap w:val="0"/>
            <w:vAlign w:val="center"/>
          </w:tcPr>
          <w:p w14:paraId="2CD7E062">
            <w:pPr>
              <w:spacing w:line="320" w:lineRule="exact"/>
              <w:jc w:val="center"/>
              <w:textAlignment w:val="center"/>
              <w:rPr>
                <w:szCs w:val="21"/>
              </w:rPr>
            </w:pPr>
          </w:p>
        </w:tc>
        <w:tc>
          <w:tcPr>
            <w:tcW w:w="326" w:type="pct"/>
            <w:vMerge w:val="continue"/>
            <w:noWrap w:val="0"/>
            <w:vAlign w:val="center"/>
          </w:tcPr>
          <w:p w14:paraId="773126B8">
            <w:pPr>
              <w:spacing w:line="320" w:lineRule="exact"/>
              <w:jc w:val="center"/>
              <w:rPr>
                <w:szCs w:val="21"/>
              </w:rPr>
            </w:pPr>
          </w:p>
        </w:tc>
        <w:tc>
          <w:tcPr>
            <w:tcW w:w="264" w:type="pct"/>
            <w:noWrap w:val="0"/>
            <w:vAlign w:val="center"/>
          </w:tcPr>
          <w:p w14:paraId="636061C1">
            <w:pPr>
              <w:spacing w:line="320" w:lineRule="exact"/>
              <w:jc w:val="center"/>
              <w:textAlignment w:val="center"/>
              <w:rPr>
                <w:rFonts w:hint="default" w:eastAsia="宋体"/>
                <w:szCs w:val="21"/>
                <w:lang w:val="en-US" w:eastAsia="zh-CN"/>
              </w:rPr>
            </w:pPr>
            <w:r>
              <w:rPr>
                <w:rFonts w:hint="eastAsia"/>
                <w:szCs w:val="21"/>
                <w:lang w:val="en-US" w:eastAsia="zh-CN"/>
              </w:rPr>
              <w:t>50</w:t>
            </w:r>
          </w:p>
        </w:tc>
        <w:tc>
          <w:tcPr>
            <w:tcW w:w="256" w:type="pct"/>
            <w:vMerge w:val="continue"/>
            <w:noWrap w:val="0"/>
            <w:vAlign w:val="center"/>
          </w:tcPr>
          <w:p w14:paraId="6626F966">
            <w:pPr>
              <w:spacing w:line="320" w:lineRule="exact"/>
              <w:jc w:val="center"/>
              <w:textAlignment w:val="center"/>
              <w:rPr>
                <w:szCs w:val="21"/>
              </w:rPr>
            </w:pPr>
          </w:p>
        </w:tc>
        <w:tc>
          <w:tcPr>
            <w:tcW w:w="290" w:type="pct"/>
            <w:noWrap w:val="0"/>
            <w:vAlign w:val="center"/>
          </w:tcPr>
          <w:p w14:paraId="1191AAE7">
            <w:pPr>
              <w:spacing w:line="320" w:lineRule="exact"/>
              <w:jc w:val="center"/>
              <w:textAlignment w:val="center"/>
              <w:rPr>
                <w:rFonts w:hint="default"/>
                <w:szCs w:val="21"/>
                <w:lang w:val="en-US"/>
              </w:rPr>
            </w:pPr>
            <w:r>
              <w:rPr>
                <w:rFonts w:hint="eastAsia"/>
                <w:szCs w:val="21"/>
                <w:lang w:val="en-US" w:eastAsia="zh-CN"/>
              </w:rPr>
              <w:t>17.4</w:t>
            </w:r>
          </w:p>
        </w:tc>
        <w:tc>
          <w:tcPr>
            <w:tcW w:w="253" w:type="pct"/>
            <w:noWrap w:val="0"/>
            <w:vAlign w:val="center"/>
          </w:tcPr>
          <w:p w14:paraId="02E480FE">
            <w:pPr>
              <w:spacing w:line="320" w:lineRule="exact"/>
              <w:jc w:val="center"/>
              <w:textAlignment w:val="center"/>
              <w:rPr>
                <w:rFonts w:hint="default"/>
                <w:szCs w:val="21"/>
                <w:lang w:val="en-US"/>
              </w:rPr>
            </w:pPr>
            <w:r>
              <w:rPr>
                <w:rFonts w:hint="eastAsia"/>
                <w:szCs w:val="21"/>
                <w:lang w:val="en-US" w:eastAsia="zh-CN"/>
              </w:rPr>
              <w:t>5.22</w:t>
            </w:r>
          </w:p>
        </w:tc>
        <w:tc>
          <w:tcPr>
            <w:tcW w:w="253" w:type="pct"/>
            <w:noWrap w:val="0"/>
            <w:vAlign w:val="center"/>
          </w:tcPr>
          <w:p w14:paraId="21C44E5C">
            <w:pPr>
              <w:spacing w:line="320" w:lineRule="exact"/>
              <w:jc w:val="center"/>
              <w:textAlignment w:val="center"/>
              <w:rPr>
                <w:rFonts w:hint="default"/>
                <w:szCs w:val="21"/>
                <w:lang w:val="en-US"/>
              </w:rPr>
            </w:pPr>
            <w:r>
              <w:rPr>
                <w:rFonts w:hint="eastAsia"/>
                <w:szCs w:val="21"/>
                <w:lang w:val="en-US" w:eastAsia="zh-CN"/>
              </w:rPr>
              <w:t>37.6</w:t>
            </w:r>
          </w:p>
        </w:tc>
        <w:tc>
          <w:tcPr>
            <w:tcW w:w="292" w:type="pct"/>
            <w:noWrap w:val="0"/>
            <w:vAlign w:val="center"/>
          </w:tcPr>
          <w:p w14:paraId="3ED676A2">
            <w:pPr>
              <w:spacing w:line="320" w:lineRule="exact"/>
              <w:jc w:val="center"/>
              <w:textAlignment w:val="center"/>
              <w:rPr>
                <w:szCs w:val="21"/>
              </w:rPr>
            </w:pPr>
            <w:r>
              <w:rPr>
                <w:rFonts w:hint="eastAsia"/>
                <w:szCs w:val="21"/>
              </w:rPr>
              <w:t>100</w:t>
            </w:r>
          </w:p>
        </w:tc>
        <w:tc>
          <w:tcPr>
            <w:tcW w:w="227" w:type="pct"/>
            <w:noWrap w:val="0"/>
            <w:vAlign w:val="center"/>
          </w:tcPr>
          <w:p w14:paraId="2059BA1A">
            <w:pPr>
              <w:spacing w:line="320" w:lineRule="exact"/>
              <w:jc w:val="center"/>
              <w:textAlignment w:val="center"/>
              <w:rPr>
                <w:szCs w:val="21"/>
              </w:rPr>
            </w:pPr>
            <w:r>
              <w:rPr>
                <w:rFonts w:hint="eastAsia"/>
                <w:szCs w:val="21"/>
              </w:rPr>
              <w:t>/</w:t>
            </w:r>
          </w:p>
        </w:tc>
      </w:tr>
      <w:tr w14:paraId="5DDF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continue"/>
            <w:noWrap w:val="0"/>
            <w:vAlign w:val="center"/>
          </w:tcPr>
          <w:p w14:paraId="603952E9">
            <w:pPr>
              <w:spacing w:line="320" w:lineRule="exact"/>
              <w:jc w:val="center"/>
              <w:textAlignment w:val="center"/>
              <w:rPr>
                <w:szCs w:val="21"/>
              </w:rPr>
            </w:pPr>
          </w:p>
        </w:tc>
        <w:tc>
          <w:tcPr>
            <w:tcW w:w="156" w:type="pct"/>
            <w:vMerge w:val="continue"/>
            <w:noWrap w:val="0"/>
            <w:vAlign w:val="center"/>
          </w:tcPr>
          <w:p w14:paraId="1B146576">
            <w:pPr>
              <w:spacing w:line="320" w:lineRule="exact"/>
              <w:jc w:val="center"/>
              <w:textAlignment w:val="center"/>
              <w:rPr>
                <w:szCs w:val="21"/>
              </w:rPr>
            </w:pPr>
          </w:p>
        </w:tc>
        <w:tc>
          <w:tcPr>
            <w:tcW w:w="248" w:type="pct"/>
            <w:vMerge w:val="continue"/>
            <w:noWrap w:val="0"/>
            <w:vAlign w:val="center"/>
          </w:tcPr>
          <w:p w14:paraId="0277E1F9">
            <w:pPr>
              <w:spacing w:line="320" w:lineRule="exact"/>
              <w:jc w:val="center"/>
              <w:rPr>
                <w:szCs w:val="21"/>
              </w:rPr>
            </w:pPr>
          </w:p>
        </w:tc>
        <w:tc>
          <w:tcPr>
            <w:tcW w:w="242" w:type="pct"/>
            <w:vMerge w:val="continue"/>
            <w:noWrap w:val="0"/>
            <w:vAlign w:val="center"/>
          </w:tcPr>
          <w:p w14:paraId="69FCD14A">
            <w:pPr>
              <w:spacing w:line="320" w:lineRule="exact"/>
              <w:jc w:val="center"/>
              <w:textAlignment w:val="center"/>
              <w:rPr>
                <w:szCs w:val="21"/>
              </w:rPr>
            </w:pPr>
          </w:p>
        </w:tc>
        <w:tc>
          <w:tcPr>
            <w:tcW w:w="170" w:type="pct"/>
            <w:vMerge w:val="continue"/>
            <w:noWrap w:val="0"/>
            <w:vAlign w:val="center"/>
          </w:tcPr>
          <w:p w14:paraId="26515DFE">
            <w:pPr>
              <w:spacing w:line="320" w:lineRule="exact"/>
              <w:jc w:val="center"/>
              <w:textAlignment w:val="center"/>
              <w:rPr>
                <w:szCs w:val="21"/>
              </w:rPr>
            </w:pPr>
          </w:p>
        </w:tc>
        <w:tc>
          <w:tcPr>
            <w:tcW w:w="325" w:type="pct"/>
            <w:noWrap w:val="0"/>
            <w:vAlign w:val="center"/>
          </w:tcPr>
          <w:p w14:paraId="79F0DFA0">
            <w:pPr>
              <w:spacing w:line="320" w:lineRule="exact"/>
              <w:jc w:val="center"/>
              <w:textAlignment w:val="center"/>
              <w:rPr>
                <w:szCs w:val="21"/>
              </w:rPr>
            </w:pPr>
            <w:r>
              <w:rPr>
                <w:szCs w:val="21"/>
              </w:rPr>
              <w:t>氟化物</w:t>
            </w:r>
          </w:p>
        </w:tc>
        <w:tc>
          <w:tcPr>
            <w:tcW w:w="264" w:type="pct"/>
            <w:noWrap w:val="0"/>
            <w:vAlign w:val="center"/>
          </w:tcPr>
          <w:p w14:paraId="202169F2">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1.7</w:t>
            </w:r>
          </w:p>
        </w:tc>
        <w:tc>
          <w:tcPr>
            <w:tcW w:w="264" w:type="pct"/>
            <w:noWrap w:val="0"/>
            <w:vAlign w:val="center"/>
          </w:tcPr>
          <w:p w14:paraId="2ED5866A">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0.52</w:t>
            </w:r>
          </w:p>
        </w:tc>
        <w:tc>
          <w:tcPr>
            <w:tcW w:w="323" w:type="pct"/>
            <w:noWrap w:val="0"/>
            <w:vAlign w:val="center"/>
          </w:tcPr>
          <w:p w14:paraId="0987D3AA">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3.7</w:t>
            </w:r>
          </w:p>
        </w:tc>
        <w:tc>
          <w:tcPr>
            <w:tcW w:w="156" w:type="pct"/>
            <w:vMerge w:val="continue"/>
            <w:noWrap w:val="0"/>
            <w:vAlign w:val="center"/>
          </w:tcPr>
          <w:p w14:paraId="217D086A">
            <w:pPr>
              <w:spacing w:line="320" w:lineRule="exact"/>
              <w:jc w:val="center"/>
              <w:rPr>
                <w:color w:val="000000"/>
                <w:szCs w:val="21"/>
              </w:rPr>
            </w:pPr>
          </w:p>
        </w:tc>
        <w:tc>
          <w:tcPr>
            <w:tcW w:w="275" w:type="pct"/>
            <w:vMerge w:val="continue"/>
            <w:noWrap w:val="0"/>
            <w:vAlign w:val="center"/>
          </w:tcPr>
          <w:p w14:paraId="7C17ECB3">
            <w:pPr>
              <w:spacing w:line="320" w:lineRule="exact"/>
              <w:jc w:val="center"/>
              <w:textAlignment w:val="center"/>
              <w:rPr>
                <w:color w:val="000000"/>
                <w:szCs w:val="21"/>
              </w:rPr>
            </w:pPr>
          </w:p>
        </w:tc>
        <w:tc>
          <w:tcPr>
            <w:tcW w:w="249" w:type="pct"/>
            <w:vMerge w:val="continue"/>
            <w:noWrap w:val="0"/>
            <w:vAlign w:val="center"/>
          </w:tcPr>
          <w:p w14:paraId="3B3738B3">
            <w:pPr>
              <w:spacing w:line="320" w:lineRule="exact"/>
              <w:jc w:val="center"/>
              <w:textAlignment w:val="center"/>
              <w:rPr>
                <w:color w:val="000000"/>
                <w:szCs w:val="21"/>
              </w:rPr>
            </w:pPr>
          </w:p>
        </w:tc>
        <w:tc>
          <w:tcPr>
            <w:tcW w:w="326" w:type="pct"/>
            <w:vMerge w:val="continue"/>
            <w:noWrap w:val="0"/>
            <w:vAlign w:val="center"/>
          </w:tcPr>
          <w:p w14:paraId="74744403">
            <w:pPr>
              <w:spacing w:line="320" w:lineRule="exact"/>
              <w:jc w:val="center"/>
              <w:rPr>
                <w:color w:val="000000"/>
                <w:szCs w:val="21"/>
              </w:rPr>
            </w:pPr>
          </w:p>
        </w:tc>
        <w:tc>
          <w:tcPr>
            <w:tcW w:w="264" w:type="pct"/>
            <w:noWrap w:val="0"/>
            <w:vAlign w:val="center"/>
          </w:tcPr>
          <w:p w14:paraId="1AF4EE63">
            <w:pPr>
              <w:spacing w:line="320" w:lineRule="exact"/>
              <w:jc w:val="center"/>
              <w:textAlignment w:val="center"/>
              <w:rPr>
                <w:color w:val="000000"/>
                <w:szCs w:val="21"/>
              </w:rPr>
            </w:pPr>
            <w:r>
              <w:rPr>
                <w:rFonts w:hint="eastAsia"/>
                <w:color w:val="000000"/>
                <w:szCs w:val="21"/>
              </w:rPr>
              <w:t>40</w:t>
            </w:r>
          </w:p>
        </w:tc>
        <w:tc>
          <w:tcPr>
            <w:tcW w:w="256" w:type="pct"/>
            <w:vMerge w:val="continue"/>
            <w:noWrap w:val="0"/>
            <w:vAlign w:val="center"/>
          </w:tcPr>
          <w:p w14:paraId="65E32EC0">
            <w:pPr>
              <w:spacing w:line="320" w:lineRule="exact"/>
              <w:jc w:val="center"/>
              <w:textAlignment w:val="center"/>
              <w:rPr>
                <w:color w:val="000000"/>
                <w:szCs w:val="21"/>
              </w:rPr>
            </w:pPr>
          </w:p>
        </w:tc>
        <w:tc>
          <w:tcPr>
            <w:tcW w:w="290" w:type="pct"/>
            <w:noWrap w:val="0"/>
            <w:vAlign w:val="center"/>
          </w:tcPr>
          <w:p w14:paraId="137B27CA">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1.1</w:t>
            </w:r>
          </w:p>
        </w:tc>
        <w:tc>
          <w:tcPr>
            <w:tcW w:w="253" w:type="pct"/>
            <w:noWrap w:val="0"/>
            <w:vAlign w:val="center"/>
          </w:tcPr>
          <w:p w14:paraId="263EF10D">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0.31</w:t>
            </w:r>
          </w:p>
        </w:tc>
        <w:tc>
          <w:tcPr>
            <w:tcW w:w="253" w:type="pct"/>
            <w:noWrap w:val="0"/>
            <w:vAlign w:val="center"/>
          </w:tcPr>
          <w:p w14:paraId="4385BEEC">
            <w:pPr>
              <w:spacing w:line="320" w:lineRule="exact"/>
              <w:jc w:val="center"/>
              <w:textAlignment w:val="center"/>
              <w:rPr>
                <w:rFonts w:hint="default" w:eastAsia="宋体"/>
                <w:color w:val="000000"/>
                <w:szCs w:val="21"/>
                <w:lang w:val="en-US" w:eastAsia="zh-CN"/>
              </w:rPr>
            </w:pPr>
            <w:r>
              <w:rPr>
                <w:rFonts w:hint="eastAsia"/>
                <w:color w:val="000000"/>
                <w:szCs w:val="21"/>
                <w:lang w:val="en-US" w:eastAsia="zh-CN"/>
              </w:rPr>
              <w:t>2.2</w:t>
            </w:r>
          </w:p>
        </w:tc>
        <w:tc>
          <w:tcPr>
            <w:tcW w:w="292" w:type="pct"/>
            <w:noWrap w:val="0"/>
            <w:vAlign w:val="center"/>
          </w:tcPr>
          <w:p w14:paraId="567C3CD2">
            <w:pPr>
              <w:spacing w:line="320" w:lineRule="exact"/>
              <w:jc w:val="center"/>
              <w:textAlignment w:val="center"/>
              <w:rPr>
                <w:szCs w:val="21"/>
              </w:rPr>
            </w:pPr>
            <w:r>
              <w:rPr>
                <w:rFonts w:hint="eastAsia"/>
                <w:szCs w:val="21"/>
              </w:rPr>
              <w:t>3</w:t>
            </w:r>
          </w:p>
        </w:tc>
        <w:tc>
          <w:tcPr>
            <w:tcW w:w="227" w:type="pct"/>
            <w:noWrap w:val="0"/>
            <w:vAlign w:val="center"/>
          </w:tcPr>
          <w:p w14:paraId="4216F005">
            <w:pPr>
              <w:spacing w:line="320" w:lineRule="exact"/>
              <w:jc w:val="center"/>
              <w:textAlignment w:val="center"/>
              <w:rPr>
                <w:szCs w:val="21"/>
              </w:rPr>
            </w:pPr>
            <w:r>
              <w:rPr>
                <w:rFonts w:hint="eastAsia"/>
                <w:szCs w:val="21"/>
              </w:rPr>
              <w:t>/</w:t>
            </w:r>
          </w:p>
        </w:tc>
      </w:tr>
      <w:tr w14:paraId="3016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 w:type="pct"/>
            <w:vMerge w:val="continue"/>
            <w:noWrap w:val="0"/>
            <w:vAlign w:val="center"/>
          </w:tcPr>
          <w:p w14:paraId="48D238B8">
            <w:pPr>
              <w:spacing w:line="320" w:lineRule="exact"/>
              <w:jc w:val="center"/>
              <w:textAlignment w:val="center"/>
              <w:rPr>
                <w:szCs w:val="21"/>
              </w:rPr>
            </w:pPr>
          </w:p>
        </w:tc>
        <w:tc>
          <w:tcPr>
            <w:tcW w:w="156" w:type="pct"/>
            <w:vMerge w:val="continue"/>
            <w:noWrap w:val="0"/>
            <w:vAlign w:val="center"/>
          </w:tcPr>
          <w:p w14:paraId="6492A069">
            <w:pPr>
              <w:spacing w:line="320" w:lineRule="exact"/>
              <w:jc w:val="center"/>
              <w:textAlignment w:val="center"/>
              <w:rPr>
                <w:szCs w:val="21"/>
              </w:rPr>
            </w:pPr>
          </w:p>
        </w:tc>
        <w:tc>
          <w:tcPr>
            <w:tcW w:w="248" w:type="pct"/>
            <w:vMerge w:val="continue"/>
            <w:noWrap w:val="0"/>
            <w:vAlign w:val="center"/>
          </w:tcPr>
          <w:p w14:paraId="11DC5D80">
            <w:pPr>
              <w:spacing w:line="320" w:lineRule="exact"/>
              <w:jc w:val="center"/>
              <w:rPr>
                <w:szCs w:val="21"/>
              </w:rPr>
            </w:pPr>
          </w:p>
        </w:tc>
        <w:tc>
          <w:tcPr>
            <w:tcW w:w="242" w:type="pct"/>
            <w:vMerge w:val="continue"/>
            <w:noWrap w:val="0"/>
            <w:vAlign w:val="center"/>
          </w:tcPr>
          <w:p w14:paraId="45819D38">
            <w:pPr>
              <w:spacing w:line="320" w:lineRule="exact"/>
              <w:jc w:val="center"/>
              <w:textAlignment w:val="center"/>
              <w:rPr>
                <w:szCs w:val="21"/>
              </w:rPr>
            </w:pPr>
          </w:p>
        </w:tc>
        <w:tc>
          <w:tcPr>
            <w:tcW w:w="170" w:type="pct"/>
            <w:vMerge w:val="continue"/>
            <w:noWrap w:val="0"/>
            <w:vAlign w:val="center"/>
          </w:tcPr>
          <w:p w14:paraId="32513188">
            <w:pPr>
              <w:spacing w:line="320" w:lineRule="exact"/>
              <w:jc w:val="center"/>
              <w:textAlignment w:val="center"/>
              <w:rPr>
                <w:szCs w:val="21"/>
              </w:rPr>
            </w:pPr>
          </w:p>
        </w:tc>
        <w:tc>
          <w:tcPr>
            <w:tcW w:w="325" w:type="pct"/>
            <w:noWrap w:val="0"/>
            <w:vAlign w:val="center"/>
          </w:tcPr>
          <w:p w14:paraId="5DB4BBD7">
            <w:pPr>
              <w:spacing w:line="320" w:lineRule="exact"/>
              <w:jc w:val="center"/>
              <w:textAlignment w:val="center"/>
              <w:rPr>
                <w:rFonts w:hint="eastAsia" w:eastAsia="宋体"/>
                <w:szCs w:val="21"/>
                <w:lang w:val="en-US" w:eastAsia="zh-CN"/>
              </w:rPr>
            </w:pPr>
            <w:r>
              <w:rPr>
                <w:rFonts w:hint="eastAsia"/>
                <w:szCs w:val="21"/>
                <w:lang w:val="en-US" w:eastAsia="zh-CN"/>
              </w:rPr>
              <w:t>氨</w:t>
            </w:r>
          </w:p>
        </w:tc>
        <w:tc>
          <w:tcPr>
            <w:tcW w:w="264" w:type="pct"/>
            <w:noWrap w:val="0"/>
            <w:vAlign w:val="center"/>
          </w:tcPr>
          <w:p w14:paraId="4F7BE610">
            <w:pPr>
              <w:spacing w:line="320" w:lineRule="exact"/>
              <w:jc w:val="center"/>
              <w:textAlignment w:val="center"/>
              <w:rPr>
                <w:rFonts w:hint="default"/>
                <w:color w:val="000000"/>
                <w:szCs w:val="21"/>
                <w:lang w:val="en-US" w:eastAsia="zh-CN"/>
              </w:rPr>
            </w:pPr>
            <w:r>
              <w:rPr>
                <w:rFonts w:hint="eastAsia"/>
                <w:color w:val="000000"/>
                <w:szCs w:val="21"/>
                <w:lang w:val="en-US" w:eastAsia="zh-CN"/>
              </w:rPr>
              <w:t>3</w:t>
            </w:r>
          </w:p>
        </w:tc>
        <w:tc>
          <w:tcPr>
            <w:tcW w:w="264" w:type="pct"/>
            <w:noWrap w:val="0"/>
            <w:vAlign w:val="center"/>
          </w:tcPr>
          <w:p w14:paraId="4C0A009D">
            <w:pPr>
              <w:spacing w:line="320" w:lineRule="exact"/>
              <w:jc w:val="center"/>
              <w:textAlignment w:val="center"/>
              <w:rPr>
                <w:rFonts w:hint="default"/>
                <w:color w:val="000000"/>
                <w:szCs w:val="21"/>
                <w:lang w:val="en-US" w:eastAsia="zh-CN"/>
              </w:rPr>
            </w:pPr>
            <w:r>
              <w:rPr>
                <w:rFonts w:hint="eastAsia"/>
                <w:color w:val="000000"/>
                <w:szCs w:val="21"/>
                <w:lang w:val="en-US" w:eastAsia="zh-CN"/>
              </w:rPr>
              <w:t>0.9</w:t>
            </w:r>
          </w:p>
        </w:tc>
        <w:tc>
          <w:tcPr>
            <w:tcW w:w="323" w:type="pct"/>
            <w:noWrap w:val="0"/>
            <w:vAlign w:val="center"/>
          </w:tcPr>
          <w:p w14:paraId="136FEC5F">
            <w:pPr>
              <w:spacing w:line="320" w:lineRule="exact"/>
              <w:jc w:val="center"/>
              <w:textAlignment w:val="center"/>
              <w:rPr>
                <w:rFonts w:hint="default"/>
                <w:color w:val="000000"/>
                <w:szCs w:val="21"/>
                <w:lang w:val="en-US" w:eastAsia="zh-CN"/>
              </w:rPr>
            </w:pPr>
            <w:r>
              <w:rPr>
                <w:rFonts w:hint="eastAsia"/>
                <w:color w:val="000000"/>
                <w:szCs w:val="21"/>
                <w:lang w:val="en-US" w:eastAsia="zh-CN"/>
              </w:rPr>
              <w:t>6.5</w:t>
            </w:r>
          </w:p>
        </w:tc>
        <w:tc>
          <w:tcPr>
            <w:tcW w:w="156" w:type="pct"/>
            <w:vMerge w:val="continue"/>
            <w:noWrap w:val="0"/>
            <w:vAlign w:val="center"/>
          </w:tcPr>
          <w:p w14:paraId="4389D1B9">
            <w:pPr>
              <w:spacing w:line="320" w:lineRule="exact"/>
              <w:jc w:val="center"/>
              <w:rPr>
                <w:color w:val="000000"/>
                <w:szCs w:val="21"/>
              </w:rPr>
            </w:pPr>
          </w:p>
        </w:tc>
        <w:tc>
          <w:tcPr>
            <w:tcW w:w="275" w:type="pct"/>
            <w:vMerge w:val="continue"/>
            <w:noWrap w:val="0"/>
            <w:vAlign w:val="center"/>
          </w:tcPr>
          <w:p w14:paraId="3E4A7AFC">
            <w:pPr>
              <w:spacing w:line="320" w:lineRule="exact"/>
              <w:jc w:val="center"/>
              <w:textAlignment w:val="center"/>
              <w:rPr>
                <w:color w:val="000000"/>
                <w:szCs w:val="21"/>
              </w:rPr>
            </w:pPr>
          </w:p>
        </w:tc>
        <w:tc>
          <w:tcPr>
            <w:tcW w:w="249" w:type="pct"/>
            <w:vMerge w:val="continue"/>
            <w:noWrap w:val="0"/>
            <w:vAlign w:val="center"/>
          </w:tcPr>
          <w:p w14:paraId="5337D6DA">
            <w:pPr>
              <w:spacing w:line="320" w:lineRule="exact"/>
              <w:jc w:val="center"/>
              <w:textAlignment w:val="center"/>
              <w:rPr>
                <w:color w:val="000000"/>
                <w:szCs w:val="21"/>
              </w:rPr>
            </w:pPr>
          </w:p>
        </w:tc>
        <w:tc>
          <w:tcPr>
            <w:tcW w:w="326" w:type="pct"/>
            <w:vMerge w:val="continue"/>
            <w:noWrap w:val="0"/>
            <w:vAlign w:val="center"/>
          </w:tcPr>
          <w:p w14:paraId="756AAA05">
            <w:pPr>
              <w:spacing w:line="320" w:lineRule="exact"/>
              <w:jc w:val="center"/>
              <w:rPr>
                <w:color w:val="000000"/>
                <w:szCs w:val="21"/>
              </w:rPr>
            </w:pPr>
          </w:p>
        </w:tc>
        <w:tc>
          <w:tcPr>
            <w:tcW w:w="264" w:type="pct"/>
            <w:noWrap w:val="0"/>
            <w:vAlign w:val="center"/>
          </w:tcPr>
          <w:p w14:paraId="4D00C40C">
            <w:pPr>
              <w:spacing w:line="320" w:lineRule="exact"/>
              <w:jc w:val="center"/>
              <w:textAlignment w:val="center"/>
              <w:rPr>
                <w:rFonts w:hint="eastAsia" w:eastAsia="宋体"/>
                <w:color w:val="000000"/>
                <w:szCs w:val="21"/>
                <w:lang w:val="en-US" w:eastAsia="zh-CN"/>
              </w:rPr>
            </w:pPr>
            <w:r>
              <w:rPr>
                <w:rFonts w:hint="eastAsia"/>
                <w:color w:val="000000"/>
                <w:szCs w:val="21"/>
                <w:lang w:val="en-US" w:eastAsia="zh-CN"/>
              </w:rPr>
              <w:t>0</w:t>
            </w:r>
          </w:p>
        </w:tc>
        <w:tc>
          <w:tcPr>
            <w:tcW w:w="256" w:type="pct"/>
            <w:vMerge w:val="continue"/>
            <w:noWrap w:val="0"/>
            <w:vAlign w:val="center"/>
          </w:tcPr>
          <w:p w14:paraId="570CAD5B">
            <w:pPr>
              <w:spacing w:line="320" w:lineRule="exact"/>
              <w:jc w:val="center"/>
              <w:textAlignment w:val="center"/>
              <w:rPr>
                <w:color w:val="000000"/>
                <w:szCs w:val="21"/>
              </w:rPr>
            </w:pPr>
          </w:p>
        </w:tc>
        <w:tc>
          <w:tcPr>
            <w:tcW w:w="792" w:type="dxa"/>
            <w:noWrap w:val="0"/>
            <w:vAlign w:val="center"/>
          </w:tcPr>
          <w:p w14:paraId="57D73B2F">
            <w:pPr>
              <w:spacing w:line="320" w:lineRule="exact"/>
              <w:jc w:val="center"/>
              <w:textAlignment w:val="center"/>
              <w:rPr>
                <w:rFonts w:hint="eastAsia"/>
                <w:color w:val="000000"/>
                <w:szCs w:val="21"/>
                <w:lang w:val="en-US" w:eastAsia="zh-CN"/>
              </w:rPr>
            </w:pPr>
            <w:r>
              <w:rPr>
                <w:rFonts w:hint="eastAsia"/>
                <w:color w:val="000000"/>
                <w:szCs w:val="21"/>
                <w:lang w:val="en-US" w:eastAsia="zh-CN"/>
              </w:rPr>
              <w:t>3</w:t>
            </w:r>
          </w:p>
        </w:tc>
        <w:tc>
          <w:tcPr>
            <w:tcW w:w="689" w:type="dxa"/>
            <w:noWrap w:val="0"/>
            <w:vAlign w:val="center"/>
          </w:tcPr>
          <w:p w14:paraId="7E6C29C7">
            <w:pPr>
              <w:spacing w:line="320" w:lineRule="exact"/>
              <w:jc w:val="center"/>
              <w:textAlignment w:val="center"/>
              <w:rPr>
                <w:rFonts w:hint="eastAsia"/>
                <w:color w:val="000000"/>
                <w:szCs w:val="21"/>
                <w:lang w:val="en-US" w:eastAsia="zh-CN"/>
              </w:rPr>
            </w:pPr>
            <w:r>
              <w:rPr>
                <w:rFonts w:hint="eastAsia"/>
                <w:color w:val="000000"/>
                <w:szCs w:val="21"/>
                <w:lang w:val="en-US" w:eastAsia="zh-CN"/>
              </w:rPr>
              <w:t>0.9</w:t>
            </w:r>
          </w:p>
        </w:tc>
        <w:tc>
          <w:tcPr>
            <w:tcW w:w="691" w:type="dxa"/>
            <w:noWrap w:val="0"/>
            <w:vAlign w:val="center"/>
          </w:tcPr>
          <w:p w14:paraId="0D6279B6">
            <w:pPr>
              <w:spacing w:line="320" w:lineRule="exact"/>
              <w:jc w:val="center"/>
              <w:textAlignment w:val="center"/>
              <w:rPr>
                <w:rFonts w:hint="eastAsia"/>
                <w:color w:val="000000"/>
                <w:szCs w:val="21"/>
                <w:lang w:val="en-US" w:eastAsia="zh-CN"/>
              </w:rPr>
            </w:pPr>
            <w:r>
              <w:rPr>
                <w:rFonts w:hint="eastAsia"/>
                <w:color w:val="000000"/>
                <w:szCs w:val="21"/>
                <w:lang w:val="en-US" w:eastAsia="zh-CN"/>
              </w:rPr>
              <w:t>6.5</w:t>
            </w:r>
          </w:p>
        </w:tc>
        <w:tc>
          <w:tcPr>
            <w:tcW w:w="292" w:type="pct"/>
            <w:noWrap w:val="0"/>
            <w:vAlign w:val="center"/>
          </w:tcPr>
          <w:p w14:paraId="3431944C">
            <w:pPr>
              <w:spacing w:line="320" w:lineRule="exact"/>
              <w:jc w:val="center"/>
              <w:textAlignment w:val="center"/>
              <w:rPr>
                <w:rFonts w:hint="eastAsia" w:eastAsia="宋体"/>
                <w:szCs w:val="21"/>
                <w:lang w:val="en-US" w:eastAsia="zh-CN"/>
              </w:rPr>
            </w:pPr>
            <w:r>
              <w:rPr>
                <w:rFonts w:hint="eastAsia"/>
                <w:szCs w:val="21"/>
                <w:lang w:val="en-US" w:eastAsia="zh-CN"/>
              </w:rPr>
              <w:t>8</w:t>
            </w:r>
          </w:p>
        </w:tc>
        <w:tc>
          <w:tcPr>
            <w:tcW w:w="227" w:type="pct"/>
            <w:noWrap w:val="0"/>
            <w:vAlign w:val="center"/>
          </w:tcPr>
          <w:p w14:paraId="08D7A644">
            <w:pPr>
              <w:spacing w:line="320" w:lineRule="exact"/>
              <w:jc w:val="center"/>
              <w:textAlignment w:val="center"/>
              <w:rPr>
                <w:rFonts w:hint="eastAsia" w:eastAsia="宋体"/>
                <w:szCs w:val="21"/>
                <w:lang w:val="en-US" w:eastAsia="zh-CN"/>
              </w:rPr>
            </w:pPr>
            <w:r>
              <w:rPr>
                <w:rFonts w:hint="eastAsia"/>
                <w:szCs w:val="21"/>
                <w:lang w:val="en-US" w:eastAsia="zh-CN"/>
              </w:rPr>
              <w:t>/</w:t>
            </w:r>
          </w:p>
        </w:tc>
      </w:tr>
    </w:tbl>
    <w:p w14:paraId="39BC3FDC">
      <w:pPr>
        <w:spacing w:line="460" w:lineRule="exact"/>
        <w:jc w:val="center"/>
        <w:rPr>
          <w:rFonts w:hint="eastAsia" w:ascii="黑体" w:hAnsi="黑体" w:eastAsia="黑体" w:cs="黑体"/>
          <w:b w:val="0"/>
          <w:bCs w:val="0"/>
          <w:color w:val="000000"/>
          <w:sz w:val="24"/>
          <w:szCs w:val="24"/>
        </w:rPr>
      </w:pPr>
      <w:r>
        <w:rPr>
          <w:rFonts w:hint="eastAsia" w:ascii="黑体" w:hAnsi="黑体" w:eastAsia="黑体" w:cs="黑体"/>
          <w:b w:val="0"/>
          <w:bCs w:val="0"/>
          <w:sz w:val="24"/>
          <w:szCs w:val="24"/>
        </w:rPr>
        <w:t>表</w:t>
      </w:r>
      <w:r>
        <w:rPr>
          <w:rFonts w:hint="eastAsia" w:ascii="黑体" w:hAnsi="黑体" w:eastAsia="黑体" w:cs="黑体"/>
          <w:b w:val="0"/>
          <w:bCs w:val="0"/>
          <w:sz w:val="24"/>
          <w:szCs w:val="24"/>
          <w:lang w:val="en-US" w:eastAsia="zh-CN"/>
        </w:rPr>
        <w:t>5</w:t>
      </w:r>
      <w:r>
        <w:rPr>
          <w:rFonts w:hint="eastAsia" w:ascii="黑体" w:hAnsi="黑体" w:eastAsia="黑体" w:cs="黑体"/>
          <w:b w:val="0"/>
          <w:bCs w:val="0"/>
          <w:sz w:val="24"/>
          <w:szCs w:val="24"/>
        </w:rPr>
        <w:t xml:space="preserve"> </w:t>
      </w:r>
      <w:r>
        <w:rPr>
          <w:rFonts w:hint="eastAsia" w:ascii="黑体" w:hAnsi="黑体" w:eastAsia="黑体" w:cs="黑体"/>
          <w:b w:val="0"/>
          <w:bCs w:val="0"/>
          <w:color w:val="000000"/>
          <w:sz w:val="24"/>
          <w:szCs w:val="24"/>
        </w:rPr>
        <w:t>项目</w:t>
      </w:r>
      <w:r>
        <w:rPr>
          <w:rFonts w:hint="eastAsia" w:ascii="黑体" w:hAnsi="黑体" w:eastAsia="黑体" w:cs="黑体"/>
          <w:b w:val="0"/>
          <w:bCs w:val="0"/>
          <w:color w:val="000000"/>
          <w:sz w:val="24"/>
          <w:szCs w:val="24"/>
          <w:lang w:val="en-US" w:eastAsia="zh-CN"/>
        </w:rPr>
        <w:t>无组织废气污染物产生及排放情况一览表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3326"/>
        <w:gridCol w:w="1248"/>
        <w:gridCol w:w="1108"/>
        <w:gridCol w:w="1786"/>
        <w:gridCol w:w="955"/>
        <w:gridCol w:w="1280"/>
        <w:gridCol w:w="1450"/>
        <w:gridCol w:w="1527"/>
      </w:tblGrid>
      <w:tr w14:paraId="1360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noWrap w:val="0"/>
            <w:vAlign w:val="center"/>
          </w:tcPr>
          <w:p w14:paraId="1FB612D1">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产污</w:t>
            </w:r>
          </w:p>
          <w:p w14:paraId="5A5E9A04">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单元</w:t>
            </w:r>
          </w:p>
        </w:tc>
        <w:tc>
          <w:tcPr>
            <w:tcW w:w="1218" w:type="pct"/>
            <w:noWrap w:val="0"/>
            <w:vAlign w:val="center"/>
          </w:tcPr>
          <w:p w14:paraId="092897B1">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污染源</w:t>
            </w:r>
          </w:p>
        </w:tc>
        <w:tc>
          <w:tcPr>
            <w:tcW w:w="457" w:type="pct"/>
            <w:noWrap w:val="0"/>
            <w:vAlign w:val="center"/>
          </w:tcPr>
          <w:p w14:paraId="3B76C2E3">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污染物种类</w:t>
            </w:r>
          </w:p>
        </w:tc>
        <w:tc>
          <w:tcPr>
            <w:tcW w:w="405" w:type="pct"/>
            <w:noWrap w:val="0"/>
            <w:vAlign w:val="center"/>
          </w:tcPr>
          <w:p w14:paraId="356A69F6">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产生量t/a</w:t>
            </w:r>
          </w:p>
        </w:tc>
        <w:tc>
          <w:tcPr>
            <w:tcW w:w="653" w:type="pct"/>
            <w:noWrap w:val="0"/>
            <w:vAlign w:val="center"/>
          </w:tcPr>
          <w:p w14:paraId="7EB98936">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治理工艺</w:t>
            </w:r>
          </w:p>
        </w:tc>
        <w:tc>
          <w:tcPr>
            <w:tcW w:w="349" w:type="pct"/>
            <w:noWrap w:val="0"/>
            <w:vAlign w:val="center"/>
          </w:tcPr>
          <w:p w14:paraId="662429EF">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效率%</w:t>
            </w:r>
          </w:p>
        </w:tc>
        <w:tc>
          <w:tcPr>
            <w:tcW w:w="468" w:type="pct"/>
            <w:noWrap w:val="0"/>
            <w:vAlign w:val="center"/>
          </w:tcPr>
          <w:p w14:paraId="28ACAD78">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排放量t/a</w:t>
            </w:r>
          </w:p>
        </w:tc>
        <w:tc>
          <w:tcPr>
            <w:tcW w:w="530" w:type="pct"/>
            <w:noWrap w:val="0"/>
            <w:vAlign w:val="center"/>
          </w:tcPr>
          <w:p w14:paraId="0A1A9BF3">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面源高度m</w:t>
            </w:r>
          </w:p>
        </w:tc>
        <w:tc>
          <w:tcPr>
            <w:tcW w:w="559" w:type="pct"/>
            <w:noWrap w:val="0"/>
            <w:vAlign w:val="center"/>
          </w:tcPr>
          <w:p w14:paraId="1546F0E0">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面源面积m</w:t>
            </w:r>
            <w:r>
              <w:rPr>
                <w:rFonts w:ascii="Times New Roman" w:hAnsi="Times New Roman" w:cs="Times New Roman"/>
                <w:b w:val="0"/>
                <w:bCs/>
                <w:sz w:val="21"/>
                <w:szCs w:val="21"/>
                <w:vertAlign w:val="superscript"/>
              </w:rPr>
              <w:t>2</w:t>
            </w:r>
          </w:p>
        </w:tc>
      </w:tr>
      <w:tr w14:paraId="3EBA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356" w:type="pct"/>
            <w:vMerge w:val="restart"/>
            <w:noWrap w:val="0"/>
            <w:vAlign w:val="center"/>
          </w:tcPr>
          <w:p w14:paraId="160B696C">
            <w:pPr>
              <w:spacing w:line="358" w:lineRule="auto"/>
              <w:jc w:val="center"/>
              <w:rPr>
                <w:rFonts w:ascii="Times New Roman" w:hAnsi="Times New Roman" w:cs="Times New Roman"/>
                <w:b w:val="0"/>
                <w:bCs/>
                <w:sz w:val="21"/>
                <w:szCs w:val="21"/>
              </w:rPr>
            </w:pPr>
            <w:r>
              <w:rPr>
                <w:rFonts w:hint="eastAsia" w:ascii="Times New Roman" w:hAnsi="Times New Roman" w:cs="Times New Roman"/>
                <w:b w:val="0"/>
                <w:bCs/>
                <w:sz w:val="21"/>
                <w:szCs w:val="21"/>
              </w:rPr>
              <w:t>原料库</w:t>
            </w:r>
          </w:p>
        </w:tc>
        <w:tc>
          <w:tcPr>
            <w:tcW w:w="1218" w:type="pct"/>
            <w:noWrap w:val="0"/>
            <w:vAlign w:val="center"/>
          </w:tcPr>
          <w:p w14:paraId="494D1642">
            <w:pPr>
              <w:spacing w:line="358" w:lineRule="auto"/>
              <w:jc w:val="center"/>
              <w:rPr>
                <w:rFonts w:ascii="Times New Roman" w:hAnsi="Times New Roman" w:cs="Times New Roman"/>
                <w:b w:val="0"/>
                <w:bCs/>
                <w:sz w:val="21"/>
                <w:szCs w:val="21"/>
              </w:rPr>
            </w:pPr>
            <w:r>
              <w:rPr>
                <w:rFonts w:hint="eastAsia" w:ascii="Times New Roman" w:hAnsi="Times New Roman" w:cs="Times New Roman"/>
                <w:b w:val="0"/>
                <w:bCs/>
                <w:sz w:val="21"/>
                <w:szCs w:val="21"/>
                <w:lang w:val="en-US" w:eastAsia="zh-CN"/>
              </w:rPr>
              <w:t>装卸</w:t>
            </w:r>
            <w:r>
              <w:rPr>
                <w:rFonts w:ascii="Times New Roman" w:hAnsi="Times New Roman" w:cs="Times New Roman"/>
                <w:b w:val="0"/>
                <w:bCs/>
                <w:sz w:val="21"/>
                <w:szCs w:val="21"/>
              </w:rPr>
              <w:t>粉尘</w:t>
            </w:r>
          </w:p>
        </w:tc>
        <w:tc>
          <w:tcPr>
            <w:tcW w:w="457" w:type="pct"/>
            <w:noWrap w:val="0"/>
            <w:vAlign w:val="center"/>
          </w:tcPr>
          <w:p w14:paraId="572CAD86">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颗粒物</w:t>
            </w:r>
          </w:p>
        </w:tc>
        <w:tc>
          <w:tcPr>
            <w:tcW w:w="1108" w:type="dxa"/>
            <w:noWrap w:val="0"/>
            <w:vAlign w:val="center"/>
          </w:tcPr>
          <w:p w14:paraId="0F297C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sz w:val="21"/>
                <w:szCs w:val="21"/>
                <w:lang w:val="en-US" w:eastAsia="zh-CN"/>
              </w:rPr>
            </w:pPr>
            <w:r>
              <w:rPr>
                <w:rFonts w:hint="eastAsia"/>
                <w:bCs/>
                <w:szCs w:val="21"/>
                <w:lang w:val="en-US" w:eastAsia="zh-CN"/>
              </w:rPr>
              <w:t>6.4</w:t>
            </w:r>
          </w:p>
        </w:tc>
        <w:tc>
          <w:tcPr>
            <w:tcW w:w="653" w:type="pct"/>
            <w:vMerge w:val="restart"/>
            <w:noWrap w:val="0"/>
            <w:vAlign w:val="center"/>
          </w:tcPr>
          <w:p w14:paraId="5EA6E95D">
            <w:pPr>
              <w:jc w:val="center"/>
              <w:rPr>
                <w:rFonts w:ascii="Times New Roman" w:hAnsi="Times New Roman" w:cs="Times New Roman"/>
                <w:b w:val="0"/>
                <w:bCs/>
                <w:sz w:val="21"/>
                <w:szCs w:val="21"/>
              </w:rPr>
            </w:pPr>
            <w:r>
              <w:rPr>
                <w:rFonts w:hint="eastAsia" w:ascii="Times New Roman" w:hAnsi="Times New Roman" w:cs="Times New Roman"/>
                <w:b w:val="0"/>
                <w:bCs/>
                <w:sz w:val="21"/>
                <w:szCs w:val="21"/>
              </w:rPr>
              <w:t>原料库</w:t>
            </w:r>
            <w:r>
              <w:rPr>
                <w:rFonts w:ascii="Times New Roman" w:hAnsi="Times New Roman" w:cs="Times New Roman"/>
                <w:b w:val="0"/>
                <w:bCs/>
                <w:sz w:val="21"/>
                <w:szCs w:val="21"/>
              </w:rPr>
              <w:t>内</w:t>
            </w:r>
            <w:r>
              <w:rPr>
                <w:rFonts w:hint="eastAsia" w:ascii="Times New Roman" w:hAnsi="Times New Roman" w:cs="Times New Roman"/>
                <w:b w:val="0"/>
                <w:bCs/>
                <w:sz w:val="21"/>
                <w:szCs w:val="21"/>
              </w:rPr>
              <w:t>沉降</w:t>
            </w:r>
            <w:r>
              <w:rPr>
                <w:rFonts w:ascii="Times New Roman" w:hAnsi="Times New Roman" w:cs="Times New Roman"/>
                <w:b w:val="0"/>
                <w:bCs/>
                <w:sz w:val="21"/>
                <w:szCs w:val="21"/>
              </w:rPr>
              <w:t>，加强密闭性</w:t>
            </w:r>
            <w:r>
              <w:rPr>
                <w:rFonts w:hint="eastAsia" w:ascii="Times New Roman" w:hAnsi="Times New Roman" w:cs="Times New Roman"/>
                <w:b w:val="0"/>
                <w:bCs/>
                <w:sz w:val="21"/>
                <w:szCs w:val="21"/>
              </w:rPr>
              <w:t>，</w:t>
            </w:r>
            <w:r>
              <w:rPr>
                <w:rFonts w:ascii="Times New Roman" w:hAnsi="Times New Roman" w:cs="Times New Roman"/>
                <w:b w:val="0"/>
                <w:bCs/>
                <w:sz w:val="21"/>
                <w:szCs w:val="21"/>
              </w:rPr>
              <w:t>喷雾降尘；加强物料输送过程中的密闭性</w:t>
            </w:r>
            <w:r>
              <w:rPr>
                <w:rFonts w:hint="eastAsia" w:ascii="Times New Roman" w:hAnsi="Times New Roman" w:cs="Times New Roman"/>
                <w:b w:val="0"/>
                <w:bCs/>
                <w:sz w:val="21"/>
                <w:szCs w:val="21"/>
              </w:rPr>
              <w:t>，</w:t>
            </w:r>
            <w:r>
              <w:rPr>
                <w:rFonts w:ascii="Times New Roman" w:hAnsi="Times New Roman" w:cs="Times New Roman"/>
                <w:b w:val="0"/>
                <w:bCs/>
                <w:sz w:val="21"/>
                <w:szCs w:val="21"/>
              </w:rPr>
              <w:t>减小物料转运</w:t>
            </w:r>
            <w:r>
              <w:rPr>
                <w:rFonts w:hint="eastAsia" w:ascii="Times New Roman" w:hAnsi="Times New Roman" w:cs="Times New Roman"/>
                <w:b w:val="0"/>
                <w:bCs/>
                <w:sz w:val="21"/>
                <w:szCs w:val="21"/>
              </w:rPr>
              <w:t>、</w:t>
            </w:r>
            <w:r>
              <w:rPr>
                <w:rFonts w:ascii="Times New Roman" w:hAnsi="Times New Roman" w:cs="Times New Roman"/>
                <w:b w:val="0"/>
                <w:bCs/>
                <w:sz w:val="21"/>
                <w:szCs w:val="21"/>
              </w:rPr>
              <w:t>投加过程中高度差</w:t>
            </w:r>
            <w:r>
              <w:rPr>
                <w:rFonts w:hint="eastAsia" w:ascii="Times New Roman" w:hAnsi="Times New Roman" w:cs="Times New Roman"/>
                <w:b w:val="0"/>
                <w:bCs/>
                <w:sz w:val="21"/>
                <w:szCs w:val="21"/>
              </w:rPr>
              <w:t>，</w:t>
            </w:r>
            <w:r>
              <w:rPr>
                <w:rFonts w:ascii="Times New Roman" w:hAnsi="Times New Roman" w:cs="Times New Roman"/>
                <w:b w:val="0"/>
                <w:bCs/>
                <w:sz w:val="21"/>
                <w:szCs w:val="21"/>
              </w:rPr>
              <w:t>生产车间定期清扫</w:t>
            </w:r>
            <w:r>
              <w:rPr>
                <w:rFonts w:hint="eastAsia" w:ascii="Times New Roman" w:hAnsi="Times New Roman" w:cs="Times New Roman"/>
                <w:b w:val="0"/>
                <w:bCs/>
                <w:sz w:val="21"/>
                <w:szCs w:val="21"/>
              </w:rPr>
              <w:t>，</w:t>
            </w:r>
            <w:r>
              <w:rPr>
                <w:rFonts w:ascii="Times New Roman" w:hAnsi="Times New Roman" w:cs="Times New Roman"/>
                <w:b w:val="0"/>
                <w:bCs/>
                <w:sz w:val="21"/>
                <w:szCs w:val="21"/>
              </w:rPr>
              <w:t>保持清洁</w:t>
            </w:r>
            <w:r>
              <w:rPr>
                <w:rFonts w:hint="eastAsia" w:ascii="Times New Roman" w:hAnsi="Times New Roman" w:cs="Times New Roman"/>
                <w:b w:val="0"/>
                <w:bCs/>
                <w:sz w:val="21"/>
                <w:szCs w:val="21"/>
              </w:rPr>
              <w:t>，</w:t>
            </w:r>
            <w:r>
              <w:rPr>
                <w:rFonts w:ascii="Times New Roman" w:hAnsi="Times New Roman" w:cs="Times New Roman"/>
                <w:b w:val="0"/>
                <w:bCs/>
                <w:sz w:val="21"/>
                <w:szCs w:val="21"/>
              </w:rPr>
              <w:t>道路洒水抑尘</w:t>
            </w:r>
          </w:p>
        </w:tc>
        <w:tc>
          <w:tcPr>
            <w:tcW w:w="349" w:type="pct"/>
            <w:noWrap w:val="0"/>
            <w:vAlign w:val="center"/>
          </w:tcPr>
          <w:p w14:paraId="1DD78DEA">
            <w:pPr>
              <w:spacing w:line="276" w:lineRule="auto"/>
              <w:jc w:val="center"/>
              <w:rPr>
                <w:rFonts w:hint="default" w:ascii="Times New Roman" w:hAnsi="Times New Roman" w:eastAsia="宋体" w:cs="Times New Roman"/>
                <w:b w:val="0"/>
                <w:bCs/>
                <w:sz w:val="21"/>
                <w:szCs w:val="21"/>
                <w:lang w:val="en-US" w:eastAsia="zh-CN"/>
              </w:rPr>
            </w:pPr>
            <w:r>
              <w:rPr>
                <w:rFonts w:hint="eastAsia" w:ascii="Times New Roman" w:hAnsi="Times New Roman" w:cs="Times New Roman"/>
                <w:b w:val="0"/>
                <w:bCs/>
                <w:sz w:val="21"/>
                <w:szCs w:val="21"/>
                <w:lang w:val="en-US" w:eastAsia="zh-CN"/>
              </w:rPr>
              <w:t>70</w:t>
            </w:r>
          </w:p>
        </w:tc>
        <w:tc>
          <w:tcPr>
            <w:tcW w:w="1280" w:type="dxa"/>
            <w:noWrap w:val="0"/>
            <w:vAlign w:val="center"/>
          </w:tcPr>
          <w:p w14:paraId="21DFFC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sz w:val="21"/>
                <w:szCs w:val="21"/>
                <w:lang w:val="en-US" w:eastAsia="zh-CN"/>
              </w:rPr>
            </w:pPr>
            <w:r>
              <w:rPr>
                <w:rFonts w:hint="eastAsia"/>
                <w:bCs/>
                <w:szCs w:val="21"/>
                <w:lang w:val="en-US" w:eastAsia="zh-CN"/>
              </w:rPr>
              <w:t>1.92</w:t>
            </w:r>
          </w:p>
        </w:tc>
        <w:tc>
          <w:tcPr>
            <w:tcW w:w="530" w:type="pct"/>
            <w:vMerge w:val="restart"/>
            <w:noWrap w:val="0"/>
            <w:vAlign w:val="center"/>
          </w:tcPr>
          <w:p w14:paraId="5168E038">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1</w:t>
            </w:r>
            <w:r>
              <w:rPr>
                <w:rFonts w:hint="eastAsia" w:ascii="Times New Roman" w:hAnsi="Times New Roman" w:cs="Times New Roman"/>
                <w:b w:val="0"/>
                <w:bCs/>
                <w:sz w:val="21"/>
                <w:szCs w:val="21"/>
              </w:rPr>
              <w:t>2</w:t>
            </w:r>
          </w:p>
        </w:tc>
        <w:tc>
          <w:tcPr>
            <w:tcW w:w="559" w:type="pct"/>
            <w:vMerge w:val="restart"/>
            <w:noWrap w:val="0"/>
            <w:vAlign w:val="center"/>
          </w:tcPr>
          <w:p w14:paraId="75AD0057">
            <w:pPr>
              <w:spacing w:line="276" w:lineRule="auto"/>
              <w:jc w:val="center"/>
              <w:rPr>
                <w:rFonts w:ascii="Times New Roman" w:hAnsi="Times New Roman" w:cs="Times New Roman"/>
                <w:b w:val="0"/>
                <w:bCs/>
                <w:sz w:val="21"/>
                <w:szCs w:val="21"/>
              </w:rPr>
            </w:pPr>
            <w:r>
              <w:rPr>
                <w:rFonts w:hint="eastAsia" w:ascii="Times New Roman" w:hAnsi="Times New Roman" w:cs="Times New Roman"/>
                <w:b w:val="0"/>
                <w:bCs/>
                <w:sz w:val="21"/>
                <w:szCs w:val="21"/>
                <w:lang w:val="en-US" w:eastAsia="zh-CN"/>
              </w:rPr>
              <w:t>30</w:t>
            </w:r>
            <w:r>
              <w:rPr>
                <w:rFonts w:hint="eastAsia" w:ascii="Times New Roman" w:hAnsi="Times New Roman" w:cs="Times New Roman"/>
                <w:b w:val="0"/>
                <w:bCs/>
                <w:sz w:val="21"/>
                <w:szCs w:val="21"/>
              </w:rPr>
              <w:t>00</w:t>
            </w:r>
          </w:p>
        </w:tc>
      </w:tr>
      <w:tr w14:paraId="4001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6" w:type="pct"/>
            <w:vMerge w:val="continue"/>
            <w:noWrap w:val="0"/>
            <w:vAlign w:val="center"/>
          </w:tcPr>
          <w:p w14:paraId="374A6797">
            <w:pPr>
              <w:spacing w:line="358" w:lineRule="auto"/>
              <w:jc w:val="center"/>
              <w:rPr>
                <w:rFonts w:ascii="Times New Roman" w:hAnsi="Times New Roman" w:cs="Times New Roman"/>
                <w:b w:val="0"/>
                <w:bCs/>
                <w:sz w:val="21"/>
                <w:szCs w:val="21"/>
              </w:rPr>
            </w:pPr>
          </w:p>
        </w:tc>
        <w:tc>
          <w:tcPr>
            <w:tcW w:w="1218" w:type="pct"/>
            <w:noWrap w:val="0"/>
            <w:vAlign w:val="center"/>
          </w:tcPr>
          <w:p w14:paraId="714DA9E3">
            <w:pPr>
              <w:spacing w:line="358" w:lineRule="auto"/>
              <w:jc w:val="center"/>
              <w:rPr>
                <w:rFonts w:ascii="Times New Roman" w:hAnsi="Times New Roman" w:cs="Times New Roman"/>
                <w:b w:val="0"/>
                <w:bCs/>
                <w:sz w:val="21"/>
                <w:szCs w:val="21"/>
              </w:rPr>
            </w:pPr>
            <w:r>
              <w:rPr>
                <w:rFonts w:ascii="Times New Roman" w:hAnsi="Times New Roman" w:cs="Times New Roman"/>
                <w:b w:val="0"/>
                <w:bCs/>
                <w:sz w:val="21"/>
                <w:szCs w:val="21"/>
              </w:rPr>
              <w:t>未收集的</w:t>
            </w:r>
            <w:r>
              <w:rPr>
                <w:rFonts w:hint="eastAsia" w:ascii="Times New Roman" w:hAnsi="Times New Roman" w:cs="Times New Roman"/>
                <w:b w:val="0"/>
                <w:bCs/>
                <w:sz w:val="21"/>
                <w:szCs w:val="21"/>
              </w:rPr>
              <w:t>破碎</w:t>
            </w:r>
            <w:r>
              <w:rPr>
                <w:rFonts w:ascii="Times New Roman" w:hAnsi="Times New Roman" w:cs="Times New Roman"/>
                <w:b w:val="0"/>
                <w:bCs/>
                <w:sz w:val="21"/>
                <w:szCs w:val="21"/>
              </w:rPr>
              <w:t>筛分粉尘</w:t>
            </w:r>
          </w:p>
        </w:tc>
        <w:tc>
          <w:tcPr>
            <w:tcW w:w="457" w:type="pct"/>
            <w:noWrap w:val="0"/>
            <w:vAlign w:val="center"/>
          </w:tcPr>
          <w:p w14:paraId="21B9CF39">
            <w:pPr>
              <w:spacing w:line="276" w:lineRule="auto"/>
              <w:jc w:val="center"/>
              <w:rPr>
                <w:rFonts w:ascii="Times New Roman" w:hAnsi="Times New Roman" w:cs="Times New Roman"/>
                <w:b w:val="0"/>
                <w:bCs/>
                <w:sz w:val="21"/>
                <w:szCs w:val="21"/>
              </w:rPr>
            </w:pPr>
            <w:r>
              <w:rPr>
                <w:rFonts w:ascii="Times New Roman" w:hAnsi="Times New Roman" w:cs="Times New Roman"/>
                <w:b w:val="0"/>
                <w:bCs/>
                <w:sz w:val="21"/>
                <w:szCs w:val="21"/>
              </w:rPr>
              <w:t>颗粒物</w:t>
            </w:r>
          </w:p>
        </w:tc>
        <w:tc>
          <w:tcPr>
            <w:tcW w:w="1108" w:type="dxa"/>
            <w:noWrap w:val="0"/>
            <w:vAlign w:val="center"/>
          </w:tcPr>
          <w:p w14:paraId="48D60C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sz w:val="21"/>
                <w:szCs w:val="21"/>
                <w:lang w:val="en-US" w:eastAsia="zh-CN"/>
              </w:rPr>
            </w:pPr>
            <w:r>
              <w:rPr>
                <w:rFonts w:hint="eastAsia"/>
                <w:bCs/>
                <w:szCs w:val="21"/>
                <w:lang w:val="en-US" w:eastAsia="zh-CN"/>
              </w:rPr>
              <w:t>5.13</w:t>
            </w:r>
          </w:p>
        </w:tc>
        <w:tc>
          <w:tcPr>
            <w:tcW w:w="653" w:type="pct"/>
            <w:vMerge w:val="continue"/>
            <w:noWrap w:val="0"/>
            <w:vAlign w:val="center"/>
          </w:tcPr>
          <w:p w14:paraId="4526E97B">
            <w:pPr>
              <w:jc w:val="center"/>
              <w:rPr>
                <w:rFonts w:ascii="Times New Roman" w:hAnsi="Times New Roman" w:cs="Times New Roman"/>
                <w:b w:val="0"/>
                <w:bCs/>
                <w:sz w:val="21"/>
                <w:szCs w:val="21"/>
              </w:rPr>
            </w:pPr>
          </w:p>
        </w:tc>
        <w:tc>
          <w:tcPr>
            <w:tcW w:w="349" w:type="pct"/>
            <w:noWrap w:val="0"/>
            <w:vAlign w:val="center"/>
          </w:tcPr>
          <w:p w14:paraId="4F08731E">
            <w:pPr>
              <w:spacing w:line="276" w:lineRule="auto"/>
              <w:jc w:val="center"/>
              <w:rPr>
                <w:rFonts w:ascii="Times New Roman" w:hAnsi="Times New Roman" w:cs="Times New Roman"/>
                <w:b w:val="0"/>
                <w:bCs/>
                <w:sz w:val="21"/>
                <w:szCs w:val="21"/>
              </w:rPr>
            </w:pPr>
            <w:r>
              <w:rPr>
                <w:rFonts w:hint="eastAsia" w:ascii="Times New Roman" w:hAnsi="Times New Roman" w:cs="Times New Roman"/>
                <w:b w:val="0"/>
                <w:bCs/>
                <w:sz w:val="21"/>
                <w:szCs w:val="21"/>
              </w:rPr>
              <w:t>70</w:t>
            </w:r>
          </w:p>
        </w:tc>
        <w:tc>
          <w:tcPr>
            <w:tcW w:w="1280" w:type="dxa"/>
            <w:noWrap w:val="0"/>
            <w:vAlign w:val="center"/>
          </w:tcPr>
          <w:p w14:paraId="632AA7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sz w:val="21"/>
                <w:szCs w:val="21"/>
                <w:lang w:val="en-US" w:eastAsia="zh-CN"/>
              </w:rPr>
            </w:pPr>
            <w:r>
              <w:rPr>
                <w:rFonts w:hint="eastAsia"/>
                <w:bCs/>
                <w:szCs w:val="21"/>
                <w:lang w:val="en-US" w:eastAsia="zh-CN"/>
              </w:rPr>
              <w:t>1.54</w:t>
            </w:r>
          </w:p>
        </w:tc>
        <w:tc>
          <w:tcPr>
            <w:tcW w:w="530" w:type="pct"/>
            <w:vMerge w:val="continue"/>
            <w:noWrap w:val="0"/>
            <w:vAlign w:val="center"/>
          </w:tcPr>
          <w:p w14:paraId="2A688E27">
            <w:pPr>
              <w:spacing w:line="276" w:lineRule="auto"/>
              <w:jc w:val="center"/>
              <w:rPr>
                <w:rFonts w:ascii="Times New Roman" w:hAnsi="Times New Roman" w:cs="Times New Roman"/>
                <w:b w:val="0"/>
                <w:bCs/>
                <w:sz w:val="21"/>
                <w:szCs w:val="21"/>
              </w:rPr>
            </w:pPr>
          </w:p>
        </w:tc>
        <w:tc>
          <w:tcPr>
            <w:tcW w:w="559" w:type="pct"/>
            <w:vMerge w:val="continue"/>
            <w:noWrap w:val="0"/>
            <w:vAlign w:val="center"/>
          </w:tcPr>
          <w:p w14:paraId="3C5336F8">
            <w:pPr>
              <w:spacing w:line="276" w:lineRule="auto"/>
              <w:jc w:val="center"/>
              <w:rPr>
                <w:rFonts w:ascii="Times New Roman" w:hAnsi="Times New Roman" w:cs="Times New Roman"/>
                <w:b w:val="0"/>
                <w:bCs/>
                <w:sz w:val="21"/>
                <w:szCs w:val="21"/>
              </w:rPr>
            </w:pPr>
          </w:p>
        </w:tc>
      </w:tr>
    </w:tbl>
    <w:p w14:paraId="2B4B9BE4">
      <w:pPr>
        <w:adjustRightInd w:val="0"/>
        <w:snapToGrid w:val="0"/>
        <w:spacing w:line="240" w:lineRule="auto"/>
        <w:jc w:val="center"/>
        <w:rPr>
          <w:rFonts w:hint="eastAsia" w:ascii="黑体" w:hAnsi="黑体" w:eastAsia="黑体" w:cs="黑体"/>
          <w:b w:val="0"/>
          <w:bCs w:val="0"/>
          <w:sz w:val="24"/>
          <w:szCs w:val="24"/>
        </w:rPr>
      </w:pPr>
    </w:p>
    <w:p w14:paraId="504FA6AB">
      <w:pPr>
        <w:tabs>
          <w:tab w:val="left" w:pos="1890"/>
        </w:tabs>
        <w:spacing w:line="440" w:lineRule="exact"/>
        <w:jc w:val="center"/>
        <w:rPr>
          <w:rFonts w:hint="eastAsia" w:ascii="黑体" w:hAnsi="黑体" w:eastAsia="黑体" w:cs="黑体"/>
          <w:b w:val="0"/>
          <w:bCs w:val="0"/>
          <w:sz w:val="24"/>
          <w:szCs w:val="28"/>
        </w:rPr>
      </w:pPr>
      <w:r>
        <w:rPr>
          <w:rFonts w:hint="eastAsia" w:ascii="黑体" w:hAnsi="黑体" w:eastAsia="黑体" w:cs="黑体"/>
          <w:b w:val="0"/>
          <w:bCs w:val="0"/>
          <w:sz w:val="24"/>
          <w:szCs w:val="28"/>
        </w:rPr>
        <w:t>表</w:t>
      </w:r>
      <w:r>
        <w:rPr>
          <w:rFonts w:hint="eastAsia" w:ascii="黑体" w:hAnsi="黑体" w:eastAsia="黑体" w:cs="黑体"/>
          <w:b w:val="0"/>
          <w:bCs w:val="0"/>
          <w:sz w:val="24"/>
          <w:szCs w:val="28"/>
          <w:lang w:val="en-US" w:eastAsia="zh-CN"/>
        </w:rPr>
        <w:t>6</w:t>
      </w:r>
      <w:r>
        <w:rPr>
          <w:rFonts w:hint="eastAsia" w:ascii="黑体" w:hAnsi="黑体" w:eastAsia="黑体" w:cs="黑体"/>
          <w:b w:val="0"/>
          <w:bCs w:val="0"/>
          <w:sz w:val="24"/>
          <w:szCs w:val="28"/>
        </w:rPr>
        <w:t xml:space="preserve">  建设项目噪声排放信息表</w:t>
      </w:r>
    </w:p>
    <w:tbl>
      <w:tblPr>
        <w:tblStyle w:val="3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1541"/>
        <w:gridCol w:w="1306"/>
        <w:gridCol w:w="3898"/>
        <w:gridCol w:w="1715"/>
        <w:gridCol w:w="1920"/>
        <w:gridCol w:w="1764"/>
      </w:tblGrid>
      <w:tr w14:paraId="2915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51" w:type="pct"/>
            <w:vMerge w:val="restart"/>
            <w:noWrap w:val="0"/>
            <w:vAlign w:val="center"/>
          </w:tcPr>
          <w:p w14:paraId="0C0FC86D">
            <w:pPr>
              <w:tabs>
                <w:tab w:val="left" w:pos="1890"/>
              </w:tabs>
              <w:spacing w:line="320" w:lineRule="exact"/>
              <w:jc w:val="center"/>
              <w:rPr>
                <w:rFonts w:hint="eastAsia"/>
                <w:b w:val="0"/>
                <w:bCs w:val="0"/>
                <w:szCs w:val="21"/>
              </w:rPr>
            </w:pPr>
            <w:r>
              <w:rPr>
                <w:rFonts w:hint="eastAsia"/>
                <w:b w:val="0"/>
                <w:bCs w:val="0"/>
                <w:szCs w:val="21"/>
              </w:rPr>
              <w:t>噪声类别</w:t>
            </w:r>
          </w:p>
        </w:tc>
        <w:tc>
          <w:tcPr>
            <w:tcW w:w="1042" w:type="pct"/>
            <w:gridSpan w:val="2"/>
            <w:noWrap w:val="0"/>
            <w:vAlign w:val="center"/>
          </w:tcPr>
          <w:p w14:paraId="5A4EACA9">
            <w:pPr>
              <w:tabs>
                <w:tab w:val="left" w:pos="1890"/>
              </w:tabs>
              <w:spacing w:line="320" w:lineRule="exact"/>
              <w:jc w:val="center"/>
              <w:rPr>
                <w:rFonts w:hint="eastAsia"/>
                <w:b w:val="0"/>
                <w:bCs w:val="0"/>
                <w:szCs w:val="21"/>
              </w:rPr>
            </w:pPr>
            <w:r>
              <w:rPr>
                <w:rFonts w:hint="eastAsia"/>
                <w:b w:val="0"/>
                <w:bCs w:val="0"/>
                <w:szCs w:val="21"/>
              </w:rPr>
              <w:t>生产时段</w:t>
            </w:r>
          </w:p>
        </w:tc>
        <w:tc>
          <w:tcPr>
            <w:tcW w:w="1427" w:type="pct"/>
            <w:vMerge w:val="restart"/>
            <w:noWrap w:val="0"/>
            <w:vAlign w:val="center"/>
          </w:tcPr>
          <w:p w14:paraId="5081C2AE">
            <w:pPr>
              <w:tabs>
                <w:tab w:val="left" w:pos="1890"/>
              </w:tabs>
              <w:spacing w:line="320" w:lineRule="exact"/>
              <w:jc w:val="center"/>
              <w:rPr>
                <w:rFonts w:hint="eastAsia"/>
                <w:b w:val="0"/>
                <w:bCs w:val="0"/>
                <w:szCs w:val="21"/>
              </w:rPr>
            </w:pPr>
            <w:r>
              <w:rPr>
                <w:rFonts w:hint="eastAsia"/>
                <w:b w:val="0"/>
                <w:bCs w:val="0"/>
                <w:szCs w:val="21"/>
              </w:rPr>
              <w:t>执行排放标准名称</w:t>
            </w:r>
          </w:p>
        </w:tc>
        <w:tc>
          <w:tcPr>
            <w:tcW w:w="1331" w:type="pct"/>
            <w:gridSpan w:val="2"/>
            <w:noWrap w:val="0"/>
            <w:vAlign w:val="center"/>
          </w:tcPr>
          <w:p w14:paraId="78C90C45">
            <w:pPr>
              <w:tabs>
                <w:tab w:val="left" w:pos="1890"/>
              </w:tabs>
              <w:spacing w:line="320" w:lineRule="exact"/>
              <w:jc w:val="center"/>
              <w:rPr>
                <w:rFonts w:hint="eastAsia"/>
                <w:b w:val="0"/>
                <w:bCs w:val="0"/>
                <w:szCs w:val="21"/>
              </w:rPr>
            </w:pPr>
            <w:r>
              <w:rPr>
                <w:rFonts w:hint="eastAsia"/>
                <w:b w:val="0"/>
                <w:bCs w:val="0"/>
                <w:szCs w:val="21"/>
              </w:rPr>
              <w:t>厂界噪声排放限值</w:t>
            </w:r>
          </w:p>
        </w:tc>
        <w:tc>
          <w:tcPr>
            <w:tcW w:w="646" w:type="pct"/>
            <w:vMerge w:val="restart"/>
            <w:noWrap w:val="0"/>
            <w:vAlign w:val="center"/>
          </w:tcPr>
          <w:p w14:paraId="61EC83F2">
            <w:pPr>
              <w:tabs>
                <w:tab w:val="left" w:pos="1890"/>
              </w:tabs>
              <w:spacing w:line="320" w:lineRule="exact"/>
              <w:jc w:val="center"/>
              <w:rPr>
                <w:rFonts w:hint="eastAsia"/>
                <w:b w:val="0"/>
                <w:bCs w:val="0"/>
                <w:szCs w:val="21"/>
              </w:rPr>
            </w:pPr>
            <w:r>
              <w:rPr>
                <w:rFonts w:hint="eastAsia"/>
                <w:b w:val="0"/>
                <w:bCs w:val="0"/>
                <w:szCs w:val="21"/>
              </w:rPr>
              <w:t>备注</w:t>
            </w:r>
          </w:p>
        </w:tc>
      </w:tr>
      <w:tr w14:paraId="3159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51" w:type="pct"/>
            <w:vMerge w:val="continue"/>
            <w:noWrap w:val="0"/>
            <w:vAlign w:val="center"/>
          </w:tcPr>
          <w:p w14:paraId="15D49191">
            <w:pPr>
              <w:tabs>
                <w:tab w:val="left" w:pos="1890"/>
              </w:tabs>
              <w:spacing w:line="320" w:lineRule="exact"/>
              <w:jc w:val="center"/>
              <w:rPr>
                <w:rFonts w:hint="eastAsia"/>
                <w:b w:val="0"/>
                <w:bCs w:val="0"/>
                <w:szCs w:val="21"/>
              </w:rPr>
            </w:pPr>
          </w:p>
        </w:tc>
        <w:tc>
          <w:tcPr>
            <w:tcW w:w="564" w:type="pct"/>
            <w:noWrap w:val="0"/>
            <w:vAlign w:val="center"/>
          </w:tcPr>
          <w:p w14:paraId="42E2A8DD">
            <w:pPr>
              <w:tabs>
                <w:tab w:val="left" w:pos="1890"/>
              </w:tabs>
              <w:spacing w:line="320" w:lineRule="exact"/>
              <w:jc w:val="center"/>
              <w:rPr>
                <w:rFonts w:hint="eastAsia"/>
                <w:b w:val="0"/>
                <w:bCs w:val="0"/>
                <w:szCs w:val="21"/>
              </w:rPr>
            </w:pPr>
            <w:r>
              <w:rPr>
                <w:rFonts w:hint="eastAsia"/>
                <w:b w:val="0"/>
                <w:bCs w:val="0"/>
                <w:szCs w:val="21"/>
              </w:rPr>
              <w:t>昼间</w:t>
            </w:r>
          </w:p>
        </w:tc>
        <w:tc>
          <w:tcPr>
            <w:tcW w:w="478" w:type="pct"/>
            <w:noWrap w:val="0"/>
            <w:vAlign w:val="center"/>
          </w:tcPr>
          <w:p w14:paraId="4E8D147F">
            <w:pPr>
              <w:tabs>
                <w:tab w:val="left" w:pos="1890"/>
              </w:tabs>
              <w:spacing w:line="320" w:lineRule="exact"/>
              <w:jc w:val="center"/>
              <w:rPr>
                <w:rFonts w:hint="eastAsia"/>
                <w:b w:val="0"/>
                <w:bCs w:val="0"/>
                <w:szCs w:val="21"/>
              </w:rPr>
            </w:pPr>
            <w:r>
              <w:rPr>
                <w:rFonts w:hint="eastAsia"/>
                <w:b w:val="0"/>
                <w:bCs w:val="0"/>
                <w:szCs w:val="21"/>
              </w:rPr>
              <w:t>夜间</w:t>
            </w:r>
          </w:p>
        </w:tc>
        <w:tc>
          <w:tcPr>
            <w:tcW w:w="1427" w:type="pct"/>
            <w:vMerge w:val="continue"/>
            <w:noWrap w:val="0"/>
            <w:vAlign w:val="center"/>
          </w:tcPr>
          <w:p w14:paraId="5759E9A1">
            <w:pPr>
              <w:tabs>
                <w:tab w:val="left" w:pos="1890"/>
              </w:tabs>
              <w:spacing w:line="320" w:lineRule="exact"/>
              <w:jc w:val="center"/>
              <w:rPr>
                <w:rFonts w:hint="eastAsia"/>
                <w:b w:val="0"/>
                <w:bCs w:val="0"/>
                <w:szCs w:val="21"/>
              </w:rPr>
            </w:pPr>
          </w:p>
        </w:tc>
        <w:tc>
          <w:tcPr>
            <w:tcW w:w="628" w:type="pct"/>
            <w:noWrap w:val="0"/>
            <w:vAlign w:val="center"/>
          </w:tcPr>
          <w:p w14:paraId="48B24A67">
            <w:pPr>
              <w:tabs>
                <w:tab w:val="left" w:pos="1890"/>
              </w:tabs>
              <w:spacing w:line="320" w:lineRule="exact"/>
              <w:jc w:val="center"/>
              <w:rPr>
                <w:rFonts w:hint="eastAsia"/>
                <w:b w:val="0"/>
                <w:bCs w:val="0"/>
                <w:szCs w:val="21"/>
              </w:rPr>
            </w:pPr>
            <w:r>
              <w:rPr>
                <w:rFonts w:hint="eastAsia"/>
                <w:b w:val="0"/>
                <w:bCs w:val="0"/>
                <w:szCs w:val="21"/>
              </w:rPr>
              <w:t>昼间，dB(A)</w:t>
            </w:r>
          </w:p>
        </w:tc>
        <w:tc>
          <w:tcPr>
            <w:tcW w:w="703" w:type="pct"/>
            <w:noWrap w:val="0"/>
            <w:vAlign w:val="center"/>
          </w:tcPr>
          <w:p w14:paraId="59A869E9">
            <w:pPr>
              <w:tabs>
                <w:tab w:val="left" w:pos="1890"/>
              </w:tabs>
              <w:spacing w:line="320" w:lineRule="exact"/>
              <w:jc w:val="center"/>
              <w:rPr>
                <w:rFonts w:hint="eastAsia"/>
                <w:b w:val="0"/>
                <w:bCs w:val="0"/>
                <w:szCs w:val="21"/>
              </w:rPr>
            </w:pPr>
            <w:r>
              <w:rPr>
                <w:rFonts w:hint="eastAsia"/>
                <w:b w:val="0"/>
                <w:bCs w:val="0"/>
                <w:szCs w:val="21"/>
              </w:rPr>
              <w:t>夜间，dB(A)</w:t>
            </w:r>
          </w:p>
        </w:tc>
        <w:tc>
          <w:tcPr>
            <w:tcW w:w="646" w:type="pct"/>
            <w:vMerge w:val="continue"/>
            <w:noWrap w:val="0"/>
            <w:vAlign w:val="center"/>
          </w:tcPr>
          <w:p w14:paraId="365C19D9">
            <w:pPr>
              <w:tabs>
                <w:tab w:val="left" w:pos="1890"/>
              </w:tabs>
              <w:spacing w:line="320" w:lineRule="exact"/>
              <w:jc w:val="center"/>
              <w:rPr>
                <w:rFonts w:hint="eastAsia"/>
                <w:b w:val="0"/>
                <w:bCs w:val="0"/>
                <w:szCs w:val="21"/>
              </w:rPr>
            </w:pPr>
          </w:p>
        </w:tc>
      </w:tr>
      <w:tr w14:paraId="1F03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51" w:type="pct"/>
            <w:noWrap w:val="0"/>
            <w:vAlign w:val="center"/>
          </w:tcPr>
          <w:p w14:paraId="6FD250D3">
            <w:pPr>
              <w:tabs>
                <w:tab w:val="left" w:pos="1890"/>
              </w:tabs>
              <w:spacing w:line="320" w:lineRule="exact"/>
              <w:jc w:val="center"/>
              <w:rPr>
                <w:rFonts w:hint="eastAsia"/>
                <w:b w:val="0"/>
                <w:bCs w:val="0"/>
                <w:szCs w:val="21"/>
              </w:rPr>
            </w:pPr>
            <w:r>
              <w:rPr>
                <w:rFonts w:hint="eastAsia"/>
                <w:b w:val="0"/>
                <w:bCs w:val="0"/>
                <w:szCs w:val="21"/>
              </w:rPr>
              <w:t>稳态噪声</w:t>
            </w:r>
          </w:p>
        </w:tc>
        <w:tc>
          <w:tcPr>
            <w:tcW w:w="564" w:type="pct"/>
            <w:noWrap w:val="0"/>
            <w:vAlign w:val="center"/>
          </w:tcPr>
          <w:p w14:paraId="236D8AA3">
            <w:pPr>
              <w:tabs>
                <w:tab w:val="left" w:pos="1890"/>
              </w:tabs>
              <w:spacing w:line="320" w:lineRule="exact"/>
              <w:jc w:val="center"/>
              <w:rPr>
                <w:rFonts w:hint="eastAsia"/>
                <w:b w:val="0"/>
                <w:bCs w:val="0"/>
                <w:szCs w:val="21"/>
              </w:rPr>
            </w:pPr>
            <w:r>
              <w:rPr>
                <w:rFonts w:hint="eastAsia"/>
                <w:b w:val="0"/>
                <w:bCs w:val="0"/>
                <w:szCs w:val="21"/>
              </w:rPr>
              <w:t>8</w:t>
            </w:r>
            <w:r>
              <w:rPr>
                <w:b w:val="0"/>
                <w:bCs w:val="0"/>
                <w:szCs w:val="21"/>
              </w:rPr>
              <w:t>:00～</w:t>
            </w:r>
            <w:r>
              <w:rPr>
                <w:rFonts w:hint="eastAsia"/>
                <w:b w:val="0"/>
                <w:bCs w:val="0"/>
                <w:szCs w:val="21"/>
              </w:rPr>
              <w:t>18</w:t>
            </w:r>
            <w:r>
              <w:rPr>
                <w:b w:val="0"/>
                <w:bCs w:val="0"/>
                <w:szCs w:val="21"/>
              </w:rPr>
              <w:t>:00</w:t>
            </w:r>
          </w:p>
        </w:tc>
        <w:tc>
          <w:tcPr>
            <w:tcW w:w="478" w:type="pct"/>
            <w:noWrap w:val="0"/>
            <w:vAlign w:val="center"/>
          </w:tcPr>
          <w:p w14:paraId="17247C5D">
            <w:pPr>
              <w:tabs>
                <w:tab w:val="left" w:pos="1890"/>
              </w:tabs>
              <w:spacing w:line="320" w:lineRule="exact"/>
              <w:jc w:val="center"/>
              <w:rPr>
                <w:rFonts w:hint="eastAsia" w:eastAsia="宋体"/>
                <w:b w:val="0"/>
                <w:bCs w:val="0"/>
                <w:szCs w:val="21"/>
                <w:lang w:eastAsia="zh-CN"/>
              </w:rPr>
            </w:pPr>
            <w:r>
              <w:rPr>
                <w:rFonts w:hint="eastAsia"/>
                <w:b w:val="0"/>
                <w:bCs w:val="0"/>
                <w:szCs w:val="21"/>
                <w:lang w:val="en-US" w:eastAsia="zh-CN"/>
              </w:rPr>
              <w:t>旋转窑运行</w:t>
            </w:r>
          </w:p>
        </w:tc>
        <w:tc>
          <w:tcPr>
            <w:tcW w:w="1427" w:type="pct"/>
            <w:noWrap w:val="0"/>
            <w:vAlign w:val="center"/>
          </w:tcPr>
          <w:p w14:paraId="6A84D666">
            <w:pPr>
              <w:tabs>
                <w:tab w:val="left" w:pos="1890"/>
              </w:tabs>
              <w:spacing w:line="320" w:lineRule="exact"/>
              <w:jc w:val="center"/>
              <w:rPr>
                <w:rFonts w:hint="eastAsia"/>
                <w:b w:val="0"/>
                <w:bCs w:val="0"/>
                <w:szCs w:val="21"/>
              </w:rPr>
            </w:pPr>
            <w:r>
              <w:rPr>
                <w:rFonts w:hint="eastAsia"/>
                <w:color w:val="auto"/>
              </w:rPr>
              <w:t>企业噪声排放执行</w:t>
            </w:r>
            <w:r>
              <w:rPr>
                <w:color w:val="auto"/>
              </w:rPr>
              <w:t>《工业企业厂界环境噪声排放标准》</w:t>
            </w:r>
            <w:r>
              <w:rPr>
                <w:rFonts w:hint="eastAsia"/>
                <w:color w:val="auto"/>
              </w:rPr>
              <w:t>(</w:t>
            </w:r>
            <w:r>
              <w:rPr>
                <w:color w:val="auto"/>
              </w:rPr>
              <w:t>GB12348-2008</w:t>
            </w:r>
            <w:r>
              <w:rPr>
                <w:rFonts w:hint="eastAsia"/>
                <w:color w:val="auto"/>
              </w:rPr>
              <w:t>)中</w:t>
            </w:r>
            <w:r>
              <w:rPr>
                <w:rFonts w:hint="eastAsia"/>
                <w:color w:val="auto"/>
                <w:lang w:val="en-US" w:eastAsia="zh-CN"/>
              </w:rPr>
              <w:t>2</w:t>
            </w:r>
            <w:r>
              <w:rPr>
                <w:rFonts w:hint="eastAsia"/>
                <w:color w:val="auto"/>
              </w:rPr>
              <w:t>类标准</w:t>
            </w:r>
          </w:p>
        </w:tc>
        <w:tc>
          <w:tcPr>
            <w:tcW w:w="628" w:type="pct"/>
            <w:noWrap w:val="0"/>
            <w:vAlign w:val="center"/>
          </w:tcPr>
          <w:p w14:paraId="7640313B">
            <w:pPr>
              <w:tabs>
                <w:tab w:val="left" w:pos="1890"/>
              </w:tabs>
              <w:spacing w:line="320" w:lineRule="exact"/>
              <w:jc w:val="center"/>
              <w:rPr>
                <w:rFonts w:hint="default"/>
                <w:lang w:val="en-US" w:eastAsia="zh-CN"/>
              </w:rPr>
            </w:pPr>
            <w:r>
              <w:rPr>
                <w:rFonts w:hint="eastAsia"/>
                <w:b w:val="0"/>
                <w:bCs w:val="0"/>
                <w:szCs w:val="21"/>
                <w:lang w:val="en-US" w:eastAsia="zh-CN"/>
              </w:rPr>
              <w:t>60</w:t>
            </w:r>
          </w:p>
        </w:tc>
        <w:tc>
          <w:tcPr>
            <w:tcW w:w="703" w:type="pct"/>
            <w:noWrap w:val="0"/>
            <w:vAlign w:val="center"/>
          </w:tcPr>
          <w:p w14:paraId="4B620280">
            <w:pPr>
              <w:tabs>
                <w:tab w:val="left" w:pos="1890"/>
              </w:tabs>
              <w:spacing w:line="320" w:lineRule="exact"/>
              <w:jc w:val="center"/>
              <w:rPr>
                <w:rFonts w:hint="default" w:eastAsia="宋体"/>
                <w:b w:val="0"/>
                <w:bCs w:val="0"/>
                <w:szCs w:val="21"/>
                <w:lang w:val="en-US" w:eastAsia="zh-CN"/>
              </w:rPr>
            </w:pPr>
            <w:r>
              <w:rPr>
                <w:rFonts w:hint="eastAsia"/>
                <w:b w:val="0"/>
                <w:bCs w:val="0"/>
                <w:szCs w:val="21"/>
                <w:lang w:val="en-US" w:eastAsia="zh-CN"/>
              </w:rPr>
              <w:t>50</w:t>
            </w:r>
          </w:p>
        </w:tc>
        <w:tc>
          <w:tcPr>
            <w:tcW w:w="646" w:type="pct"/>
            <w:noWrap w:val="0"/>
            <w:vAlign w:val="center"/>
          </w:tcPr>
          <w:p w14:paraId="3672AB63">
            <w:pPr>
              <w:tabs>
                <w:tab w:val="left" w:pos="1890"/>
              </w:tabs>
              <w:spacing w:line="320" w:lineRule="exact"/>
              <w:jc w:val="center"/>
              <w:rPr>
                <w:rFonts w:hint="eastAsia"/>
                <w:b w:val="0"/>
                <w:bCs w:val="0"/>
                <w:szCs w:val="21"/>
              </w:rPr>
            </w:pPr>
            <w:r>
              <w:rPr>
                <w:rFonts w:hint="eastAsia"/>
                <w:b w:val="0"/>
                <w:bCs w:val="0"/>
                <w:szCs w:val="21"/>
              </w:rPr>
              <w:t>/</w:t>
            </w:r>
          </w:p>
        </w:tc>
      </w:tr>
    </w:tbl>
    <w:p w14:paraId="694615A6">
      <w:pPr>
        <w:tabs>
          <w:tab w:val="left" w:pos="1890"/>
        </w:tabs>
        <w:spacing w:line="440" w:lineRule="exact"/>
        <w:jc w:val="center"/>
        <w:rPr>
          <w:rFonts w:hint="eastAsia"/>
          <w:b w:val="0"/>
          <w:bCs w:val="0"/>
          <w:sz w:val="21"/>
          <w:szCs w:val="22"/>
        </w:rPr>
      </w:pPr>
    </w:p>
    <w:p w14:paraId="4764B1BC">
      <w:pPr>
        <w:tabs>
          <w:tab w:val="left" w:pos="1890"/>
        </w:tabs>
        <w:spacing w:line="440" w:lineRule="exact"/>
        <w:jc w:val="center"/>
        <w:rPr>
          <w:rFonts w:hint="eastAsia" w:ascii="黑体" w:hAnsi="黑体" w:eastAsia="黑体" w:cs="黑体"/>
          <w:b w:val="0"/>
          <w:bCs w:val="0"/>
          <w:sz w:val="24"/>
          <w:szCs w:val="28"/>
        </w:rPr>
      </w:pPr>
      <w:r>
        <w:rPr>
          <w:rFonts w:hint="eastAsia" w:ascii="黑体" w:hAnsi="黑体" w:eastAsia="黑体" w:cs="黑体"/>
          <w:b w:val="0"/>
          <w:bCs w:val="0"/>
          <w:sz w:val="24"/>
          <w:szCs w:val="28"/>
        </w:rPr>
        <w:t>表</w:t>
      </w:r>
      <w:r>
        <w:rPr>
          <w:rFonts w:hint="eastAsia" w:ascii="黑体" w:hAnsi="黑体" w:eastAsia="黑体" w:cs="黑体"/>
          <w:b w:val="0"/>
          <w:bCs w:val="0"/>
          <w:sz w:val="24"/>
          <w:szCs w:val="28"/>
          <w:lang w:val="en-US" w:eastAsia="zh-CN"/>
        </w:rPr>
        <w:t>7</w:t>
      </w:r>
      <w:r>
        <w:rPr>
          <w:rFonts w:hint="eastAsia" w:ascii="黑体" w:hAnsi="黑体" w:eastAsia="黑体" w:cs="黑体"/>
          <w:b w:val="0"/>
          <w:bCs w:val="0"/>
          <w:sz w:val="24"/>
          <w:szCs w:val="28"/>
        </w:rPr>
        <w:t xml:space="preserve">  建设项目固体废物（一般固体废物和危险固体废物）排放信息表</w:t>
      </w:r>
    </w:p>
    <w:tbl>
      <w:tblPr>
        <w:tblStyle w:val="3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780"/>
        <w:gridCol w:w="1062"/>
        <w:gridCol w:w="865"/>
        <w:gridCol w:w="1196"/>
        <w:gridCol w:w="1477"/>
        <w:gridCol w:w="936"/>
        <w:gridCol w:w="862"/>
        <w:gridCol w:w="936"/>
        <w:gridCol w:w="857"/>
        <w:gridCol w:w="854"/>
        <w:gridCol w:w="1029"/>
        <w:gridCol w:w="1037"/>
        <w:gridCol w:w="745"/>
        <w:gridCol w:w="570"/>
      </w:tblGrid>
      <w:tr w14:paraId="1637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63" w:type="pct"/>
            <w:vMerge w:val="restart"/>
            <w:noWrap w:val="0"/>
            <w:vAlign w:val="center"/>
          </w:tcPr>
          <w:p w14:paraId="409F4228">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序号</w:t>
            </w:r>
          </w:p>
        </w:tc>
        <w:tc>
          <w:tcPr>
            <w:tcW w:w="288" w:type="pct"/>
            <w:vMerge w:val="restart"/>
            <w:noWrap w:val="0"/>
            <w:vAlign w:val="center"/>
          </w:tcPr>
          <w:p w14:paraId="4957024D">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固体废物来源</w:t>
            </w:r>
          </w:p>
        </w:tc>
        <w:tc>
          <w:tcPr>
            <w:tcW w:w="391" w:type="pct"/>
            <w:vMerge w:val="restart"/>
            <w:noWrap w:val="0"/>
            <w:vAlign w:val="center"/>
          </w:tcPr>
          <w:p w14:paraId="6C0F2688">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固体废物名称</w:t>
            </w:r>
          </w:p>
        </w:tc>
        <w:tc>
          <w:tcPr>
            <w:tcW w:w="319" w:type="pct"/>
            <w:vMerge w:val="restart"/>
            <w:noWrap w:val="0"/>
            <w:vAlign w:val="center"/>
          </w:tcPr>
          <w:p w14:paraId="47DFC41D">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固体废物种类</w:t>
            </w:r>
          </w:p>
        </w:tc>
        <w:tc>
          <w:tcPr>
            <w:tcW w:w="406" w:type="pct"/>
            <w:vMerge w:val="restart"/>
            <w:noWrap w:val="0"/>
            <w:vAlign w:val="center"/>
          </w:tcPr>
          <w:p w14:paraId="184DEA74">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固体废物类别</w:t>
            </w:r>
          </w:p>
        </w:tc>
        <w:tc>
          <w:tcPr>
            <w:tcW w:w="543" w:type="pct"/>
            <w:vMerge w:val="restart"/>
            <w:noWrap w:val="0"/>
            <w:vAlign w:val="center"/>
          </w:tcPr>
          <w:p w14:paraId="616E7E0D">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固体废物描述</w:t>
            </w:r>
          </w:p>
        </w:tc>
        <w:tc>
          <w:tcPr>
            <w:tcW w:w="345" w:type="pct"/>
            <w:vMerge w:val="restart"/>
            <w:noWrap w:val="0"/>
            <w:vAlign w:val="center"/>
          </w:tcPr>
          <w:p w14:paraId="4EE0D870">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固体废物产生量（t/a）</w:t>
            </w:r>
          </w:p>
        </w:tc>
        <w:tc>
          <w:tcPr>
            <w:tcW w:w="318" w:type="pct"/>
            <w:vMerge w:val="restart"/>
            <w:noWrap w:val="0"/>
            <w:vAlign w:val="center"/>
          </w:tcPr>
          <w:p w14:paraId="5E7032C4">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处理方式</w:t>
            </w:r>
          </w:p>
        </w:tc>
        <w:tc>
          <w:tcPr>
            <w:tcW w:w="2011" w:type="pct"/>
            <w:gridSpan w:val="6"/>
            <w:noWrap w:val="0"/>
            <w:vAlign w:val="center"/>
          </w:tcPr>
          <w:p w14:paraId="61770D58">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处理去向</w:t>
            </w:r>
          </w:p>
        </w:tc>
        <w:tc>
          <w:tcPr>
            <w:tcW w:w="211" w:type="pct"/>
            <w:vMerge w:val="restart"/>
            <w:noWrap w:val="0"/>
            <w:vAlign w:val="center"/>
          </w:tcPr>
          <w:p w14:paraId="72375DCC">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其他信息</w:t>
            </w:r>
          </w:p>
        </w:tc>
      </w:tr>
      <w:tr w14:paraId="4894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63" w:type="pct"/>
            <w:vMerge w:val="continue"/>
            <w:noWrap w:val="0"/>
            <w:vAlign w:val="center"/>
          </w:tcPr>
          <w:p w14:paraId="7AAF70DF">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288" w:type="pct"/>
            <w:vMerge w:val="continue"/>
            <w:noWrap w:val="0"/>
            <w:vAlign w:val="center"/>
          </w:tcPr>
          <w:p w14:paraId="70F4D335">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91" w:type="pct"/>
            <w:vMerge w:val="continue"/>
            <w:noWrap w:val="0"/>
            <w:vAlign w:val="center"/>
          </w:tcPr>
          <w:p w14:paraId="79A8B58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19" w:type="pct"/>
            <w:vMerge w:val="continue"/>
            <w:noWrap w:val="0"/>
            <w:vAlign w:val="center"/>
          </w:tcPr>
          <w:p w14:paraId="283262E3">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406" w:type="pct"/>
            <w:vMerge w:val="continue"/>
            <w:noWrap w:val="0"/>
            <w:vAlign w:val="center"/>
          </w:tcPr>
          <w:p w14:paraId="6D10CA58">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543" w:type="pct"/>
            <w:vMerge w:val="continue"/>
            <w:noWrap w:val="0"/>
            <w:vAlign w:val="center"/>
          </w:tcPr>
          <w:p w14:paraId="78CC6B4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45" w:type="pct"/>
            <w:vMerge w:val="continue"/>
            <w:noWrap w:val="0"/>
            <w:vAlign w:val="center"/>
          </w:tcPr>
          <w:p w14:paraId="4908017A">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18" w:type="pct"/>
            <w:vMerge w:val="continue"/>
            <w:noWrap w:val="0"/>
            <w:vAlign w:val="center"/>
          </w:tcPr>
          <w:p w14:paraId="4779FCE3">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45" w:type="pct"/>
            <w:vMerge w:val="restart"/>
            <w:noWrap w:val="0"/>
            <w:vAlign w:val="center"/>
          </w:tcPr>
          <w:p w14:paraId="490B3EBB">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自行贮存量（t/a）</w:t>
            </w:r>
          </w:p>
        </w:tc>
        <w:tc>
          <w:tcPr>
            <w:tcW w:w="316" w:type="pct"/>
            <w:vMerge w:val="restart"/>
            <w:noWrap w:val="0"/>
            <w:vAlign w:val="center"/>
          </w:tcPr>
          <w:p w14:paraId="126925C6">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自行利用（t/a）</w:t>
            </w:r>
          </w:p>
        </w:tc>
        <w:tc>
          <w:tcPr>
            <w:tcW w:w="315" w:type="pct"/>
            <w:vMerge w:val="restart"/>
            <w:noWrap w:val="0"/>
            <w:vAlign w:val="center"/>
          </w:tcPr>
          <w:p w14:paraId="6F847D9F">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自行处置（t/a）</w:t>
            </w:r>
          </w:p>
        </w:tc>
        <w:tc>
          <w:tcPr>
            <w:tcW w:w="761" w:type="pct"/>
            <w:gridSpan w:val="2"/>
            <w:noWrap w:val="0"/>
            <w:vAlign w:val="center"/>
          </w:tcPr>
          <w:p w14:paraId="11A6C55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转移量（t/a）</w:t>
            </w:r>
          </w:p>
        </w:tc>
        <w:tc>
          <w:tcPr>
            <w:tcW w:w="272" w:type="pct"/>
            <w:vMerge w:val="restart"/>
            <w:noWrap w:val="0"/>
            <w:vAlign w:val="center"/>
          </w:tcPr>
          <w:p w14:paraId="44AD6FA2">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排放量（t/a）</w:t>
            </w:r>
          </w:p>
        </w:tc>
        <w:tc>
          <w:tcPr>
            <w:tcW w:w="211" w:type="pct"/>
            <w:vMerge w:val="continue"/>
            <w:noWrap w:val="0"/>
            <w:vAlign w:val="center"/>
          </w:tcPr>
          <w:p w14:paraId="6DEAEA50">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r>
      <w:tr w14:paraId="15D7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163" w:type="pct"/>
            <w:vMerge w:val="continue"/>
            <w:noWrap w:val="0"/>
            <w:vAlign w:val="center"/>
          </w:tcPr>
          <w:p w14:paraId="5EEA04AE">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288" w:type="pct"/>
            <w:vMerge w:val="continue"/>
            <w:noWrap w:val="0"/>
            <w:vAlign w:val="center"/>
          </w:tcPr>
          <w:p w14:paraId="315D45FC">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91" w:type="pct"/>
            <w:vMerge w:val="continue"/>
            <w:noWrap w:val="0"/>
            <w:vAlign w:val="center"/>
          </w:tcPr>
          <w:p w14:paraId="2F356653">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19" w:type="pct"/>
            <w:vMerge w:val="continue"/>
            <w:noWrap w:val="0"/>
            <w:vAlign w:val="center"/>
          </w:tcPr>
          <w:p w14:paraId="27E6C657">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406" w:type="pct"/>
            <w:vMerge w:val="continue"/>
            <w:noWrap w:val="0"/>
            <w:vAlign w:val="center"/>
          </w:tcPr>
          <w:p w14:paraId="497F972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543" w:type="pct"/>
            <w:vMerge w:val="continue"/>
            <w:noWrap w:val="0"/>
            <w:vAlign w:val="center"/>
          </w:tcPr>
          <w:p w14:paraId="2D4293F1">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45" w:type="pct"/>
            <w:vMerge w:val="continue"/>
            <w:noWrap w:val="0"/>
            <w:vAlign w:val="center"/>
          </w:tcPr>
          <w:p w14:paraId="0A0FC5E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18" w:type="pct"/>
            <w:vMerge w:val="continue"/>
            <w:noWrap w:val="0"/>
            <w:vAlign w:val="center"/>
          </w:tcPr>
          <w:p w14:paraId="39F15EB4">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45" w:type="pct"/>
            <w:vMerge w:val="continue"/>
            <w:noWrap w:val="0"/>
            <w:vAlign w:val="center"/>
          </w:tcPr>
          <w:p w14:paraId="4CA20BEC">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16" w:type="pct"/>
            <w:vMerge w:val="continue"/>
            <w:noWrap w:val="0"/>
            <w:vAlign w:val="center"/>
          </w:tcPr>
          <w:p w14:paraId="02F04C35">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15" w:type="pct"/>
            <w:vMerge w:val="continue"/>
            <w:noWrap w:val="0"/>
            <w:vAlign w:val="center"/>
          </w:tcPr>
          <w:p w14:paraId="77664DCE">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79" w:type="pct"/>
            <w:noWrap w:val="0"/>
            <w:vAlign w:val="center"/>
          </w:tcPr>
          <w:p w14:paraId="4FAEAD87">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委托利用量</w:t>
            </w:r>
          </w:p>
        </w:tc>
        <w:tc>
          <w:tcPr>
            <w:tcW w:w="381" w:type="pct"/>
            <w:noWrap w:val="0"/>
            <w:vAlign w:val="center"/>
          </w:tcPr>
          <w:p w14:paraId="659732E7">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委托处置量</w:t>
            </w:r>
          </w:p>
        </w:tc>
        <w:tc>
          <w:tcPr>
            <w:tcW w:w="272" w:type="pct"/>
            <w:vMerge w:val="continue"/>
            <w:noWrap w:val="0"/>
            <w:vAlign w:val="center"/>
          </w:tcPr>
          <w:p w14:paraId="46AC87FF">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211" w:type="pct"/>
            <w:vMerge w:val="continue"/>
            <w:noWrap w:val="0"/>
            <w:vAlign w:val="center"/>
          </w:tcPr>
          <w:p w14:paraId="363F69CE">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r>
      <w:tr w14:paraId="42A2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63" w:type="pct"/>
            <w:noWrap w:val="0"/>
            <w:vAlign w:val="center"/>
          </w:tcPr>
          <w:p w14:paraId="662FA13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1</w:t>
            </w:r>
          </w:p>
        </w:tc>
        <w:tc>
          <w:tcPr>
            <w:tcW w:w="288" w:type="pct"/>
            <w:noWrap w:val="0"/>
            <w:vAlign w:val="center"/>
          </w:tcPr>
          <w:p w14:paraId="0CBCA06F">
            <w:pPr>
              <w:keepNext w:val="0"/>
              <w:keepLines w:val="0"/>
              <w:pageBreakBefore w:val="0"/>
              <w:kinsoku/>
              <w:wordWrap/>
              <w:overflowPunct/>
              <w:topLinePunct w:val="0"/>
              <w:bidi w:val="0"/>
              <w:spacing w:line="300" w:lineRule="exact"/>
              <w:ind w:left="-63" w:leftChars="-30" w:right="-63" w:rightChars="-30"/>
              <w:jc w:val="center"/>
              <w:rPr>
                <w:rFonts w:hAnsi="宋体"/>
                <w:b w:val="0"/>
                <w:bCs w:val="0"/>
                <w:szCs w:val="21"/>
              </w:rPr>
            </w:pPr>
            <w:r>
              <w:rPr>
                <w:rFonts w:hint="eastAsia" w:hAnsi="宋体"/>
                <w:b w:val="0"/>
                <w:bCs w:val="0"/>
                <w:szCs w:val="21"/>
              </w:rPr>
              <w:t>生产</w:t>
            </w:r>
          </w:p>
        </w:tc>
        <w:tc>
          <w:tcPr>
            <w:tcW w:w="391" w:type="pct"/>
            <w:noWrap w:val="0"/>
            <w:vAlign w:val="center"/>
          </w:tcPr>
          <w:p w14:paraId="6D59D3A6">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hAnsi="宋体"/>
                <w:b w:val="0"/>
                <w:bCs w:val="0"/>
                <w:sz w:val="21"/>
              </w:rPr>
            </w:pPr>
            <w:r>
              <w:rPr>
                <w:rFonts w:hint="default" w:ascii="Times New Roman" w:hAnsi="Times New Roman" w:eastAsia="宋体" w:cs="Times New Roman"/>
                <w:b w:val="0"/>
                <w:bCs/>
                <w:sz w:val="21"/>
                <w:szCs w:val="21"/>
                <w:lang w:val="en-US" w:eastAsia="zh-CN"/>
              </w:rPr>
              <w:t>磁选废物</w:t>
            </w:r>
          </w:p>
        </w:tc>
        <w:tc>
          <w:tcPr>
            <w:tcW w:w="319" w:type="pct"/>
            <w:noWrap w:val="0"/>
            <w:vAlign w:val="center"/>
          </w:tcPr>
          <w:p w14:paraId="0E5EA0EA">
            <w:pPr>
              <w:widowControl/>
              <w:spacing w:line="240" w:lineRule="auto"/>
              <w:jc w:val="center"/>
              <w:rPr>
                <w:b w:val="0"/>
                <w:bCs w:val="0"/>
                <w:szCs w:val="21"/>
              </w:rPr>
            </w:pPr>
            <w:r>
              <w:rPr>
                <w:rFonts w:hint="eastAsia"/>
                <w:b w:val="0"/>
                <w:bCs w:val="0"/>
                <w:sz w:val="21"/>
                <w:szCs w:val="21"/>
                <w:lang w:bidi="zh-CN"/>
              </w:rPr>
              <w:t>一般工业固废</w:t>
            </w:r>
          </w:p>
        </w:tc>
        <w:tc>
          <w:tcPr>
            <w:tcW w:w="406" w:type="pct"/>
            <w:noWrap w:val="0"/>
            <w:vAlign w:val="center"/>
          </w:tcPr>
          <w:p w14:paraId="644CF338">
            <w:pPr>
              <w:keepNext w:val="0"/>
              <w:keepLines w:val="0"/>
              <w:pageBreakBefore w:val="0"/>
              <w:widowControl/>
              <w:kinsoku/>
              <w:wordWrap/>
              <w:overflowPunct/>
              <w:topLinePunct w:val="0"/>
              <w:bidi w:val="0"/>
              <w:adjustRightInd w:val="0"/>
              <w:snapToGrid w:val="0"/>
              <w:spacing w:line="300" w:lineRule="exact"/>
              <w:jc w:val="center"/>
              <w:rPr>
                <w:rFonts w:hint="eastAsia" w:hAnsi="宋体"/>
                <w:b w:val="0"/>
                <w:bCs w:val="0"/>
                <w:szCs w:val="21"/>
              </w:rPr>
            </w:pPr>
            <w:r>
              <w:rPr>
                <w:rFonts w:hint="eastAsia" w:hAnsi="宋体"/>
                <w:b w:val="0"/>
                <w:bCs w:val="0"/>
                <w:szCs w:val="21"/>
              </w:rPr>
              <w:t>/</w:t>
            </w:r>
          </w:p>
        </w:tc>
        <w:tc>
          <w:tcPr>
            <w:tcW w:w="543" w:type="pct"/>
            <w:noWrap w:val="0"/>
            <w:vAlign w:val="center"/>
          </w:tcPr>
          <w:p w14:paraId="1D057E94">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b w:val="0"/>
                <w:bCs w:val="0"/>
                <w:sz w:val="21"/>
              </w:rPr>
            </w:pPr>
            <w:r>
              <w:rPr>
                <w:rFonts w:hint="default" w:ascii="Times New Roman" w:hAnsi="Times New Roman" w:eastAsia="宋体" w:cs="Times New Roman"/>
                <w:b w:val="0"/>
                <w:bCs/>
                <w:sz w:val="21"/>
                <w:szCs w:val="21"/>
                <w:lang w:val="en-US" w:eastAsia="zh-CN"/>
              </w:rPr>
              <w:t>磁选废物</w:t>
            </w:r>
          </w:p>
        </w:tc>
        <w:tc>
          <w:tcPr>
            <w:tcW w:w="345" w:type="pct"/>
            <w:noWrap w:val="0"/>
            <w:vAlign w:val="center"/>
          </w:tcPr>
          <w:p w14:paraId="3D1BDADA">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hAnsi="宋体" w:eastAsia="宋体"/>
                <w:b w:val="0"/>
                <w:bCs w:val="0"/>
                <w:sz w:val="21"/>
                <w:lang w:val="en-US" w:eastAsia="zh-CN"/>
              </w:rPr>
            </w:pPr>
            <w:r>
              <w:rPr>
                <w:rFonts w:hint="default" w:ascii="Times New Roman" w:hAnsi="Times New Roman" w:eastAsia="宋体" w:cs="Times New Roman"/>
                <w:b w:val="0"/>
                <w:bCs/>
                <w:sz w:val="21"/>
                <w:szCs w:val="21"/>
              </w:rPr>
              <w:t>12</w:t>
            </w:r>
          </w:p>
        </w:tc>
        <w:tc>
          <w:tcPr>
            <w:tcW w:w="318" w:type="pct"/>
            <w:vMerge w:val="restart"/>
            <w:noWrap w:val="0"/>
            <w:vAlign w:val="center"/>
          </w:tcPr>
          <w:p w14:paraId="3C5338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b w:val="0"/>
                <w:bCs w:val="0"/>
                <w:szCs w:val="21"/>
              </w:rPr>
            </w:pPr>
            <w:r>
              <w:rPr>
                <w:rFonts w:hint="eastAsia"/>
                <w:b w:val="0"/>
                <w:bCs w:val="0"/>
                <w:sz w:val="21"/>
                <w:szCs w:val="21"/>
                <w:lang w:bidi="zh-CN"/>
              </w:rPr>
              <w:t>收集后外售综合利用</w:t>
            </w:r>
          </w:p>
        </w:tc>
        <w:tc>
          <w:tcPr>
            <w:tcW w:w="345" w:type="pct"/>
            <w:noWrap w:val="0"/>
            <w:vAlign w:val="center"/>
          </w:tcPr>
          <w:p w14:paraId="546371B2">
            <w:pPr>
              <w:keepNext w:val="0"/>
              <w:keepLines w:val="0"/>
              <w:pageBreakBefore w:val="0"/>
              <w:kinsoku/>
              <w:wordWrap/>
              <w:overflowPunct/>
              <w:topLinePunct w:val="0"/>
              <w:bidi w:val="0"/>
              <w:spacing w:line="300" w:lineRule="exact"/>
              <w:ind w:left="-63" w:leftChars="-30" w:right="-63" w:rightChars="-30"/>
              <w:jc w:val="center"/>
              <w:rPr>
                <w:rFonts w:hint="eastAsia" w:hAnsi="宋体"/>
                <w:b w:val="0"/>
                <w:bCs w:val="0"/>
                <w:szCs w:val="21"/>
              </w:rPr>
            </w:pPr>
            <w:r>
              <w:rPr>
                <w:rFonts w:hint="eastAsia"/>
                <w:b w:val="0"/>
                <w:bCs w:val="0"/>
                <w:szCs w:val="21"/>
              </w:rPr>
              <w:t>0</w:t>
            </w:r>
          </w:p>
        </w:tc>
        <w:tc>
          <w:tcPr>
            <w:tcW w:w="316" w:type="pct"/>
            <w:noWrap w:val="0"/>
            <w:vAlign w:val="center"/>
          </w:tcPr>
          <w:p w14:paraId="4077D410">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15" w:type="pct"/>
            <w:noWrap w:val="0"/>
            <w:vAlign w:val="center"/>
          </w:tcPr>
          <w:p w14:paraId="1031EA88">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79" w:type="pct"/>
            <w:noWrap w:val="0"/>
            <w:vAlign w:val="center"/>
          </w:tcPr>
          <w:p w14:paraId="63051814">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b w:val="0"/>
                <w:bCs w:val="0"/>
                <w:szCs w:val="21"/>
              </w:rPr>
            </w:pPr>
            <w:r>
              <w:rPr>
                <w:rFonts w:hint="default" w:ascii="Times New Roman" w:hAnsi="Times New Roman" w:eastAsia="宋体" w:cs="Times New Roman"/>
                <w:b w:val="0"/>
                <w:bCs/>
                <w:sz w:val="21"/>
                <w:szCs w:val="21"/>
              </w:rPr>
              <w:t>12</w:t>
            </w:r>
          </w:p>
        </w:tc>
        <w:tc>
          <w:tcPr>
            <w:tcW w:w="381" w:type="pct"/>
            <w:noWrap w:val="0"/>
            <w:vAlign w:val="center"/>
          </w:tcPr>
          <w:p w14:paraId="2E813A87">
            <w:pPr>
              <w:pStyle w:val="168"/>
              <w:keepNext w:val="0"/>
              <w:keepLines w:val="0"/>
              <w:pageBreakBefore w:val="0"/>
              <w:kinsoku/>
              <w:wordWrap/>
              <w:overflowPunct/>
              <w:topLinePunct w:val="0"/>
              <w:bidi w:val="0"/>
              <w:spacing w:line="300" w:lineRule="exact"/>
              <w:ind w:left="-105" w:leftChars="-50" w:right="-105" w:rightChars="-50"/>
              <w:rPr>
                <w:rFonts w:hint="eastAsia" w:hAnsi="宋体"/>
                <w:b w:val="0"/>
                <w:bCs w:val="0"/>
                <w:sz w:val="21"/>
              </w:rPr>
            </w:pPr>
            <w:r>
              <w:rPr>
                <w:rFonts w:hint="eastAsia"/>
                <w:b w:val="0"/>
                <w:bCs w:val="0"/>
                <w:szCs w:val="21"/>
              </w:rPr>
              <w:t>0</w:t>
            </w:r>
          </w:p>
        </w:tc>
        <w:tc>
          <w:tcPr>
            <w:tcW w:w="272" w:type="pct"/>
            <w:noWrap w:val="0"/>
            <w:vAlign w:val="center"/>
          </w:tcPr>
          <w:p w14:paraId="37D7C80E">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6C6C85A2">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r w14:paraId="159E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63" w:type="pct"/>
            <w:noWrap w:val="0"/>
            <w:vAlign w:val="center"/>
          </w:tcPr>
          <w:p w14:paraId="7E381450">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eastAsia="宋体"/>
                <w:b w:val="0"/>
                <w:bCs w:val="0"/>
                <w:szCs w:val="21"/>
                <w:lang w:eastAsia="zh-CN"/>
              </w:rPr>
            </w:pPr>
            <w:r>
              <w:rPr>
                <w:rFonts w:hint="eastAsia"/>
                <w:b w:val="0"/>
                <w:bCs w:val="0"/>
                <w:szCs w:val="21"/>
                <w:lang w:val="en-US" w:eastAsia="zh-CN"/>
              </w:rPr>
              <w:t>2</w:t>
            </w:r>
          </w:p>
        </w:tc>
        <w:tc>
          <w:tcPr>
            <w:tcW w:w="288" w:type="pct"/>
            <w:noWrap w:val="0"/>
            <w:vAlign w:val="center"/>
          </w:tcPr>
          <w:p w14:paraId="2DC06666">
            <w:pPr>
              <w:keepNext w:val="0"/>
              <w:keepLines w:val="0"/>
              <w:pageBreakBefore w:val="0"/>
              <w:kinsoku/>
              <w:wordWrap/>
              <w:overflowPunct/>
              <w:topLinePunct w:val="0"/>
              <w:bidi w:val="0"/>
              <w:spacing w:line="300" w:lineRule="exact"/>
              <w:ind w:left="-105" w:leftChars="-50" w:right="-105" w:rightChars="-50"/>
              <w:jc w:val="center"/>
              <w:rPr>
                <w:rFonts w:ascii="宋体" w:hAnsi="宋体"/>
                <w:b w:val="0"/>
                <w:bCs w:val="0"/>
              </w:rPr>
            </w:pPr>
            <w:r>
              <w:rPr>
                <w:rFonts w:hint="eastAsia" w:hAnsi="宋体"/>
                <w:b w:val="0"/>
                <w:bCs w:val="0"/>
                <w:szCs w:val="21"/>
              </w:rPr>
              <w:t>生产</w:t>
            </w:r>
          </w:p>
        </w:tc>
        <w:tc>
          <w:tcPr>
            <w:tcW w:w="391" w:type="pct"/>
            <w:noWrap w:val="0"/>
            <w:vAlign w:val="center"/>
          </w:tcPr>
          <w:p w14:paraId="19276249">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ascii="宋体" w:hAnsi="宋体"/>
                <w:b w:val="0"/>
                <w:bCs w:val="0"/>
                <w:sz w:val="21"/>
              </w:rPr>
            </w:pPr>
            <w:r>
              <w:rPr>
                <w:rFonts w:hint="default" w:ascii="Times New Roman" w:hAnsi="Times New Roman" w:eastAsia="宋体" w:cs="Times New Roman"/>
                <w:b w:val="0"/>
                <w:bCs/>
                <w:sz w:val="21"/>
                <w:szCs w:val="21"/>
                <w:lang w:val="en-US" w:eastAsia="zh-CN"/>
              </w:rPr>
              <w:t>废布袋</w:t>
            </w:r>
          </w:p>
        </w:tc>
        <w:tc>
          <w:tcPr>
            <w:tcW w:w="319" w:type="pct"/>
            <w:noWrap w:val="0"/>
            <w:vAlign w:val="center"/>
          </w:tcPr>
          <w:p w14:paraId="68383413">
            <w:pPr>
              <w:widowControl/>
              <w:spacing w:line="240" w:lineRule="auto"/>
              <w:jc w:val="center"/>
              <w:rPr>
                <w:rFonts w:hint="eastAsia"/>
                <w:b w:val="0"/>
                <w:bCs w:val="0"/>
                <w:szCs w:val="21"/>
              </w:rPr>
            </w:pPr>
            <w:r>
              <w:rPr>
                <w:rFonts w:hint="eastAsia"/>
                <w:b w:val="0"/>
                <w:bCs w:val="0"/>
                <w:sz w:val="21"/>
                <w:szCs w:val="21"/>
                <w:lang w:bidi="zh-CN"/>
              </w:rPr>
              <w:t>一般工业固废</w:t>
            </w:r>
          </w:p>
        </w:tc>
        <w:tc>
          <w:tcPr>
            <w:tcW w:w="406" w:type="pct"/>
            <w:noWrap w:val="0"/>
            <w:vAlign w:val="center"/>
          </w:tcPr>
          <w:p w14:paraId="078FC616">
            <w:pPr>
              <w:keepNext w:val="0"/>
              <w:keepLines w:val="0"/>
              <w:pageBreakBefore w:val="0"/>
              <w:widowControl/>
              <w:kinsoku/>
              <w:wordWrap/>
              <w:overflowPunct/>
              <w:topLinePunct w:val="0"/>
              <w:bidi w:val="0"/>
              <w:adjustRightInd w:val="0"/>
              <w:snapToGrid w:val="0"/>
              <w:spacing w:line="300" w:lineRule="exact"/>
              <w:jc w:val="center"/>
              <w:rPr>
                <w:rFonts w:hint="eastAsia"/>
                <w:b w:val="0"/>
                <w:bCs w:val="0"/>
                <w:szCs w:val="21"/>
              </w:rPr>
            </w:pPr>
            <w:r>
              <w:rPr>
                <w:rFonts w:hint="eastAsia"/>
                <w:b w:val="0"/>
                <w:bCs w:val="0"/>
                <w:szCs w:val="21"/>
              </w:rPr>
              <w:t>/</w:t>
            </w:r>
          </w:p>
        </w:tc>
        <w:tc>
          <w:tcPr>
            <w:tcW w:w="543" w:type="pct"/>
            <w:noWrap w:val="0"/>
            <w:vAlign w:val="center"/>
          </w:tcPr>
          <w:p w14:paraId="3468F1EC">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b w:val="0"/>
                <w:bCs w:val="0"/>
                <w:sz w:val="21"/>
              </w:rPr>
            </w:pPr>
            <w:r>
              <w:rPr>
                <w:rFonts w:hint="default" w:ascii="Times New Roman" w:hAnsi="Times New Roman" w:eastAsia="宋体" w:cs="Times New Roman"/>
                <w:b w:val="0"/>
                <w:bCs/>
                <w:sz w:val="21"/>
                <w:szCs w:val="21"/>
                <w:lang w:val="en-US" w:eastAsia="zh-CN"/>
              </w:rPr>
              <w:t>废布袋</w:t>
            </w:r>
          </w:p>
        </w:tc>
        <w:tc>
          <w:tcPr>
            <w:tcW w:w="345" w:type="pct"/>
            <w:noWrap w:val="0"/>
            <w:vAlign w:val="center"/>
          </w:tcPr>
          <w:p w14:paraId="0751698E">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hAnsi="宋体" w:eastAsia="宋体"/>
                <w:b w:val="0"/>
                <w:bCs w:val="0"/>
                <w:sz w:val="21"/>
                <w:lang w:val="en-US" w:eastAsia="zh-CN"/>
              </w:rPr>
            </w:pPr>
            <w:r>
              <w:rPr>
                <w:rFonts w:hint="default" w:ascii="Times New Roman" w:hAnsi="Times New Roman" w:eastAsia="宋体" w:cs="Times New Roman"/>
                <w:b w:val="0"/>
                <w:bCs/>
                <w:sz w:val="21"/>
                <w:szCs w:val="21"/>
              </w:rPr>
              <w:t>0.</w:t>
            </w:r>
            <w:r>
              <w:rPr>
                <w:rFonts w:hint="eastAsia" w:ascii="Times New Roman" w:hAnsi="Times New Roman" w:eastAsia="宋体" w:cs="Times New Roman"/>
                <w:b w:val="0"/>
                <w:bCs/>
                <w:sz w:val="21"/>
                <w:szCs w:val="21"/>
                <w:lang w:val="en-US" w:eastAsia="zh-CN"/>
              </w:rPr>
              <w:t>2</w:t>
            </w:r>
          </w:p>
        </w:tc>
        <w:tc>
          <w:tcPr>
            <w:tcW w:w="318" w:type="pct"/>
            <w:vMerge w:val="continue"/>
            <w:noWrap w:val="0"/>
            <w:vAlign w:val="center"/>
          </w:tcPr>
          <w:p w14:paraId="50C15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b w:val="0"/>
                <w:bCs w:val="0"/>
                <w:szCs w:val="21"/>
              </w:rPr>
            </w:pPr>
          </w:p>
        </w:tc>
        <w:tc>
          <w:tcPr>
            <w:tcW w:w="345" w:type="pct"/>
            <w:noWrap w:val="0"/>
            <w:vAlign w:val="center"/>
          </w:tcPr>
          <w:p w14:paraId="588A63EF">
            <w:pPr>
              <w:keepNext w:val="0"/>
              <w:keepLines w:val="0"/>
              <w:pageBreakBefore w:val="0"/>
              <w:kinsoku/>
              <w:wordWrap/>
              <w:overflowPunct/>
              <w:topLinePunct w:val="0"/>
              <w:bidi w:val="0"/>
              <w:spacing w:line="300" w:lineRule="exact"/>
              <w:ind w:left="-105" w:leftChars="-50" w:right="-105" w:rightChars="-50"/>
              <w:jc w:val="center"/>
              <w:rPr>
                <w:rFonts w:hint="eastAsia" w:hAnsi="宋体"/>
                <w:b w:val="0"/>
                <w:bCs w:val="0"/>
              </w:rPr>
            </w:pPr>
            <w:r>
              <w:rPr>
                <w:rFonts w:hint="eastAsia"/>
                <w:b w:val="0"/>
                <w:bCs w:val="0"/>
                <w:szCs w:val="21"/>
              </w:rPr>
              <w:t>0</w:t>
            </w:r>
          </w:p>
        </w:tc>
        <w:tc>
          <w:tcPr>
            <w:tcW w:w="316" w:type="pct"/>
            <w:noWrap w:val="0"/>
            <w:vAlign w:val="center"/>
          </w:tcPr>
          <w:p w14:paraId="466C92A5">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15" w:type="pct"/>
            <w:noWrap w:val="0"/>
            <w:vAlign w:val="center"/>
          </w:tcPr>
          <w:p w14:paraId="4612D483">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79" w:type="pct"/>
            <w:noWrap w:val="0"/>
            <w:vAlign w:val="center"/>
          </w:tcPr>
          <w:p w14:paraId="203B1EA1">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b w:val="0"/>
                <w:bCs w:val="0"/>
                <w:szCs w:val="21"/>
              </w:rPr>
            </w:pPr>
            <w:r>
              <w:rPr>
                <w:rFonts w:hint="default" w:ascii="Times New Roman" w:hAnsi="Times New Roman" w:eastAsia="宋体" w:cs="Times New Roman"/>
                <w:b w:val="0"/>
                <w:bCs/>
                <w:sz w:val="21"/>
                <w:szCs w:val="21"/>
              </w:rPr>
              <w:t>0.</w:t>
            </w:r>
            <w:r>
              <w:rPr>
                <w:rFonts w:hint="eastAsia" w:ascii="Times New Roman" w:hAnsi="Times New Roman" w:eastAsia="宋体" w:cs="Times New Roman"/>
                <w:b w:val="0"/>
                <w:bCs/>
                <w:sz w:val="21"/>
                <w:szCs w:val="21"/>
                <w:lang w:val="en-US" w:eastAsia="zh-CN"/>
              </w:rPr>
              <w:t>2</w:t>
            </w:r>
          </w:p>
        </w:tc>
        <w:tc>
          <w:tcPr>
            <w:tcW w:w="381" w:type="pct"/>
            <w:noWrap w:val="0"/>
            <w:vAlign w:val="center"/>
          </w:tcPr>
          <w:p w14:paraId="57B8CB7D">
            <w:pPr>
              <w:pStyle w:val="168"/>
              <w:keepNext w:val="0"/>
              <w:keepLines w:val="0"/>
              <w:pageBreakBefore w:val="0"/>
              <w:kinsoku/>
              <w:wordWrap/>
              <w:overflowPunct/>
              <w:topLinePunct w:val="0"/>
              <w:bidi w:val="0"/>
              <w:spacing w:line="300" w:lineRule="exact"/>
              <w:ind w:left="-105" w:leftChars="-50" w:right="-105" w:rightChars="-50"/>
              <w:rPr>
                <w:rFonts w:hint="default" w:hAnsi="宋体" w:eastAsia="宋体"/>
                <w:b w:val="0"/>
                <w:bCs w:val="0"/>
                <w:sz w:val="21"/>
                <w:lang w:val="en-US" w:eastAsia="zh-CN"/>
              </w:rPr>
            </w:pPr>
            <w:r>
              <w:rPr>
                <w:rFonts w:hint="eastAsia" w:hAnsi="宋体"/>
                <w:b w:val="0"/>
                <w:bCs w:val="0"/>
                <w:sz w:val="21"/>
                <w:lang w:val="en-US" w:eastAsia="zh-CN"/>
              </w:rPr>
              <w:t>0</w:t>
            </w:r>
          </w:p>
        </w:tc>
        <w:tc>
          <w:tcPr>
            <w:tcW w:w="272" w:type="pct"/>
            <w:noWrap w:val="0"/>
            <w:vAlign w:val="center"/>
          </w:tcPr>
          <w:p w14:paraId="4ECA8C3E">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3025F57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r w14:paraId="0041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3" w:type="pct"/>
            <w:noWrap w:val="0"/>
            <w:vAlign w:val="center"/>
          </w:tcPr>
          <w:p w14:paraId="68745AB1">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eastAsia="宋体"/>
                <w:b w:val="0"/>
                <w:bCs w:val="0"/>
                <w:szCs w:val="21"/>
                <w:lang w:val="en-US" w:eastAsia="zh-CN"/>
              </w:rPr>
            </w:pPr>
            <w:r>
              <w:rPr>
                <w:rFonts w:hint="eastAsia"/>
                <w:b w:val="0"/>
                <w:bCs w:val="0"/>
                <w:szCs w:val="21"/>
                <w:lang w:val="en-US" w:eastAsia="zh-CN"/>
              </w:rPr>
              <w:t>3</w:t>
            </w:r>
          </w:p>
        </w:tc>
        <w:tc>
          <w:tcPr>
            <w:tcW w:w="288" w:type="pct"/>
            <w:noWrap w:val="0"/>
            <w:vAlign w:val="center"/>
          </w:tcPr>
          <w:p w14:paraId="5FE2569F">
            <w:pPr>
              <w:keepNext w:val="0"/>
              <w:keepLines w:val="0"/>
              <w:pageBreakBefore w:val="0"/>
              <w:kinsoku/>
              <w:wordWrap/>
              <w:overflowPunct/>
              <w:topLinePunct w:val="0"/>
              <w:bidi w:val="0"/>
              <w:spacing w:line="300" w:lineRule="exact"/>
              <w:ind w:left="-105" w:leftChars="-50" w:right="-105" w:rightChars="-50"/>
              <w:jc w:val="center"/>
              <w:rPr>
                <w:rFonts w:ascii="宋体" w:hAnsi="宋体"/>
                <w:b w:val="0"/>
                <w:bCs w:val="0"/>
              </w:rPr>
            </w:pPr>
            <w:r>
              <w:rPr>
                <w:rFonts w:hint="eastAsia" w:hAnsi="宋体"/>
                <w:b w:val="0"/>
                <w:bCs w:val="0"/>
                <w:szCs w:val="21"/>
              </w:rPr>
              <w:t>生产</w:t>
            </w:r>
          </w:p>
        </w:tc>
        <w:tc>
          <w:tcPr>
            <w:tcW w:w="391" w:type="pct"/>
            <w:noWrap w:val="0"/>
            <w:vAlign w:val="center"/>
          </w:tcPr>
          <w:p w14:paraId="1A6400F6">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ascii="宋体" w:hAnsi="宋体"/>
                <w:b w:val="0"/>
                <w:bCs w:val="0"/>
                <w:sz w:val="21"/>
              </w:rPr>
            </w:pPr>
            <w:r>
              <w:rPr>
                <w:rFonts w:hint="default" w:ascii="Times New Roman" w:hAnsi="Times New Roman" w:eastAsia="宋体" w:cs="Times New Roman"/>
                <w:b w:val="0"/>
                <w:bCs/>
                <w:sz w:val="21"/>
                <w:szCs w:val="21"/>
                <w:lang w:val="en-US" w:eastAsia="zh-CN"/>
              </w:rPr>
              <w:t>布袋除尘器收集的粉尘</w:t>
            </w:r>
          </w:p>
        </w:tc>
        <w:tc>
          <w:tcPr>
            <w:tcW w:w="319" w:type="pct"/>
            <w:noWrap w:val="0"/>
            <w:vAlign w:val="center"/>
          </w:tcPr>
          <w:p w14:paraId="64DF7D3E">
            <w:pPr>
              <w:widowControl/>
              <w:spacing w:line="240" w:lineRule="auto"/>
              <w:jc w:val="center"/>
              <w:rPr>
                <w:rFonts w:hint="eastAsia"/>
                <w:b w:val="0"/>
                <w:bCs w:val="0"/>
                <w:szCs w:val="21"/>
              </w:rPr>
            </w:pPr>
            <w:r>
              <w:rPr>
                <w:rFonts w:hint="eastAsia"/>
                <w:b w:val="0"/>
                <w:bCs w:val="0"/>
                <w:sz w:val="21"/>
                <w:szCs w:val="21"/>
                <w:lang w:bidi="zh-CN"/>
              </w:rPr>
              <w:t>一般工业固废</w:t>
            </w:r>
          </w:p>
        </w:tc>
        <w:tc>
          <w:tcPr>
            <w:tcW w:w="406" w:type="pct"/>
            <w:noWrap w:val="0"/>
            <w:vAlign w:val="center"/>
          </w:tcPr>
          <w:p w14:paraId="71FA0053">
            <w:pPr>
              <w:keepNext w:val="0"/>
              <w:keepLines w:val="0"/>
              <w:pageBreakBefore w:val="0"/>
              <w:widowControl/>
              <w:kinsoku/>
              <w:wordWrap/>
              <w:overflowPunct/>
              <w:topLinePunct w:val="0"/>
              <w:bidi w:val="0"/>
              <w:adjustRightInd w:val="0"/>
              <w:snapToGrid w:val="0"/>
              <w:spacing w:line="300" w:lineRule="exact"/>
              <w:jc w:val="center"/>
              <w:rPr>
                <w:rFonts w:hint="eastAsia" w:eastAsia="宋体"/>
                <w:b w:val="0"/>
                <w:bCs w:val="0"/>
                <w:szCs w:val="21"/>
                <w:lang w:eastAsia="zh-CN"/>
              </w:rPr>
            </w:pPr>
            <w:r>
              <w:rPr>
                <w:rFonts w:hint="eastAsia"/>
                <w:b w:val="0"/>
                <w:bCs w:val="0"/>
                <w:kern w:val="0"/>
                <w:sz w:val="18"/>
                <w:szCs w:val="18"/>
                <w:lang w:val="en-US" w:eastAsia="zh-CN"/>
              </w:rPr>
              <w:t>/</w:t>
            </w:r>
          </w:p>
        </w:tc>
        <w:tc>
          <w:tcPr>
            <w:tcW w:w="543" w:type="pct"/>
            <w:noWrap w:val="0"/>
            <w:vAlign w:val="center"/>
          </w:tcPr>
          <w:p w14:paraId="3BFB60A5">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b w:val="0"/>
                <w:bCs w:val="0"/>
                <w:sz w:val="21"/>
              </w:rPr>
            </w:pPr>
            <w:r>
              <w:rPr>
                <w:rFonts w:hint="default" w:ascii="Times New Roman" w:hAnsi="Times New Roman" w:eastAsia="宋体" w:cs="Times New Roman"/>
                <w:b w:val="0"/>
                <w:bCs/>
                <w:sz w:val="21"/>
                <w:szCs w:val="21"/>
                <w:lang w:val="en-US" w:eastAsia="zh-CN"/>
              </w:rPr>
              <w:t>布袋除尘器收集的粉尘</w:t>
            </w:r>
          </w:p>
        </w:tc>
        <w:tc>
          <w:tcPr>
            <w:tcW w:w="345" w:type="pct"/>
            <w:noWrap w:val="0"/>
            <w:vAlign w:val="center"/>
          </w:tcPr>
          <w:p w14:paraId="254D1B2F">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hAnsi="宋体" w:eastAsia="宋体"/>
                <w:b w:val="0"/>
                <w:bCs w:val="0"/>
                <w:sz w:val="21"/>
                <w:lang w:val="en-US" w:eastAsia="zh-CN"/>
              </w:rPr>
            </w:pPr>
            <w:r>
              <w:rPr>
                <w:rFonts w:hint="eastAsia" w:cs="Times New Roman"/>
                <w:b w:val="0"/>
                <w:bCs/>
                <w:sz w:val="21"/>
                <w:szCs w:val="21"/>
                <w:lang w:val="en-US" w:eastAsia="zh-CN"/>
              </w:rPr>
              <w:t>23</w:t>
            </w:r>
          </w:p>
        </w:tc>
        <w:tc>
          <w:tcPr>
            <w:tcW w:w="318" w:type="pct"/>
            <w:vMerge w:val="restart"/>
            <w:noWrap w:val="0"/>
            <w:vAlign w:val="center"/>
          </w:tcPr>
          <w:p w14:paraId="6CF768EF">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sz w:val="21"/>
                <w:szCs w:val="21"/>
              </w:rPr>
              <w:t>回用于生产</w:t>
            </w:r>
          </w:p>
        </w:tc>
        <w:tc>
          <w:tcPr>
            <w:tcW w:w="345" w:type="pct"/>
            <w:noWrap w:val="0"/>
            <w:vAlign w:val="center"/>
          </w:tcPr>
          <w:p w14:paraId="7BB308F9">
            <w:pPr>
              <w:keepNext w:val="0"/>
              <w:keepLines w:val="0"/>
              <w:pageBreakBefore w:val="0"/>
              <w:kinsoku/>
              <w:wordWrap/>
              <w:overflowPunct/>
              <w:topLinePunct w:val="0"/>
              <w:bidi w:val="0"/>
              <w:spacing w:line="300" w:lineRule="exact"/>
              <w:ind w:left="-105" w:leftChars="-50" w:right="-105" w:rightChars="-50"/>
              <w:jc w:val="center"/>
              <w:rPr>
                <w:rFonts w:hint="eastAsia" w:hAnsi="宋体"/>
                <w:b w:val="0"/>
                <w:bCs w:val="0"/>
              </w:rPr>
            </w:pPr>
            <w:r>
              <w:rPr>
                <w:rFonts w:hint="eastAsia"/>
                <w:b w:val="0"/>
                <w:bCs w:val="0"/>
                <w:szCs w:val="21"/>
              </w:rPr>
              <w:t>0</w:t>
            </w:r>
          </w:p>
        </w:tc>
        <w:tc>
          <w:tcPr>
            <w:tcW w:w="316" w:type="pct"/>
            <w:noWrap w:val="0"/>
            <w:vAlign w:val="center"/>
          </w:tcPr>
          <w:p w14:paraId="52E164EA">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eastAsia="宋体"/>
                <w:b w:val="0"/>
                <w:bCs w:val="0"/>
                <w:szCs w:val="21"/>
                <w:lang w:val="en-US" w:eastAsia="zh-CN"/>
              </w:rPr>
            </w:pPr>
            <w:r>
              <w:rPr>
                <w:rFonts w:hint="eastAsia" w:cs="Times New Roman"/>
                <w:b w:val="0"/>
                <w:bCs/>
                <w:sz w:val="21"/>
                <w:szCs w:val="21"/>
                <w:lang w:val="en-US" w:eastAsia="zh-CN"/>
              </w:rPr>
              <w:t>23</w:t>
            </w:r>
          </w:p>
        </w:tc>
        <w:tc>
          <w:tcPr>
            <w:tcW w:w="315" w:type="pct"/>
            <w:noWrap w:val="0"/>
            <w:vAlign w:val="center"/>
          </w:tcPr>
          <w:p w14:paraId="29C639EA">
            <w:pPr>
              <w:keepNext w:val="0"/>
              <w:keepLines w:val="0"/>
              <w:pageBreakBefore w:val="0"/>
              <w:tabs>
                <w:tab w:val="left" w:pos="1890"/>
              </w:tabs>
              <w:kinsoku/>
              <w:wordWrap/>
              <w:overflowPunct/>
              <w:topLinePunct w:val="0"/>
              <w:bidi w:val="0"/>
              <w:spacing w:line="300" w:lineRule="exact"/>
              <w:ind w:left="-63" w:leftChars="-30" w:right="-63" w:rightChars="-30"/>
              <w:jc w:val="center"/>
              <w:rPr>
                <w:rFonts w:hint="default" w:eastAsia="宋体"/>
                <w:b w:val="0"/>
                <w:bCs w:val="0"/>
                <w:szCs w:val="21"/>
                <w:lang w:val="en-US" w:eastAsia="zh-CN"/>
              </w:rPr>
            </w:pPr>
            <w:r>
              <w:rPr>
                <w:rFonts w:hint="eastAsia"/>
                <w:b w:val="0"/>
                <w:bCs w:val="0"/>
                <w:szCs w:val="21"/>
                <w:lang w:val="en-US" w:eastAsia="zh-CN"/>
              </w:rPr>
              <w:t>0</w:t>
            </w:r>
          </w:p>
        </w:tc>
        <w:tc>
          <w:tcPr>
            <w:tcW w:w="379" w:type="pct"/>
            <w:noWrap w:val="0"/>
            <w:vAlign w:val="center"/>
          </w:tcPr>
          <w:p w14:paraId="1D837EEC">
            <w:pPr>
              <w:wordWrap w:val="0"/>
              <w:adjustRightInd w:val="0"/>
              <w:snapToGrid w:val="0"/>
              <w:jc w:val="center"/>
              <w:rPr>
                <w:rFonts w:hint="eastAsia"/>
                <w:b w:val="0"/>
                <w:bCs w:val="0"/>
                <w:szCs w:val="21"/>
              </w:rPr>
            </w:pPr>
            <w:r>
              <w:rPr>
                <w:rFonts w:hint="eastAsia"/>
                <w:sz w:val="21"/>
                <w:szCs w:val="21"/>
                <w:lang w:val="en-US" w:eastAsia="zh-CN"/>
              </w:rPr>
              <w:t>0</w:t>
            </w:r>
          </w:p>
        </w:tc>
        <w:tc>
          <w:tcPr>
            <w:tcW w:w="381" w:type="pct"/>
            <w:noWrap w:val="0"/>
            <w:vAlign w:val="center"/>
          </w:tcPr>
          <w:p w14:paraId="5DD2CC29">
            <w:pPr>
              <w:pStyle w:val="168"/>
              <w:keepNext w:val="0"/>
              <w:keepLines w:val="0"/>
              <w:pageBreakBefore w:val="0"/>
              <w:kinsoku/>
              <w:wordWrap/>
              <w:overflowPunct/>
              <w:topLinePunct w:val="0"/>
              <w:bidi w:val="0"/>
              <w:spacing w:line="300" w:lineRule="exact"/>
              <w:ind w:left="-105" w:leftChars="-50" w:right="-105" w:rightChars="-50"/>
              <w:rPr>
                <w:rFonts w:hint="eastAsia" w:hAnsi="宋体" w:eastAsia="宋体"/>
                <w:b w:val="0"/>
                <w:bCs w:val="0"/>
                <w:sz w:val="21"/>
                <w:lang w:eastAsia="zh-CN"/>
              </w:rPr>
            </w:pPr>
            <w:r>
              <w:rPr>
                <w:rFonts w:hint="eastAsia" w:hAnsi="宋体"/>
                <w:b w:val="0"/>
                <w:bCs w:val="0"/>
                <w:sz w:val="21"/>
                <w:lang w:val="en-US" w:eastAsia="zh-CN"/>
              </w:rPr>
              <w:t>0</w:t>
            </w:r>
          </w:p>
        </w:tc>
        <w:tc>
          <w:tcPr>
            <w:tcW w:w="272" w:type="pct"/>
            <w:noWrap w:val="0"/>
            <w:vAlign w:val="center"/>
          </w:tcPr>
          <w:p w14:paraId="4B35308D">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22B172F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r w14:paraId="7C73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63" w:type="pct"/>
            <w:noWrap w:val="0"/>
            <w:vAlign w:val="center"/>
          </w:tcPr>
          <w:p w14:paraId="126C0D1B">
            <w:pPr>
              <w:keepNext w:val="0"/>
              <w:keepLines w:val="0"/>
              <w:pageBreakBefore w:val="0"/>
              <w:tabs>
                <w:tab w:val="left" w:pos="1890"/>
              </w:tabs>
              <w:kinsoku/>
              <w:wordWrap/>
              <w:overflowPunct/>
              <w:topLinePunct w:val="0"/>
              <w:bidi w:val="0"/>
              <w:spacing w:line="300" w:lineRule="exact"/>
              <w:ind w:left="-63" w:leftChars="-30" w:right="-63" w:rightChars="-30"/>
              <w:jc w:val="center"/>
              <w:rPr>
                <w:rFonts w:hint="default" w:eastAsia="宋体"/>
                <w:b w:val="0"/>
                <w:bCs w:val="0"/>
                <w:szCs w:val="21"/>
                <w:lang w:val="en-US" w:eastAsia="zh-CN"/>
              </w:rPr>
            </w:pPr>
            <w:r>
              <w:rPr>
                <w:rFonts w:hint="eastAsia" w:eastAsia="宋体"/>
                <w:b w:val="0"/>
                <w:bCs w:val="0"/>
                <w:szCs w:val="21"/>
                <w:lang w:val="en-US" w:eastAsia="zh-CN"/>
              </w:rPr>
              <w:t>4</w:t>
            </w:r>
          </w:p>
        </w:tc>
        <w:tc>
          <w:tcPr>
            <w:tcW w:w="288" w:type="pct"/>
            <w:noWrap w:val="0"/>
            <w:vAlign w:val="center"/>
          </w:tcPr>
          <w:p w14:paraId="105AFABE">
            <w:pPr>
              <w:keepNext w:val="0"/>
              <w:keepLines w:val="0"/>
              <w:pageBreakBefore w:val="0"/>
              <w:kinsoku/>
              <w:wordWrap/>
              <w:overflowPunct/>
              <w:topLinePunct w:val="0"/>
              <w:bidi w:val="0"/>
              <w:spacing w:line="300" w:lineRule="exact"/>
              <w:ind w:left="-105" w:leftChars="-50" w:right="-105" w:rightChars="-50"/>
              <w:rPr>
                <w:rFonts w:hint="default" w:ascii="宋体" w:hAnsi="宋体" w:eastAsia="宋体"/>
                <w:b w:val="0"/>
                <w:bCs w:val="0"/>
                <w:lang w:val="en-US" w:eastAsia="zh-CN"/>
              </w:rPr>
            </w:pPr>
            <w:r>
              <w:rPr>
                <w:rFonts w:hint="eastAsia" w:hAnsi="宋体"/>
                <w:b w:val="0"/>
                <w:bCs w:val="0"/>
                <w:szCs w:val="21"/>
              </w:rPr>
              <w:t>生产</w:t>
            </w:r>
          </w:p>
        </w:tc>
        <w:tc>
          <w:tcPr>
            <w:tcW w:w="391" w:type="pct"/>
            <w:noWrap w:val="0"/>
            <w:vAlign w:val="center"/>
          </w:tcPr>
          <w:p w14:paraId="7F0F9393">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hAnsi="宋体"/>
                <w:b w:val="0"/>
                <w:bCs w:val="0"/>
                <w:sz w:val="21"/>
              </w:rPr>
            </w:pPr>
            <w:r>
              <w:rPr>
                <w:rFonts w:hint="default" w:ascii="Times New Roman" w:hAnsi="Times New Roman" w:eastAsia="宋体" w:cs="Times New Roman"/>
                <w:b w:val="0"/>
                <w:bCs/>
                <w:sz w:val="21"/>
                <w:szCs w:val="21"/>
                <w:lang w:val="en-US" w:eastAsia="zh-CN"/>
              </w:rPr>
              <w:t>脱硫系统沉渣</w:t>
            </w:r>
          </w:p>
        </w:tc>
        <w:tc>
          <w:tcPr>
            <w:tcW w:w="319" w:type="pct"/>
            <w:noWrap w:val="0"/>
            <w:vAlign w:val="center"/>
          </w:tcPr>
          <w:p w14:paraId="1CFE0CB9">
            <w:pPr>
              <w:widowControl/>
              <w:spacing w:line="240" w:lineRule="auto"/>
              <w:jc w:val="center"/>
              <w:rPr>
                <w:rFonts w:hint="eastAsia"/>
                <w:b w:val="0"/>
                <w:bCs w:val="0"/>
                <w:szCs w:val="21"/>
              </w:rPr>
            </w:pPr>
            <w:r>
              <w:rPr>
                <w:rFonts w:hint="eastAsia"/>
                <w:b w:val="0"/>
                <w:bCs w:val="0"/>
                <w:sz w:val="21"/>
                <w:szCs w:val="21"/>
                <w:lang w:bidi="zh-CN"/>
              </w:rPr>
              <w:t>一般工业固废</w:t>
            </w:r>
          </w:p>
        </w:tc>
        <w:tc>
          <w:tcPr>
            <w:tcW w:w="406" w:type="pct"/>
            <w:noWrap w:val="0"/>
            <w:vAlign w:val="center"/>
          </w:tcPr>
          <w:p w14:paraId="53C2E231">
            <w:pPr>
              <w:keepNext w:val="0"/>
              <w:keepLines w:val="0"/>
              <w:pageBreakBefore w:val="0"/>
              <w:widowControl/>
              <w:kinsoku/>
              <w:wordWrap/>
              <w:overflowPunct/>
              <w:topLinePunct w:val="0"/>
              <w:bidi w:val="0"/>
              <w:adjustRightInd w:val="0"/>
              <w:snapToGrid w:val="0"/>
              <w:spacing w:line="300" w:lineRule="exact"/>
              <w:jc w:val="center"/>
              <w:rPr>
                <w:rFonts w:hint="eastAsia"/>
                <w:b w:val="0"/>
                <w:bCs w:val="0"/>
                <w:szCs w:val="21"/>
              </w:rPr>
            </w:pPr>
            <w:r>
              <w:rPr>
                <w:rFonts w:hint="eastAsia"/>
                <w:b w:val="0"/>
                <w:bCs w:val="0"/>
                <w:kern w:val="0"/>
                <w:sz w:val="18"/>
                <w:szCs w:val="18"/>
              </w:rPr>
              <w:t>/</w:t>
            </w:r>
          </w:p>
        </w:tc>
        <w:tc>
          <w:tcPr>
            <w:tcW w:w="543" w:type="pct"/>
            <w:noWrap w:val="0"/>
            <w:vAlign w:val="center"/>
          </w:tcPr>
          <w:p w14:paraId="4ABFCD8E">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b w:val="0"/>
                <w:bCs w:val="0"/>
                <w:sz w:val="21"/>
              </w:rPr>
            </w:pPr>
            <w:r>
              <w:rPr>
                <w:rFonts w:hint="default" w:ascii="Times New Roman" w:hAnsi="Times New Roman" w:eastAsia="宋体" w:cs="Times New Roman"/>
                <w:b w:val="0"/>
                <w:bCs/>
                <w:sz w:val="21"/>
                <w:szCs w:val="21"/>
                <w:lang w:val="en-US" w:eastAsia="zh-CN"/>
              </w:rPr>
              <w:t>脱硫系统沉渣</w:t>
            </w:r>
          </w:p>
        </w:tc>
        <w:tc>
          <w:tcPr>
            <w:tcW w:w="345" w:type="pct"/>
            <w:noWrap w:val="0"/>
            <w:vAlign w:val="center"/>
          </w:tcPr>
          <w:p w14:paraId="61F05AE3">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hAnsi="宋体" w:eastAsia="宋体"/>
                <w:b w:val="0"/>
                <w:bCs w:val="0"/>
                <w:sz w:val="21"/>
                <w:lang w:val="en-US" w:eastAsia="zh-CN"/>
              </w:rPr>
            </w:pPr>
            <w:r>
              <w:rPr>
                <w:rFonts w:hint="eastAsia" w:cs="Times New Roman"/>
                <w:b w:val="0"/>
                <w:bCs/>
                <w:sz w:val="21"/>
                <w:szCs w:val="21"/>
                <w:lang w:val="en-US" w:eastAsia="zh-CN"/>
              </w:rPr>
              <w:t>800</w:t>
            </w:r>
          </w:p>
        </w:tc>
        <w:tc>
          <w:tcPr>
            <w:tcW w:w="318" w:type="pct"/>
            <w:vMerge w:val="continue"/>
            <w:noWrap w:val="0"/>
            <w:vAlign w:val="center"/>
          </w:tcPr>
          <w:p w14:paraId="0C686CBD">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b w:val="0"/>
                <w:bCs w:val="0"/>
                <w:szCs w:val="21"/>
              </w:rPr>
            </w:pPr>
          </w:p>
        </w:tc>
        <w:tc>
          <w:tcPr>
            <w:tcW w:w="345" w:type="pct"/>
            <w:noWrap w:val="0"/>
            <w:vAlign w:val="center"/>
          </w:tcPr>
          <w:p w14:paraId="6992DE48">
            <w:pPr>
              <w:keepNext w:val="0"/>
              <w:keepLines w:val="0"/>
              <w:pageBreakBefore w:val="0"/>
              <w:kinsoku/>
              <w:wordWrap/>
              <w:overflowPunct/>
              <w:topLinePunct w:val="0"/>
              <w:bidi w:val="0"/>
              <w:spacing w:line="300" w:lineRule="exact"/>
              <w:ind w:left="-105" w:leftChars="-50" w:right="-105" w:rightChars="-50"/>
              <w:jc w:val="center"/>
              <w:rPr>
                <w:rFonts w:hint="eastAsia" w:hAnsi="宋体"/>
                <w:b w:val="0"/>
                <w:bCs w:val="0"/>
              </w:rPr>
            </w:pPr>
            <w:r>
              <w:rPr>
                <w:rFonts w:hint="eastAsia"/>
                <w:b w:val="0"/>
                <w:bCs w:val="0"/>
                <w:szCs w:val="21"/>
              </w:rPr>
              <w:t>0</w:t>
            </w:r>
          </w:p>
        </w:tc>
        <w:tc>
          <w:tcPr>
            <w:tcW w:w="316" w:type="pct"/>
            <w:noWrap w:val="0"/>
            <w:vAlign w:val="center"/>
          </w:tcPr>
          <w:p w14:paraId="0558DC0C">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eastAsia="宋体"/>
                <w:b w:val="0"/>
                <w:bCs w:val="0"/>
                <w:szCs w:val="21"/>
                <w:lang w:val="en-US" w:eastAsia="zh-CN"/>
              </w:rPr>
            </w:pPr>
            <w:r>
              <w:rPr>
                <w:rFonts w:hint="eastAsia" w:cs="Times New Roman"/>
                <w:b w:val="0"/>
                <w:bCs/>
                <w:sz w:val="21"/>
                <w:szCs w:val="21"/>
                <w:lang w:val="en-US" w:eastAsia="zh-CN"/>
              </w:rPr>
              <w:t>800</w:t>
            </w:r>
          </w:p>
        </w:tc>
        <w:tc>
          <w:tcPr>
            <w:tcW w:w="315" w:type="pct"/>
            <w:noWrap w:val="0"/>
            <w:vAlign w:val="center"/>
          </w:tcPr>
          <w:p w14:paraId="3DBBC61F">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79" w:type="pct"/>
            <w:noWrap w:val="0"/>
            <w:vAlign w:val="center"/>
          </w:tcPr>
          <w:p w14:paraId="38E8EA78">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81" w:type="pct"/>
            <w:noWrap w:val="0"/>
            <w:vAlign w:val="center"/>
          </w:tcPr>
          <w:p w14:paraId="230C03AD">
            <w:pPr>
              <w:widowControl/>
              <w:spacing w:line="240" w:lineRule="auto"/>
              <w:jc w:val="center"/>
              <w:rPr>
                <w:rFonts w:hint="eastAsia" w:hAnsi="宋体"/>
                <w:b w:val="0"/>
                <w:bCs w:val="0"/>
                <w:sz w:val="21"/>
              </w:rPr>
            </w:pPr>
            <w:r>
              <w:rPr>
                <w:rFonts w:hint="eastAsia"/>
                <w:b w:val="0"/>
                <w:bCs w:val="0"/>
                <w:sz w:val="21"/>
                <w:szCs w:val="21"/>
                <w:lang w:val="en-US" w:bidi="zh-CN"/>
              </w:rPr>
              <w:t>0</w:t>
            </w:r>
          </w:p>
        </w:tc>
        <w:tc>
          <w:tcPr>
            <w:tcW w:w="272" w:type="pct"/>
            <w:noWrap w:val="0"/>
            <w:vAlign w:val="center"/>
          </w:tcPr>
          <w:p w14:paraId="4D7D76AA">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720AB84D">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r w14:paraId="5F25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63" w:type="pct"/>
            <w:noWrap w:val="0"/>
            <w:vAlign w:val="center"/>
          </w:tcPr>
          <w:p w14:paraId="548B3DDD">
            <w:pPr>
              <w:keepNext w:val="0"/>
              <w:keepLines w:val="0"/>
              <w:pageBreakBefore w:val="0"/>
              <w:tabs>
                <w:tab w:val="left" w:pos="1890"/>
              </w:tabs>
              <w:kinsoku/>
              <w:wordWrap/>
              <w:overflowPunct/>
              <w:topLinePunct w:val="0"/>
              <w:bidi w:val="0"/>
              <w:spacing w:line="300" w:lineRule="exact"/>
              <w:ind w:left="-63" w:leftChars="-30" w:right="-63" w:rightChars="-30"/>
              <w:jc w:val="center"/>
              <w:rPr>
                <w:rFonts w:hint="default" w:eastAsia="宋体"/>
                <w:b w:val="0"/>
                <w:bCs w:val="0"/>
                <w:szCs w:val="21"/>
                <w:lang w:val="en-US" w:eastAsia="zh-CN"/>
              </w:rPr>
            </w:pPr>
            <w:r>
              <w:rPr>
                <w:rFonts w:hint="eastAsia" w:eastAsia="宋体"/>
                <w:b w:val="0"/>
                <w:bCs w:val="0"/>
                <w:szCs w:val="21"/>
                <w:lang w:val="en-US" w:eastAsia="zh-CN"/>
              </w:rPr>
              <w:t>5</w:t>
            </w:r>
          </w:p>
        </w:tc>
        <w:tc>
          <w:tcPr>
            <w:tcW w:w="288" w:type="pct"/>
            <w:noWrap w:val="0"/>
            <w:vAlign w:val="center"/>
          </w:tcPr>
          <w:p w14:paraId="5DA1EABE">
            <w:pPr>
              <w:keepNext w:val="0"/>
              <w:keepLines w:val="0"/>
              <w:pageBreakBefore w:val="0"/>
              <w:kinsoku/>
              <w:wordWrap/>
              <w:overflowPunct/>
              <w:topLinePunct w:val="0"/>
              <w:bidi w:val="0"/>
              <w:spacing w:line="300" w:lineRule="exact"/>
              <w:ind w:left="-105" w:leftChars="-50" w:right="-105" w:rightChars="-50"/>
              <w:rPr>
                <w:rFonts w:hint="eastAsia" w:ascii="宋体" w:hAnsi="宋体"/>
                <w:b w:val="0"/>
                <w:bCs w:val="0"/>
                <w:lang w:val="en-US" w:eastAsia="zh-CN"/>
              </w:rPr>
            </w:pPr>
            <w:r>
              <w:rPr>
                <w:rFonts w:hint="eastAsia" w:hAnsi="宋体"/>
                <w:b w:val="0"/>
                <w:bCs w:val="0"/>
                <w:szCs w:val="21"/>
              </w:rPr>
              <w:t>生产</w:t>
            </w:r>
          </w:p>
        </w:tc>
        <w:tc>
          <w:tcPr>
            <w:tcW w:w="391" w:type="pct"/>
            <w:noWrap w:val="0"/>
            <w:vAlign w:val="center"/>
          </w:tcPr>
          <w:p w14:paraId="4B140DE8">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sz w:val="21"/>
                <w:szCs w:val="21"/>
              </w:rPr>
            </w:pPr>
            <w:r>
              <w:rPr>
                <w:rFonts w:hint="default" w:ascii="Times New Roman" w:hAnsi="Times New Roman" w:eastAsia="宋体" w:cs="Times New Roman"/>
                <w:b w:val="0"/>
                <w:bCs/>
                <w:sz w:val="21"/>
                <w:szCs w:val="21"/>
                <w:lang w:val="en-US" w:eastAsia="zh-CN"/>
              </w:rPr>
              <w:t>湿电除尘系统沉渣</w:t>
            </w:r>
          </w:p>
        </w:tc>
        <w:tc>
          <w:tcPr>
            <w:tcW w:w="319" w:type="pct"/>
            <w:noWrap w:val="0"/>
            <w:vAlign w:val="center"/>
          </w:tcPr>
          <w:p w14:paraId="00B60578">
            <w:pPr>
              <w:widowControl/>
              <w:spacing w:line="240" w:lineRule="auto"/>
              <w:jc w:val="center"/>
              <w:rPr>
                <w:rFonts w:hint="eastAsia"/>
                <w:b w:val="0"/>
                <w:bCs w:val="0"/>
                <w:sz w:val="21"/>
                <w:szCs w:val="21"/>
                <w:lang w:bidi="zh-CN"/>
              </w:rPr>
            </w:pPr>
            <w:r>
              <w:rPr>
                <w:rFonts w:hint="eastAsia"/>
                <w:b w:val="0"/>
                <w:bCs w:val="0"/>
                <w:sz w:val="21"/>
                <w:szCs w:val="21"/>
                <w:lang w:bidi="zh-CN"/>
              </w:rPr>
              <w:t>一般工业固废</w:t>
            </w:r>
          </w:p>
        </w:tc>
        <w:tc>
          <w:tcPr>
            <w:tcW w:w="406" w:type="pct"/>
            <w:noWrap w:val="0"/>
            <w:vAlign w:val="center"/>
          </w:tcPr>
          <w:p w14:paraId="503DEE6C">
            <w:pPr>
              <w:keepNext w:val="0"/>
              <w:keepLines w:val="0"/>
              <w:pageBreakBefore w:val="0"/>
              <w:widowControl/>
              <w:kinsoku/>
              <w:wordWrap/>
              <w:overflowPunct/>
              <w:topLinePunct w:val="0"/>
              <w:bidi w:val="0"/>
              <w:adjustRightInd w:val="0"/>
              <w:snapToGrid w:val="0"/>
              <w:spacing w:line="300" w:lineRule="exact"/>
              <w:jc w:val="center"/>
              <w:rPr>
                <w:rFonts w:hint="eastAsia"/>
                <w:b w:val="0"/>
                <w:bCs w:val="0"/>
                <w:kern w:val="0"/>
                <w:sz w:val="18"/>
                <w:szCs w:val="18"/>
              </w:rPr>
            </w:pPr>
            <w:r>
              <w:rPr>
                <w:rFonts w:hint="eastAsia"/>
                <w:b w:val="0"/>
                <w:bCs w:val="0"/>
                <w:kern w:val="0"/>
                <w:sz w:val="18"/>
                <w:szCs w:val="18"/>
              </w:rPr>
              <w:t>/</w:t>
            </w:r>
          </w:p>
        </w:tc>
        <w:tc>
          <w:tcPr>
            <w:tcW w:w="543" w:type="pct"/>
            <w:noWrap w:val="0"/>
            <w:vAlign w:val="center"/>
          </w:tcPr>
          <w:p w14:paraId="2C3FBC55">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sz w:val="21"/>
                <w:szCs w:val="21"/>
              </w:rPr>
            </w:pPr>
            <w:r>
              <w:rPr>
                <w:rFonts w:hint="default" w:ascii="Times New Roman" w:hAnsi="Times New Roman" w:eastAsia="宋体" w:cs="Times New Roman"/>
                <w:b w:val="0"/>
                <w:bCs/>
                <w:sz w:val="21"/>
                <w:szCs w:val="21"/>
                <w:lang w:val="en-US" w:eastAsia="zh-CN"/>
              </w:rPr>
              <w:t>湿电除尘系统沉渣</w:t>
            </w:r>
          </w:p>
        </w:tc>
        <w:tc>
          <w:tcPr>
            <w:tcW w:w="345" w:type="pct"/>
            <w:noWrap w:val="0"/>
            <w:vAlign w:val="center"/>
          </w:tcPr>
          <w:p w14:paraId="670A6317">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sz w:val="21"/>
                <w:szCs w:val="21"/>
                <w:lang w:val="en-US" w:eastAsia="zh-CN"/>
              </w:rPr>
            </w:pPr>
            <w:r>
              <w:rPr>
                <w:rFonts w:hint="eastAsia" w:cs="Times New Roman"/>
                <w:b w:val="0"/>
                <w:bCs/>
                <w:sz w:val="21"/>
                <w:szCs w:val="21"/>
                <w:lang w:val="en-US" w:eastAsia="zh-CN"/>
              </w:rPr>
              <w:t>50</w:t>
            </w:r>
          </w:p>
        </w:tc>
        <w:tc>
          <w:tcPr>
            <w:tcW w:w="318" w:type="pct"/>
            <w:vMerge w:val="continue"/>
            <w:noWrap w:val="0"/>
            <w:vAlign w:val="center"/>
          </w:tcPr>
          <w:p w14:paraId="65B2DC91">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sz w:val="21"/>
                <w:szCs w:val="21"/>
              </w:rPr>
            </w:pPr>
          </w:p>
        </w:tc>
        <w:tc>
          <w:tcPr>
            <w:tcW w:w="345" w:type="pct"/>
            <w:noWrap w:val="0"/>
            <w:vAlign w:val="center"/>
          </w:tcPr>
          <w:p w14:paraId="509AD983">
            <w:pPr>
              <w:keepNext w:val="0"/>
              <w:keepLines w:val="0"/>
              <w:pageBreakBefore w:val="0"/>
              <w:kinsoku/>
              <w:wordWrap/>
              <w:overflowPunct/>
              <w:topLinePunct w:val="0"/>
              <w:bidi w:val="0"/>
              <w:spacing w:line="300" w:lineRule="exact"/>
              <w:ind w:left="-105" w:leftChars="-50" w:right="-105" w:rightChars="-50"/>
              <w:jc w:val="center"/>
              <w:rPr>
                <w:rFonts w:hint="eastAsia"/>
                <w:b w:val="0"/>
                <w:bCs w:val="0"/>
                <w:szCs w:val="21"/>
              </w:rPr>
            </w:pPr>
            <w:r>
              <w:rPr>
                <w:rFonts w:hint="eastAsia"/>
                <w:b w:val="0"/>
                <w:bCs w:val="0"/>
                <w:szCs w:val="21"/>
              </w:rPr>
              <w:t>0</w:t>
            </w:r>
          </w:p>
        </w:tc>
        <w:tc>
          <w:tcPr>
            <w:tcW w:w="316" w:type="pct"/>
            <w:noWrap w:val="0"/>
            <w:vAlign w:val="center"/>
          </w:tcPr>
          <w:p w14:paraId="4D3BB543">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default"/>
                <w:sz w:val="21"/>
                <w:szCs w:val="21"/>
                <w:lang w:val="en-US" w:eastAsia="zh-CN"/>
              </w:rPr>
            </w:pPr>
            <w:r>
              <w:rPr>
                <w:rFonts w:hint="eastAsia" w:cs="Times New Roman"/>
                <w:b w:val="0"/>
                <w:bCs/>
                <w:sz w:val="21"/>
                <w:szCs w:val="21"/>
                <w:lang w:val="en-US" w:eastAsia="zh-CN"/>
              </w:rPr>
              <w:t>50</w:t>
            </w:r>
          </w:p>
        </w:tc>
        <w:tc>
          <w:tcPr>
            <w:tcW w:w="315" w:type="pct"/>
            <w:noWrap w:val="0"/>
            <w:vAlign w:val="center"/>
          </w:tcPr>
          <w:p w14:paraId="48BAE458">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79" w:type="pct"/>
            <w:noWrap w:val="0"/>
            <w:vAlign w:val="center"/>
          </w:tcPr>
          <w:p w14:paraId="6DC37FAF">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81" w:type="pct"/>
            <w:noWrap w:val="0"/>
            <w:vAlign w:val="center"/>
          </w:tcPr>
          <w:p w14:paraId="3145EACD">
            <w:pPr>
              <w:widowControl/>
              <w:spacing w:line="240" w:lineRule="auto"/>
              <w:jc w:val="center"/>
              <w:rPr>
                <w:rFonts w:hint="eastAsia"/>
                <w:b w:val="0"/>
                <w:bCs w:val="0"/>
                <w:sz w:val="21"/>
                <w:szCs w:val="21"/>
                <w:lang w:bidi="zh-CN"/>
              </w:rPr>
            </w:pPr>
            <w:r>
              <w:rPr>
                <w:rFonts w:hint="eastAsia"/>
                <w:b w:val="0"/>
                <w:bCs w:val="0"/>
                <w:szCs w:val="21"/>
              </w:rPr>
              <w:t>0</w:t>
            </w:r>
          </w:p>
        </w:tc>
        <w:tc>
          <w:tcPr>
            <w:tcW w:w="272" w:type="pct"/>
            <w:noWrap w:val="0"/>
            <w:vAlign w:val="center"/>
          </w:tcPr>
          <w:p w14:paraId="4CF9F873">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4C67E66B">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r w14:paraId="6AF0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63" w:type="pct"/>
            <w:noWrap w:val="0"/>
            <w:vAlign w:val="center"/>
          </w:tcPr>
          <w:p w14:paraId="26366DD3">
            <w:pPr>
              <w:keepNext w:val="0"/>
              <w:keepLines w:val="0"/>
              <w:pageBreakBefore w:val="0"/>
              <w:tabs>
                <w:tab w:val="left" w:pos="1890"/>
              </w:tabs>
              <w:kinsoku/>
              <w:wordWrap/>
              <w:overflowPunct/>
              <w:topLinePunct w:val="0"/>
              <w:bidi w:val="0"/>
              <w:spacing w:line="300" w:lineRule="exact"/>
              <w:ind w:left="-63" w:leftChars="-30" w:right="-63" w:rightChars="-30"/>
              <w:jc w:val="center"/>
              <w:rPr>
                <w:rFonts w:hint="default" w:eastAsia="宋体"/>
                <w:b w:val="0"/>
                <w:bCs w:val="0"/>
                <w:szCs w:val="21"/>
                <w:lang w:val="en-US" w:eastAsia="zh-CN"/>
              </w:rPr>
            </w:pPr>
            <w:r>
              <w:rPr>
                <w:rFonts w:hint="eastAsia" w:eastAsia="宋体"/>
                <w:b w:val="0"/>
                <w:bCs w:val="0"/>
                <w:szCs w:val="21"/>
                <w:lang w:val="en-US" w:eastAsia="zh-CN"/>
              </w:rPr>
              <w:t>6</w:t>
            </w:r>
          </w:p>
        </w:tc>
        <w:tc>
          <w:tcPr>
            <w:tcW w:w="288" w:type="pct"/>
            <w:noWrap w:val="0"/>
            <w:vAlign w:val="center"/>
          </w:tcPr>
          <w:p w14:paraId="6C8FC4A8">
            <w:pPr>
              <w:keepNext w:val="0"/>
              <w:keepLines w:val="0"/>
              <w:pageBreakBefore w:val="0"/>
              <w:kinsoku/>
              <w:wordWrap/>
              <w:overflowPunct/>
              <w:topLinePunct w:val="0"/>
              <w:bidi w:val="0"/>
              <w:spacing w:line="300" w:lineRule="exact"/>
              <w:ind w:left="-105" w:leftChars="-50" w:right="-105" w:rightChars="-50"/>
              <w:rPr>
                <w:rFonts w:hint="eastAsia" w:ascii="宋体" w:hAnsi="宋体"/>
                <w:b w:val="0"/>
                <w:bCs w:val="0"/>
                <w:lang w:val="en-US" w:eastAsia="zh-CN"/>
              </w:rPr>
            </w:pPr>
            <w:r>
              <w:rPr>
                <w:rFonts w:hint="eastAsia" w:hAnsi="宋体"/>
                <w:b w:val="0"/>
                <w:bCs w:val="0"/>
                <w:szCs w:val="21"/>
              </w:rPr>
              <w:t>生产</w:t>
            </w:r>
          </w:p>
        </w:tc>
        <w:tc>
          <w:tcPr>
            <w:tcW w:w="391" w:type="pct"/>
            <w:noWrap w:val="0"/>
            <w:vAlign w:val="center"/>
          </w:tcPr>
          <w:p w14:paraId="773BF543">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sz w:val="21"/>
                <w:szCs w:val="21"/>
              </w:rPr>
            </w:pPr>
            <w:r>
              <w:rPr>
                <w:rFonts w:hint="default" w:ascii="Times New Roman" w:hAnsi="Times New Roman" w:eastAsia="宋体" w:cs="Times New Roman"/>
                <w:b w:val="0"/>
                <w:bCs/>
                <w:sz w:val="21"/>
                <w:szCs w:val="21"/>
                <w:lang w:val="en-US" w:eastAsia="zh-CN"/>
              </w:rPr>
              <w:t>废机油</w:t>
            </w:r>
          </w:p>
        </w:tc>
        <w:tc>
          <w:tcPr>
            <w:tcW w:w="319" w:type="pct"/>
            <w:noWrap w:val="0"/>
            <w:vAlign w:val="center"/>
          </w:tcPr>
          <w:p w14:paraId="56F04A71">
            <w:pPr>
              <w:widowControl/>
              <w:spacing w:line="240" w:lineRule="auto"/>
              <w:jc w:val="center"/>
              <w:rPr>
                <w:rFonts w:hint="default"/>
                <w:b w:val="0"/>
                <w:bCs w:val="0"/>
                <w:sz w:val="21"/>
                <w:szCs w:val="21"/>
                <w:lang w:val="en-US" w:bidi="zh-CN"/>
              </w:rPr>
            </w:pPr>
            <w:r>
              <w:rPr>
                <w:rFonts w:hint="eastAsia"/>
                <w:b w:val="0"/>
                <w:bCs w:val="0"/>
                <w:sz w:val="21"/>
                <w:szCs w:val="21"/>
                <w:lang w:val="en-US" w:bidi="zh-CN"/>
              </w:rPr>
              <w:t>危险废物</w:t>
            </w:r>
          </w:p>
        </w:tc>
        <w:tc>
          <w:tcPr>
            <w:tcW w:w="406" w:type="pct"/>
            <w:noWrap w:val="0"/>
            <w:vAlign w:val="center"/>
          </w:tcPr>
          <w:p w14:paraId="41E56C9E">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b w:val="0"/>
                <w:bCs w:val="0"/>
                <w:kern w:val="0"/>
                <w:sz w:val="18"/>
                <w:szCs w:val="18"/>
              </w:rPr>
            </w:pPr>
            <w:r>
              <w:rPr>
                <w:rFonts w:hint="default" w:ascii="Times New Roman" w:hAnsi="Times New Roman" w:eastAsia="宋体" w:cs="Times New Roman"/>
                <w:b w:val="0"/>
                <w:bCs/>
                <w:sz w:val="21"/>
                <w:szCs w:val="21"/>
              </w:rPr>
              <w:t>HW08  900-214-08</w:t>
            </w:r>
          </w:p>
        </w:tc>
        <w:tc>
          <w:tcPr>
            <w:tcW w:w="543" w:type="pct"/>
            <w:noWrap w:val="0"/>
            <w:vAlign w:val="center"/>
          </w:tcPr>
          <w:p w14:paraId="696F0C16">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sz w:val="21"/>
                <w:szCs w:val="21"/>
              </w:rPr>
            </w:pPr>
            <w:r>
              <w:rPr>
                <w:rFonts w:hint="default" w:ascii="Times New Roman" w:hAnsi="Times New Roman" w:eastAsia="宋体" w:cs="Times New Roman"/>
                <w:b w:val="0"/>
                <w:bCs/>
                <w:sz w:val="21"/>
                <w:szCs w:val="21"/>
                <w:lang w:val="en-US" w:eastAsia="zh-CN"/>
              </w:rPr>
              <w:t>废机油</w:t>
            </w:r>
          </w:p>
        </w:tc>
        <w:tc>
          <w:tcPr>
            <w:tcW w:w="345" w:type="pct"/>
            <w:noWrap w:val="0"/>
            <w:vAlign w:val="center"/>
          </w:tcPr>
          <w:p w14:paraId="425D2E6C">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sz w:val="21"/>
                <w:szCs w:val="21"/>
                <w:lang w:val="en-US" w:eastAsia="zh-CN"/>
              </w:rPr>
            </w:pPr>
            <w:r>
              <w:rPr>
                <w:rFonts w:hint="default" w:ascii="Times New Roman" w:hAnsi="Times New Roman" w:eastAsia="宋体" w:cs="Times New Roman"/>
                <w:b w:val="0"/>
                <w:bCs/>
                <w:sz w:val="21"/>
                <w:szCs w:val="21"/>
              </w:rPr>
              <w:t>0.</w:t>
            </w:r>
            <w:r>
              <w:rPr>
                <w:rFonts w:hint="eastAsia" w:ascii="Times New Roman" w:hAnsi="Times New Roman" w:eastAsia="宋体" w:cs="Times New Roman"/>
                <w:b w:val="0"/>
                <w:bCs/>
                <w:sz w:val="21"/>
                <w:szCs w:val="21"/>
                <w:lang w:val="en-US" w:eastAsia="zh-CN"/>
              </w:rPr>
              <w:t>05</w:t>
            </w:r>
          </w:p>
        </w:tc>
        <w:tc>
          <w:tcPr>
            <w:tcW w:w="318" w:type="pct"/>
            <w:vMerge w:val="restart"/>
            <w:noWrap w:val="0"/>
            <w:vAlign w:val="center"/>
          </w:tcPr>
          <w:p w14:paraId="252DCC99">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sz w:val="21"/>
                <w:szCs w:val="21"/>
              </w:rPr>
            </w:pPr>
            <w:r>
              <w:rPr>
                <w:rFonts w:hint="default" w:ascii="Times New Roman" w:hAnsi="Times New Roman" w:eastAsia="宋体" w:cs="Times New Roman"/>
                <w:b w:val="0"/>
                <w:bCs/>
                <w:sz w:val="21"/>
                <w:szCs w:val="21"/>
                <w:lang w:val="en-US" w:eastAsia="zh-CN"/>
              </w:rPr>
              <w:t>收集后，委托有资质单位定期处置</w:t>
            </w:r>
          </w:p>
        </w:tc>
        <w:tc>
          <w:tcPr>
            <w:tcW w:w="345" w:type="pct"/>
            <w:noWrap w:val="0"/>
            <w:vAlign w:val="center"/>
          </w:tcPr>
          <w:p w14:paraId="68C77413">
            <w:pPr>
              <w:keepNext w:val="0"/>
              <w:keepLines w:val="0"/>
              <w:pageBreakBefore w:val="0"/>
              <w:kinsoku/>
              <w:wordWrap/>
              <w:overflowPunct/>
              <w:topLinePunct w:val="0"/>
              <w:bidi w:val="0"/>
              <w:spacing w:line="300" w:lineRule="exact"/>
              <w:ind w:left="-105" w:leftChars="-50" w:right="-105" w:rightChars="-50"/>
              <w:jc w:val="center"/>
              <w:rPr>
                <w:rFonts w:hint="eastAsia"/>
                <w:b w:val="0"/>
                <w:bCs w:val="0"/>
                <w:szCs w:val="21"/>
              </w:rPr>
            </w:pPr>
            <w:r>
              <w:rPr>
                <w:rFonts w:hint="eastAsia"/>
                <w:b w:val="0"/>
                <w:bCs w:val="0"/>
                <w:szCs w:val="21"/>
              </w:rPr>
              <w:t>0</w:t>
            </w:r>
          </w:p>
        </w:tc>
        <w:tc>
          <w:tcPr>
            <w:tcW w:w="316" w:type="pct"/>
            <w:noWrap w:val="0"/>
            <w:vAlign w:val="center"/>
          </w:tcPr>
          <w:p w14:paraId="50E4DEA0">
            <w:pPr>
              <w:keepNext w:val="0"/>
              <w:keepLines w:val="0"/>
              <w:pageBreakBefore w:val="0"/>
              <w:kinsoku/>
              <w:wordWrap/>
              <w:overflowPunct/>
              <w:topLinePunct w:val="0"/>
              <w:bidi w:val="0"/>
              <w:spacing w:line="300" w:lineRule="exact"/>
              <w:ind w:left="-63" w:leftChars="-30" w:right="-63" w:rightChars="-30"/>
              <w:jc w:val="center"/>
              <w:rPr>
                <w:rFonts w:hint="eastAsia"/>
                <w:sz w:val="21"/>
                <w:szCs w:val="21"/>
                <w:lang w:val="en-US" w:eastAsia="zh-CN"/>
              </w:rPr>
            </w:pPr>
            <w:r>
              <w:rPr>
                <w:rFonts w:hint="eastAsia"/>
                <w:b w:val="0"/>
                <w:bCs w:val="0"/>
                <w:szCs w:val="21"/>
              </w:rPr>
              <w:t>0</w:t>
            </w:r>
          </w:p>
        </w:tc>
        <w:tc>
          <w:tcPr>
            <w:tcW w:w="315" w:type="pct"/>
            <w:noWrap w:val="0"/>
            <w:vAlign w:val="center"/>
          </w:tcPr>
          <w:p w14:paraId="046DB0EC">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79" w:type="pct"/>
            <w:noWrap w:val="0"/>
            <w:vAlign w:val="center"/>
          </w:tcPr>
          <w:p w14:paraId="17FCDF0D">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b w:val="0"/>
                <w:bCs w:val="0"/>
                <w:szCs w:val="21"/>
              </w:rPr>
            </w:pPr>
            <w:r>
              <w:rPr>
                <w:rFonts w:hint="default" w:ascii="Times New Roman" w:hAnsi="Times New Roman" w:eastAsia="宋体" w:cs="Times New Roman"/>
                <w:b w:val="0"/>
                <w:bCs/>
                <w:sz w:val="21"/>
                <w:szCs w:val="21"/>
              </w:rPr>
              <w:t>0.</w:t>
            </w:r>
            <w:r>
              <w:rPr>
                <w:rFonts w:hint="eastAsia" w:ascii="Times New Roman" w:hAnsi="Times New Roman" w:eastAsia="宋体" w:cs="Times New Roman"/>
                <w:b w:val="0"/>
                <w:bCs/>
                <w:sz w:val="21"/>
                <w:szCs w:val="21"/>
                <w:lang w:val="en-US" w:eastAsia="zh-CN"/>
              </w:rPr>
              <w:t>05</w:t>
            </w:r>
          </w:p>
        </w:tc>
        <w:tc>
          <w:tcPr>
            <w:tcW w:w="381" w:type="pct"/>
            <w:noWrap w:val="0"/>
            <w:vAlign w:val="center"/>
          </w:tcPr>
          <w:p w14:paraId="63D73F36">
            <w:pPr>
              <w:widowControl/>
              <w:spacing w:line="240" w:lineRule="auto"/>
              <w:jc w:val="center"/>
              <w:rPr>
                <w:rFonts w:hint="eastAsia"/>
                <w:b w:val="0"/>
                <w:bCs w:val="0"/>
                <w:sz w:val="21"/>
                <w:szCs w:val="21"/>
                <w:lang w:bidi="zh-CN"/>
              </w:rPr>
            </w:pPr>
            <w:r>
              <w:rPr>
                <w:rFonts w:hint="eastAsia"/>
                <w:b w:val="0"/>
                <w:bCs w:val="0"/>
                <w:szCs w:val="21"/>
              </w:rPr>
              <w:t>0</w:t>
            </w:r>
          </w:p>
        </w:tc>
        <w:tc>
          <w:tcPr>
            <w:tcW w:w="272" w:type="pct"/>
            <w:noWrap w:val="0"/>
            <w:vAlign w:val="center"/>
          </w:tcPr>
          <w:p w14:paraId="7BAE62CE">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390767FE">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r w14:paraId="227D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63" w:type="pct"/>
            <w:noWrap w:val="0"/>
            <w:vAlign w:val="center"/>
          </w:tcPr>
          <w:p w14:paraId="4DC3CBCB">
            <w:pPr>
              <w:keepNext w:val="0"/>
              <w:keepLines w:val="0"/>
              <w:pageBreakBefore w:val="0"/>
              <w:tabs>
                <w:tab w:val="left" w:pos="1890"/>
              </w:tabs>
              <w:kinsoku/>
              <w:wordWrap/>
              <w:overflowPunct/>
              <w:topLinePunct w:val="0"/>
              <w:bidi w:val="0"/>
              <w:spacing w:line="300" w:lineRule="exact"/>
              <w:ind w:left="-63" w:leftChars="-30" w:right="-63" w:rightChars="-30"/>
              <w:jc w:val="center"/>
              <w:rPr>
                <w:rFonts w:hint="default" w:eastAsia="宋体"/>
                <w:b w:val="0"/>
                <w:bCs w:val="0"/>
                <w:szCs w:val="21"/>
                <w:lang w:val="en-US" w:eastAsia="zh-CN"/>
              </w:rPr>
            </w:pPr>
            <w:r>
              <w:rPr>
                <w:rFonts w:hint="eastAsia" w:eastAsia="宋体"/>
                <w:b w:val="0"/>
                <w:bCs w:val="0"/>
                <w:szCs w:val="21"/>
                <w:lang w:val="en-US" w:eastAsia="zh-CN"/>
              </w:rPr>
              <w:t>7</w:t>
            </w:r>
          </w:p>
        </w:tc>
        <w:tc>
          <w:tcPr>
            <w:tcW w:w="288" w:type="pct"/>
            <w:noWrap w:val="0"/>
            <w:vAlign w:val="center"/>
          </w:tcPr>
          <w:p w14:paraId="4E525558">
            <w:pPr>
              <w:keepNext w:val="0"/>
              <w:keepLines w:val="0"/>
              <w:pageBreakBefore w:val="0"/>
              <w:kinsoku/>
              <w:wordWrap/>
              <w:overflowPunct/>
              <w:topLinePunct w:val="0"/>
              <w:bidi w:val="0"/>
              <w:spacing w:line="300" w:lineRule="exact"/>
              <w:ind w:left="-105" w:leftChars="-50" w:right="-105" w:rightChars="-50"/>
              <w:rPr>
                <w:rFonts w:hint="eastAsia" w:ascii="宋体" w:hAnsi="宋体"/>
                <w:b w:val="0"/>
                <w:bCs w:val="0"/>
                <w:lang w:val="en-US" w:eastAsia="zh-CN"/>
              </w:rPr>
            </w:pPr>
            <w:r>
              <w:rPr>
                <w:rFonts w:hint="eastAsia" w:hAnsi="宋体"/>
                <w:b w:val="0"/>
                <w:bCs w:val="0"/>
                <w:szCs w:val="21"/>
              </w:rPr>
              <w:t>生产</w:t>
            </w:r>
          </w:p>
        </w:tc>
        <w:tc>
          <w:tcPr>
            <w:tcW w:w="391" w:type="pct"/>
            <w:noWrap w:val="0"/>
            <w:vAlign w:val="center"/>
          </w:tcPr>
          <w:p w14:paraId="158B270B">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sz w:val="21"/>
                <w:szCs w:val="21"/>
              </w:rPr>
            </w:pPr>
            <w:r>
              <w:rPr>
                <w:rFonts w:hint="default" w:ascii="Times New Roman" w:hAnsi="Times New Roman" w:eastAsia="宋体" w:cs="Times New Roman"/>
                <w:b w:val="0"/>
                <w:bCs/>
                <w:sz w:val="21"/>
                <w:szCs w:val="21"/>
                <w:lang w:val="en-US" w:eastAsia="zh-CN"/>
              </w:rPr>
              <w:t>废机油桶</w:t>
            </w:r>
          </w:p>
        </w:tc>
        <w:tc>
          <w:tcPr>
            <w:tcW w:w="319" w:type="pct"/>
            <w:noWrap w:val="0"/>
            <w:vAlign w:val="center"/>
          </w:tcPr>
          <w:p w14:paraId="22510B62">
            <w:pPr>
              <w:widowControl/>
              <w:spacing w:line="240" w:lineRule="auto"/>
              <w:jc w:val="center"/>
              <w:rPr>
                <w:rFonts w:hint="eastAsia"/>
                <w:b w:val="0"/>
                <w:bCs w:val="0"/>
                <w:sz w:val="21"/>
                <w:szCs w:val="21"/>
                <w:lang w:bidi="zh-CN"/>
              </w:rPr>
            </w:pPr>
            <w:r>
              <w:rPr>
                <w:rFonts w:hint="eastAsia"/>
                <w:b w:val="0"/>
                <w:bCs w:val="0"/>
                <w:sz w:val="21"/>
                <w:szCs w:val="21"/>
                <w:lang w:val="en-US" w:bidi="zh-CN"/>
              </w:rPr>
              <w:t>危险废物</w:t>
            </w:r>
          </w:p>
        </w:tc>
        <w:tc>
          <w:tcPr>
            <w:tcW w:w="406" w:type="pct"/>
            <w:noWrap w:val="0"/>
            <w:vAlign w:val="center"/>
          </w:tcPr>
          <w:p w14:paraId="62E5179B">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b w:val="0"/>
                <w:bCs w:val="0"/>
                <w:kern w:val="0"/>
                <w:sz w:val="18"/>
                <w:szCs w:val="18"/>
              </w:rPr>
            </w:pPr>
            <w:r>
              <w:rPr>
                <w:rFonts w:hint="default" w:ascii="Times New Roman" w:hAnsi="Times New Roman" w:eastAsia="宋体" w:cs="Times New Roman"/>
                <w:b w:val="0"/>
                <w:bCs/>
                <w:sz w:val="21"/>
                <w:szCs w:val="21"/>
              </w:rPr>
              <w:t>HW08  900-249-08</w:t>
            </w:r>
          </w:p>
        </w:tc>
        <w:tc>
          <w:tcPr>
            <w:tcW w:w="543" w:type="pct"/>
            <w:noWrap w:val="0"/>
            <w:vAlign w:val="center"/>
          </w:tcPr>
          <w:p w14:paraId="40F73754">
            <w:pPr>
              <w:pStyle w:val="141"/>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sz w:val="21"/>
                <w:szCs w:val="21"/>
              </w:rPr>
            </w:pPr>
            <w:r>
              <w:rPr>
                <w:rFonts w:hint="default" w:ascii="Times New Roman" w:hAnsi="Times New Roman" w:eastAsia="宋体" w:cs="Times New Roman"/>
                <w:b w:val="0"/>
                <w:bCs/>
                <w:sz w:val="21"/>
                <w:szCs w:val="21"/>
                <w:lang w:val="en-US" w:eastAsia="zh-CN"/>
              </w:rPr>
              <w:t>废机油桶</w:t>
            </w:r>
          </w:p>
        </w:tc>
        <w:tc>
          <w:tcPr>
            <w:tcW w:w="345" w:type="pct"/>
            <w:noWrap w:val="0"/>
            <w:vAlign w:val="center"/>
          </w:tcPr>
          <w:p w14:paraId="18476117">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sz w:val="21"/>
                <w:szCs w:val="21"/>
                <w:lang w:val="en-US" w:eastAsia="zh-CN"/>
              </w:rPr>
            </w:pPr>
            <w:r>
              <w:rPr>
                <w:rFonts w:hint="default" w:ascii="Times New Roman" w:hAnsi="Times New Roman" w:eastAsia="宋体" w:cs="Times New Roman"/>
                <w:b w:val="0"/>
                <w:bCs/>
                <w:sz w:val="21"/>
                <w:szCs w:val="21"/>
              </w:rPr>
              <w:t>0.0</w:t>
            </w:r>
            <w:r>
              <w:rPr>
                <w:rFonts w:hint="eastAsia" w:ascii="Times New Roman" w:hAnsi="Times New Roman" w:eastAsia="宋体" w:cs="Times New Roman"/>
                <w:b w:val="0"/>
                <w:bCs/>
                <w:sz w:val="21"/>
                <w:szCs w:val="21"/>
                <w:lang w:val="en-US" w:eastAsia="zh-CN"/>
              </w:rPr>
              <w:t>1</w:t>
            </w:r>
          </w:p>
        </w:tc>
        <w:tc>
          <w:tcPr>
            <w:tcW w:w="318" w:type="pct"/>
            <w:vMerge w:val="continue"/>
            <w:noWrap w:val="0"/>
            <w:vAlign w:val="center"/>
          </w:tcPr>
          <w:p w14:paraId="20A7DC45">
            <w:pPr>
              <w:keepNext w:val="0"/>
              <w:keepLines w:val="0"/>
              <w:pageBreakBefore w:val="0"/>
              <w:tabs>
                <w:tab w:val="left" w:pos="1890"/>
              </w:tabs>
              <w:kinsoku/>
              <w:wordWrap/>
              <w:overflowPunct/>
              <w:topLinePunct w:val="0"/>
              <w:bidi w:val="0"/>
              <w:spacing w:line="300" w:lineRule="exact"/>
              <w:ind w:left="-63" w:leftChars="-30" w:right="-63" w:rightChars="-30"/>
              <w:jc w:val="center"/>
              <w:rPr>
                <w:rFonts w:hint="eastAsia"/>
                <w:sz w:val="21"/>
                <w:szCs w:val="21"/>
              </w:rPr>
            </w:pPr>
          </w:p>
        </w:tc>
        <w:tc>
          <w:tcPr>
            <w:tcW w:w="345" w:type="pct"/>
            <w:noWrap w:val="0"/>
            <w:vAlign w:val="center"/>
          </w:tcPr>
          <w:p w14:paraId="6BBE2E73">
            <w:pPr>
              <w:keepNext w:val="0"/>
              <w:keepLines w:val="0"/>
              <w:pageBreakBefore w:val="0"/>
              <w:kinsoku/>
              <w:wordWrap/>
              <w:overflowPunct/>
              <w:topLinePunct w:val="0"/>
              <w:bidi w:val="0"/>
              <w:spacing w:line="300" w:lineRule="exact"/>
              <w:ind w:left="-105" w:leftChars="-50" w:right="-105" w:rightChars="-50"/>
              <w:jc w:val="center"/>
              <w:rPr>
                <w:rFonts w:hint="eastAsia"/>
                <w:b w:val="0"/>
                <w:bCs w:val="0"/>
                <w:szCs w:val="21"/>
              </w:rPr>
            </w:pPr>
            <w:r>
              <w:rPr>
                <w:rFonts w:hint="eastAsia"/>
                <w:b w:val="0"/>
                <w:bCs w:val="0"/>
                <w:szCs w:val="21"/>
              </w:rPr>
              <w:t>0</w:t>
            </w:r>
          </w:p>
        </w:tc>
        <w:tc>
          <w:tcPr>
            <w:tcW w:w="316" w:type="pct"/>
            <w:noWrap w:val="0"/>
            <w:vAlign w:val="center"/>
          </w:tcPr>
          <w:p w14:paraId="41A65101">
            <w:pPr>
              <w:keepNext w:val="0"/>
              <w:keepLines w:val="0"/>
              <w:pageBreakBefore w:val="0"/>
              <w:kinsoku/>
              <w:wordWrap/>
              <w:overflowPunct/>
              <w:topLinePunct w:val="0"/>
              <w:bidi w:val="0"/>
              <w:spacing w:line="300" w:lineRule="exact"/>
              <w:ind w:left="-63" w:leftChars="-30" w:right="-63" w:rightChars="-30"/>
              <w:jc w:val="center"/>
              <w:rPr>
                <w:rFonts w:hint="eastAsia"/>
                <w:sz w:val="21"/>
                <w:szCs w:val="21"/>
                <w:lang w:val="en-US" w:eastAsia="zh-CN"/>
              </w:rPr>
            </w:pPr>
            <w:r>
              <w:rPr>
                <w:rFonts w:hint="eastAsia"/>
                <w:b w:val="0"/>
                <w:bCs w:val="0"/>
                <w:szCs w:val="21"/>
              </w:rPr>
              <w:t>0</w:t>
            </w:r>
          </w:p>
        </w:tc>
        <w:tc>
          <w:tcPr>
            <w:tcW w:w="315" w:type="pct"/>
            <w:noWrap w:val="0"/>
            <w:vAlign w:val="center"/>
          </w:tcPr>
          <w:p w14:paraId="016F6944">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379" w:type="pct"/>
            <w:noWrap w:val="0"/>
            <w:vAlign w:val="center"/>
          </w:tcPr>
          <w:p w14:paraId="632DA356">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b w:val="0"/>
                <w:bCs w:val="0"/>
                <w:szCs w:val="21"/>
              </w:rPr>
            </w:pPr>
            <w:r>
              <w:rPr>
                <w:rFonts w:hint="default" w:ascii="Times New Roman" w:hAnsi="Times New Roman" w:eastAsia="宋体" w:cs="Times New Roman"/>
                <w:b w:val="0"/>
                <w:bCs/>
                <w:sz w:val="21"/>
                <w:szCs w:val="21"/>
              </w:rPr>
              <w:t>0.0</w:t>
            </w:r>
            <w:r>
              <w:rPr>
                <w:rFonts w:hint="eastAsia" w:ascii="Times New Roman" w:hAnsi="Times New Roman" w:eastAsia="宋体" w:cs="Times New Roman"/>
                <w:b w:val="0"/>
                <w:bCs/>
                <w:sz w:val="21"/>
                <w:szCs w:val="21"/>
                <w:lang w:val="en-US" w:eastAsia="zh-CN"/>
              </w:rPr>
              <w:t>1</w:t>
            </w:r>
          </w:p>
        </w:tc>
        <w:tc>
          <w:tcPr>
            <w:tcW w:w="381" w:type="pct"/>
            <w:noWrap w:val="0"/>
            <w:vAlign w:val="center"/>
          </w:tcPr>
          <w:p w14:paraId="1AE771C8">
            <w:pPr>
              <w:widowControl/>
              <w:spacing w:line="240" w:lineRule="auto"/>
              <w:jc w:val="center"/>
              <w:rPr>
                <w:rFonts w:hint="eastAsia"/>
                <w:b w:val="0"/>
                <w:bCs w:val="0"/>
                <w:sz w:val="21"/>
                <w:szCs w:val="21"/>
                <w:lang w:bidi="zh-CN"/>
              </w:rPr>
            </w:pPr>
            <w:r>
              <w:rPr>
                <w:rFonts w:hint="eastAsia"/>
                <w:b w:val="0"/>
                <w:bCs w:val="0"/>
                <w:szCs w:val="21"/>
              </w:rPr>
              <w:t>0</w:t>
            </w:r>
          </w:p>
        </w:tc>
        <w:tc>
          <w:tcPr>
            <w:tcW w:w="272" w:type="pct"/>
            <w:noWrap w:val="0"/>
            <w:vAlign w:val="center"/>
          </w:tcPr>
          <w:p w14:paraId="3284C2FE">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0</w:t>
            </w:r>
          </w:p>
        </w:tc>
        <w:tc>
          <w:tcPr>
            <w:tcW w:w="211" w:type="pct"/>
            <w:noWrap w:val="0"/>
            <w:vAlign w:val="center"/>
          </w:tcPr>
          <w:p w14:paraId="70D3935C">
            <w:pPr>
              <w:keepNext w:val="0"/>
              <w:keepLines w:val="0"/>
              <w:pageBreakBefore w:val="0"/>
              <w:kinsoku/>
              <w:wordWrap/>
              <w:overflowPunct/>
              <w:topLinePunct w:val="0"/>
              <w:bidi w:val="0"/>
              <w:spacing w:line="300" w:lineRule="exact"/>
              <w:ind w:left="-63" w:leftChars="-30" w:right="-63" w:rightChars="-30"/>
              <w:jc w:val="center"/>
              <w:rPr>
                <w:rFonts w:hint="eastAsia"/>
                <w:b w:val="0"/>
                <w:bCs w:val="0"/>
                <w:szCs w:val="21"/>
              </w:rPr>
            </w:pPr>
            <w:r>
              <w:rPr>
                <w:rFonts w:hint="eastAsia"/>
                <w:b w:val="0"/>
                <w:bCs w:val="0"/>
                <w:szCs w:val="21"/>
              </w:rPr>
              <w:t>/</w:t>
            </w:r>
          </w:p>
        </w:tc>
      </w:tr>
    </w:tbl>
    <w:p w14:paraId="572A9694">
      <w:pPr>
        <w:tabs>
          <w:tab w:val="left" w:pos="1890"/>
        </w:tabs>
        <w:spacing w:line="440" w:lineRule="exact"/>
        <w:jc w:val="center"/>
        <w:rPr>
          <w:rFonts w:hint="eastAsia" w:ascii="黑体" w:hAnsi="黑体" w:eastAsia="黑体" w:cs="黑体"/>
          <w:b w:val="0"/>
          <w:bCs w:val="0"/>
          <w:sz w:val="24"/>
          <w:szCs w:val="28"/>
        </w:rPr>
      </w:pPr>
    </w:p>
    <w:p w14:paraId="7D970E38">
      <w:pPr>
        <w:tabs>
          <w:tab w:val="left" w:pos="1890"/>
        </w:tabs>
        <w:spacing w:line="440" w:lineRule="exact"/>
        <w:jc w:val="center"/>
        <w:rPr>
          <w:rFonts w:hint="eastAsia" w:ascii="黑体" w:hAnsi="黑体" w:eastAsia="黑体" w:cs="黑体"/>
          <w:b w:val="0"/>
          <w:bCs w:val="0"/>
          <w:sz w:val="24"/>
          <w:szCs w:val="28"/>
        </w:rPr>
      </w:pPr>
      <w:r>
        <w:rPr>
          <w:rFonts w:hint="eastAsia" w:ascii="黑体" w:hAnsi="黑体" w:eastAsia="黑体" w:cs="黑体"/>
          <w:b w:val="0"/>
          <w:bCs w:val="0"/>
          <w:sz w:val="24"/>
          <w:szCs w:val="28"/>
        </w:rPr>
        <w:t>表</w:t>
      </w:r>
      <w:r>
        <w:rPr>
          <w:rFonts w:hint="eastAsia" w:ascii="黑体" w:hAnsi="黑体" w:eastAsia="黑体" w:cs="黑体"/>
          <w:b w:val="0"/>
          <w:bCs w:val="0"/>
          <w:sz w:val="24"/>
          <w:szCs w:val="28"/>
          <w:lang w:val="en-US" w:eastAsia="zh-CN"/>
        </w:rPr>
        <w:t xml:space="preserve">8 </w:t>
      </w:r>
      <w:r>
        <w:rPr>
          <w:rFonts w:hint="eastAsia" w:ascii="黑体" w:hAnsi="黑体" w:eastAsia="黑体" w:cs="黑体"/>
          <w:b w:val="0"/>
          <w:bCs w:val="0"/>
          <w:sz w:val="24"/>
          <w:szCs w:val="28"/>
        </w:rPr>
        <w:t xml:space="preserve"> 建设项目自行监测及记录信息表</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
        <w:gridCol w:w="672"/>
        <w:gridCol w:w="839"/>
        <w:gridCol w:w="1009"/>
        <w:gridCol w:w="1178"/>
        <w:gridCol w:w="1028"/>
        <w:gridCol w:w="771"/>
        <w:gridCol w:w="686"/>
        <w:gridCol w:w="1060"/>
        <w:gridCol w:w="1006"/>
        <w:gridCol w:w="1520"/>
        <w:gridCol w:w="910"/>
        <w:gridCol w:w="946"/>
        <w:gridCol w:w="929"/>
        <w:gridCol w:w="588"/>
      </w:tblGrid>
      <w:tr w14:paraId="21B4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184" w:type="pct"/>
            <w:noWrap w:val="0"/>
            <w:vAlign w:val="center"/>
          </w:tcPr>
          <w:p w14:paraId="1407D6BE">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序号</w:t>
            </w:r>
          </w:p>
        </w:tc>
        <w:tc>
          <w:tcPr>
            <w:tcW w:w="246" w:type="pct"/>
            <w:noWrap w:val="0"/>
            <w:vAlign w:val="center"/>
          </w:tcPr>
          <w:p w14:paraId="579456EE">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污染源类别/监测类别</w:t>
            </w:r>
          </w:p>
        </w:tc>
        <w:tc>
          <w:tcPr>
            <w:tcW w:w="307" w:type="pct"/>
            <w:noWrap w:val="0"/>
            <w:vAlign w:val="center"/>
          </w:tcPr>
          <w:p w14:paraId="7CEC598B">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排放口编号/监测点位</w:t>
            </w:r>
          </w:p>
        </w:tc>
        <w:tc>
          <w:tcPr>
            <w:tcW w:w="369" w:type="pct"/>
            <w:noWrap w:val="0"/>
            <w:vAlign w:val="center"/>
          </w:tcPr>
          <w:p w14:paraId="5945FB5B">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排放口名称/监测点位名称</w:t>
            </w:r>
          </w:p>
        </w:tc>
        <w:tc>
          <w:tcPr>
            <w:tcW w:w="431" w:type="pct"/>
            <w:noWrap w:val="0"/>
            <w:vAlign w:val="center"/>
          </w:tcPr>
          <w:p w14:paraId="117BEA64">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监测</w:t>
            </w:r>
          </w:p>
          <w:p w14:paraId="433EE919">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内容</w:t>
            </w:r>
          </w:p>
        </w:tc>
        <w:tc>
          <w:tcPr>
            <w:tcW w:w="376" w:type="pct"/>
            <w:noWrap w:val="0"/>
            <w:vAlign w:val="center"/>
          </w:tcPr>
          <w:p w14:paraId="098AF164">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污染</w:t>
            </w:r>
          </w:p>
          <w:p w14:paraId="5CF2C2F3">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名称</w:t>
            </w:r>
          </w:p>
        </w:tc>
        <w:tc>
          <w:tcPr>
            <w:tcW w:w="282" w:type="pct"/>
            <w:noWrap w:val="0"/>
            <w:vAlign w:val="center"/>
          </w:tcPr>
          <w:p w14:paraId="6DC938B6">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监测设施</w:t>
            </w:r>
          </w:p>
        </w:tc>
        <w:tc>
          <w:tcPr>
            <w:tcW w:w="251" w:type="pct"/>
            <w:noWrap w:val="0"/>
            <w:vAlign w:val="center"/>
          </w:tcPr>
          <w:p w14:paraId="3AEB5E12">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自动监测是否联网</w:t>
            </w:r>
          </w:p>
        </w:tc>
        <w:tc>
          <w:tcPr>
            <w:tcW w:w="388" w:type="pct"/>
            <w:noWrap w:val="0"/>
            <w:vAlign w:val="center"/>
          </w:tcPr>
          <w:p w14:paraId="010BF508">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自动监测仪器名称</w:t>
            </w:r>
          </w:p>
        </w:tc>
        <w:tc>
          <w:tcPr>
            <w:tcW w:w="368" w:type="pct"/>
            <w:noWrap w:val="0"/>
            <w:vAlign w:val="center"/>
          </w:tcPr>
          <w:p w14:paraId="4DA157AE">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自动监测设施按照位置</w:t>
            </w:r>
          </w:p>
        </w:tc>
        <w:tc>
          <w:tcPr>
            <w:tcW w:w="556" w:type="pct"/>
            <w:noWrap w:val="0"/>
            <w:vAlign w:val="center"/>
          </w:tcPr>
          <w:p w14:paraId="4BB94E27">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自动监测设施是否符合安装、运行、维护等管理要求</w:t>
            </w:r>
          </w:p>
        </w:tc>
        <w:tc>
          <w:tcPr>
            <w:tcW w:w="333" w:type="pct"/>
            <w:noWrap w:val="0"/>
            <w:vAlign w:val="center"/>
          </w:tcPr>
          <w:p w14:paraId="254B6777">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手工监测采样方法及个数</w:t>
            </w:r>
          </w:p>
        </w:tc>
        <w:tc>
          <w:tcPr>
            <w:tcW w:w="346" w:type="pct"/>
            <w:noWrap w:val="0"/>
            <w:vAlign w:val="center"/>
          </w:tcPr>
          <w:p w14:paraId="6D8E6D5B">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手工监测频次</w:t>
            </w:r>
          </w:p>
        </w:tc>
        <w:tc>
          <w:tcPr>
            <w:tcW w:w="340" w:type="pct"/>
            <w:noWrap w:val="0"/>
            <w:vAlign w:val="center"/>
          </w:tcPr>
          <w:p w14:paraId="69238A70">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手工测定方法</w:t>
            </w:r>
          </w:p>
        </w:tc>
        <w:tc>
          <w:tcPr>
            <w:tcW w:w="215" w:type="pct"/>
            <w:noWrap w:val="0"/>
            <w:vAlign w:val="center"/>
          </w:tcPr>
          <w:p w14:paraId="0F5A627B">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其他信息</w:t>
            </w:r>
          </w:p>
        </w:tc>
      </w:tr>
      <w:tr w14:paraId="28AD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84" w:type="pct"/>
            <w:noWrap w:val="0"/>
            <w:vAlign w:val="center"/>
          </w:tcPr>
          <w:p w14:paraId="797CC632">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1</w:t>
            </w:r>
          </w:p>
        </w:tc>
        <w:tc>
          <w:tcPr>
            <w:tcW w:w="246" w:type="pct"/>
            <w:tcBorders>
              <w:bottom w:val="single" w:color="000000" w:sz="4" w:space="0"/>
            </w:tcBorders>
            <w:noWrap w:val="0"/>
            <w:vAlign w:val="center"/>
          </w:tcPr>
          <w:p w14:paraId="06D63490">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废气</w:t>
            </w:r>
          </w:p>
        </w:tc>
        <w:tc>
          <w:tcPr>
            <w:tcW w:w="307" w:type="pct"/>
            <w:tcBorders>
              <w:bottom w:val="single" w:color="000000" w:sz="4" w:space="0"/>
            </w:tcBorders>
            <w:noWrap w:val="0"/>
            <w:vAlign w:val="center"/>
          </w:tcPr>
          <w:p w14:paraId="1D15EE65">
            <w:pPr>
              <w:tabs>
                <w:tab w:val="left" w:pos="1890"/>
              </w:tabs>
              <w:spacing w:line="360" w:lineRule="exact"/>
              <w:ind w:left="-63" w:leftChars="-30" w:right="-63" w:rightChars="-30"/>
              <w:jc w:val="center"/>
              <w:rPr>
                <w:rFonts w:hint="eastAsia" w:eastAsia="宋体"/>
                <w:b w:val="0"/>
                <w:bCs w:val="0"/>
                <w:sz w:val="21"/>
                <w:szCs w:val="21"/>
                <w:lang w:eastAsia="zh-CN"/>
              </w:rPr>
            </w:pPr>
            <w:r>
              <w:rPr>
                <w:rFonts w:hint="eastAsia"/>
                <w:b w:val="0"/>
                <w:bCs w:val="0"/>
                <w:sz w:val="21"/>
                <w:szCs w:val="21"/>
              </w:rPr>
              <w:t>DA00</w:t>
            </w:r>
            <w:r>
              <w:rPr>
                <w:rFonts w:hint="eastAsia"/>
                <w:b w:val="0"/>
                <w:bCs w:val="0"/>
                <w:sz w:val="21"/>
                <w:szCs w:val="21"/>
                <w:lang w:val="en-US" w:eastAsia="zh-CN"/>
              </w:rPr>
              <w:t>1</w:t>
            </w:r>
          </w:p>
        </w:tc>
        <w:tc>
          <w:tcPr>
            <w:tcW w:w="369" w:type="pct"/>
            <w:noWrap w:val="0"/>
            <w:vAlign w:val="center"/>
          </w:tcPr>
          <w:p w14:paraId="0831A106">
            <w:pPr>
              <w:pStyle w:val="96"/>
              <w:tabs>
                <w:tab w:val="left" w:pos="0"/>
              </w:tabs>
              <w:ind w:right="55" w:rightChars="0"/>
              <w:rPr>
                <w:rFonts w:hint="eastAsia"/>
                <w:b w:val="0"/>
                <w:bCs w:val="0"/>
                <w:sz w:val="21"/>
                <w:szCs w:val="21"/>
              </w:rPr>
            </w:pPr>
            <w:r>
              <w:rPr>
                <w:rFonts w:hint="eastAsia" w:ascii="Times New Roman" w:hAnsi="Times New Roman" w:eastAsia="宋体" w:cs="Times New Roman"/>
                <w:b w:val="0"/>
                <w:bCs w:val="0"/>
                <w:color w:val="000000"/>
                <w:sz w:val="21"/>
                <w:szCs w:val="21"/>
                <w:lang w:val="en-US" w:eastAsia="zh-CN"/>
              </w:rPr>
              <w:t>破碎筛分废气</w:t>
            </w:r>
            <w:r>
              <w:rPr>
                <w:rFonts w:hint="default" w:ascii="Times New Roman" w:hAnsi="Times New Roman" w:eastAsia="宋体" w:cs="Times New Roman"/>
                <w:b w:val="0"/>
                <w:bCs w:val="0"/>
                <w:color w:val="000000"/>
                <w:sz w:val="21"/>
                <w:szCs w:val="21"/>
              </w:rPr>
              <w:t>排放口</w:t>
            </w:r>
          </w:p>
        </w:tc>
        <w:tc>
          <w:tcPr>
            <w:tcW w:w="431" w:type="pct"/>
            <w:noWrap w:val="0"/>
            <w:vAlign w:val="center"/>
          </w:tcPr>
          <w:p w14:paraId="3F02D01C">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流量、流速、污染物等</w:t>
            </w:r>
          </w:p>
        </w:tc>
        <w:tc>
          <w:tcPr>
            <w:tcW w:w="376" w:type="pct"/>
            <w:noWrap w:val="0"/>
            <w:vAlign w:val="center"/>
          </w:tcPr>
          <w:p w14:paraId="08CFE073">
            <w:pPr>
              <w:spacing w:line="360" w:lineRule="exact"/>
              <w:ind w:left="-63" w:leftChars="-30" w:right="-63" w:rightChars="-30"/>
              <w:jc w:val="center"/>
              <w:rPr>
                <w:rFonts w:hint="eastAsia" w:eastAsia="宋体"/>
                <w:b w:val="0"/>
                <w:bCs w:val="0"/>
                <w:sz w:val="21"/>
                <w:szCs w:val="21"/>
                <w:lang w:eastAsia="zh-CN"/>
              </w:rPr>
            </w:pPr>
            <w:r>
              <w:rPr>
                <w:rFonts w:hint="eastAsia" w:ascii="Times New Roman" w:hAnsi="Times New Roman" w:cs="Times New Roman"/>
                <w:b w:val="0"/>
                <w:bCs w:val="0"/>
                <w:color w:val="000000"/>
                <w:sz w:val="21"/>
                <w:szCs w:val="21"/>
                <w:lang w:val="en-US" w:eastAsia="zh-CN"/>
              </w:rPr>
              <w:t>颗粒物</w:t>
            </w:r>
          </w:p>
        </w:tc>
        <w:tc>
          <w:tcPr>
            <w:tcW w:w="282" w:type="pct"/>
            <w:noWrap w:val="0"/>
            <w:vAlign w:val="center"/>
          </w:tcPr>
          <w:p w14:paraId="7D884AFD">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手动监测</w:t>
            </w:r>
          </w:p>
        </w:tc>
        <w:tc>
          <w:tcPr>
            <w:tcW w:w="251" w:type="pct"/>
            <w:noWrap w:val="0"/>
            <w:vAlign w:val="center"/>
          </w:tcPr>
          <w:p w14:paraId="24A2DE8A">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88" w:type="pct"/>
            <w:noWrap w:val="0"/>
            <w:vAlign w:val="center"/>
          </w:tcPr>
          <w:p w14:paraId="62DA5655">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68" w:type="pct"/>
            <w:noWrap w:val="0"/>
            <w:vAlign w:val="center"/>
          </w:tcPr>
          <w:p w14:paraId="3CBBDDCE">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556" w:type="pct"/>
            <w:noWrap w:val="0"/>
            <w:vAlign w:val="center"/>
          </w:tcPr>
          <w:p w14:paraId="760B9F7C">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33" w:type="pct"/>
            <w:noWrap w:val="0"/>
            <w:vAlign w:val="center"/>
          </w:tcPr>
          <w:p w14:paraId="46596B29">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46" w:type="pct"/>
            <w:noWrap w:val="0"/>
            <w:vAlign w:val="center"/>
          </w:tcPr>
          <w:p w14:paraId="2ECFEEE6">
            <w:pPr>
              <w:spacing w:line="360" w:lineRule="exact"/>
              <w:ind w:left="-63" w:leftChars="-30" w:right="-63" w:rightChars="-30"/>
              <w:jc w:val="center"/>
              <w:rPr>
                <w:rFonts w:hint="eastAsia"/>
                <w:b w:val="0"/>
                <w:bCs w:val="0"/>
                <w:sz w:val="21"/>
                <w:szCs w:val="21"/>
              </w:rPr>
            </w:pPr>
            <w:r>
              <w:rPr>
                <w:rFonts w:hint="eastAsia"/>
                <w:b w:val="0"/>
                <w:bCs w:val="0"/>
                <w:sz w:val="21"/>
                <w:szCs w:val="21"/>
              </w:rPr>
              <w:t>1次/年</w:t>
            </w:r>
          </w:p>
        </w:tc>
        <w:tc>
          <w:tcPr>
            <w:tcW w:w="340" w:type="pct"/>
            <w:noWrap w:val="0"/>
            <w:vAlign w:val="center"/>
          </w:tcPr>
          <w:p w14:paraId="557679D0">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215" w:type="pct"/>
            <w:noWrap w:val="0"/>
            <w:vAlign w:val="center"/>
          </w:tcPr>
          <w:p w14:paraId="29A23C0F">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r>
      <w:tr w14:paraId="414C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184" w:type="pct"/>
            <w:vMerge w:val="restart"/>
            <w:noWrap w:val="0"/>
            <w:vAlign w:val="center"/>
          </w:tcPr>
          <w:p w14:paraId="70C25714">
            <w:pPr>
              <w:tabs>
                <w:tab w:val="left" w:pos="1890"/>
              </w:tabs>
              <w:spacing w:line="360" w:lineRule="exact"/>
              <w:ind w:left="-63" w:leftChars="-30" w:right="-63" w:rightChars="-30"/>
              <w:jc w:val="center"/>
              <w:rPr>
                <w:rFonts w:hint="eastAsia" w:eastAsia="宋体"/>
                <w:b w:val="0"/>
                <w:bCs w:val="0"/>
                <w:sz w:val="21"/>
                <w:szCs w:val="21"/>
                <w:lang w:val="en-US" w:eastAsia="zh-CN"/>
              </w:rPr>
            </w:pPr>
            <w:r>
              <w:rPr>
                <w:rFonts w:hint="eastAsia"/>
                <w:b w:val="0"/>
                <w:bCs w:val="0"/>
                <w:sz w:val="21"/>
                <w:szCs w:val="21"/>
                <w:lang w:val="en-US" w:eastAsia="zh-CN"/>
              </w:rPr>
              <w:t>2</w:t>
            </w:r>
          </w:p>
        </w:tc>
        <w:tc>
          <w:tcPr>
            <w:tcW w:w="246" w:type="pct"/>
            <w:vMerge w:val="restart"/>
            <w:noWrap w:val="0"/>
            <w:vAlign w:val="center"/>
          </w:tcPr>
          <w:p w14:paraId="6258AFC2">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废气</w:t>
            </w:r>
          </w:p>
        </w:tc>
        <w:tc>
          <w:tcPr>
            <w:tcW w:w="307" w:type="pct"/>
            <w:vMerge w:val="restart"/>
            <w:noWrap w:val="0"/>
            <w:vAlign w:val="center"/>
          </w:tcPr>
          <w:p w14:paraId="3B7CBF16">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DA00</w:t>
            </w:r>
            <w:r>
              <w:rPr>
                <w:rFonts w:hint="eastAsia"/>
                <w:b w:val="0"/>
                <w:bCs w:val="0"/>
                <w:sz w:val="21"/>
                <w:szCs w:val="21"/>
                <w:lang w:val="en-US" w:eastAsia="zh-CN"/>
              </w:rPr>
              <w:t>2</w:t>
            </w:r>
          </w:p>
        </w:tc>
        <w:tc>
          <w:tcPr>
            <w:tcW w:w="369" w:type="pct"/>
            <w:vMerge w:val="restart"/>
            <w:noWrap w:val="0"/>
            <w:vAlign w:val="center"/>
          </w:tcPr>
          <w:p w14:paraId="12222753">
            <w:pPr>
              <w:pStyle w:val="96"/>
              <w:tabs>
                <w:tab w:val="left" w:pos="0"/>
              </w:tabs>
              <w:ind w:right="55" w:rightChars="0"/>
              <w:rPr>
                <w:rFonts w:hint="eastAsia" w:ascii="Times New Roman" w:hAnsi="Times New Roman" w:eastAsia="宋体" w:cs="Times New Roman"/>
                <w:b w:val="0"/>
                <w:bCs w:val="0"/>
                <w:color w:val="000000"/>
                <w:sz w:val="21"/>
                <w:szCs w:val="21"/>
                <w:lang w:val="en-US" w:eastAsia="zh-CN"/>
              </w:rPr>
            </w:pPr>
            <w:r>
              <w:rPr>
                <w:rFonts w:hint="eastAsia" w:ascii="宋体" w:hAnsi="宋体" w:eastAsia="宋体" w:cs="宋体"/>
                <w:b w:val="0"/>
                <w:bCs w:val="0"/>
                <w:sz w:val="21"/>
                <w:szCs w:val="21"/>
              </w:rPr>
              <w:t>干燥焙烧废气</w:t>
            </w:r>
            <w:r>
              <w:rPr>
                <w:rFonts w:hint="eastAsia" w:ascii="宋体" w:hAnsi="宋体" w:eastAsia="宋体" w:cs="宋体"/>
                <w:b w:val="0"/>
                <w:bCs/>
                <w:sz w:val="21"/>
                <w:szCs w:val="21"/>
              </w:rPr>
              <w:t>排放口</w:t>
            </w:r>
          </w:p>
        </w:tc>
        <w:tc>
          <w:tcPr>
            <w:tcW w:w="431" w:type="pct"/>
            <w:vMerge w:val="restart"/>
            <w:noWrap w:val="0"/>
            <w:vAlign w:val="center"/>
          </w:tcPr>
          <w:p w14:paraId="27892425">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流量、流速、污染物等</w:t>
            </w:r>
          </w:p>
        </w:tc>
        <w:tc>
          <w:tcPr>
            <w:tcW w:w="376" w:type="pct"/>
            <w:noWrap w:val="0"/>
            <w:vAlign w:val="center"/>
          </w:tcPr>
          <w:p w14:paraId="00F1EB2D">
            <w:pPr>
              <w:spacing w:line="360" w:lineRule="exact"/>
              <w:ind w:left="-63" w:leftChars="-30" w:right="-63" w:rightChars="-30"/>
              <w:jc w:val="center"/>
              <w:rPr>
                <w:rFonts w:hint="eastAsia" w:ascii="Times New Roman" w:hAnsi="Times New Roman" w:cs="Times New Roman"/>
                <w:b w:val="0"/>
                <w:bCs w:val="0"/>
                <w:color w:val="000000"/>
                <w:sz w:val="21"/>
                <w:szCs w:val="21"/>
                <w:lang w:val="en-US" w:eastAsia="zh-CN"/>
              </w:rPr>
            </w:pPr>
            <w:r>
              <w:rPr>
                <w:rFonts w:hint="eastAsia" w:ascii="Times New Roman" w:hAnsi="Times New Roman" w:cs="Times New Roman"/>
                <w:b w:val="0"/>
                <w:bCs w:val="0"/>
                <w:color w:val="000000"/>
                <w:sz w:val="21"/>
                <w:szCs w:val="21"/>
                <w:lang w:val="en-US" w:eastAsia="zh-CN"/>
              </w:rPr>
              <w:t>颗粒物</w:t>
            </w:r>
          </w:p>
          <w:p w14:paraId="3AA359F4">
            <w:pPr>
              <w:spacing w:line="360" w:lineRule="exact"/>
              <w:ind w:left="-63" w:leftChars="-30" w:right="-63" w:rightChars="-30"/>
              <w:jc w:val="center"/>
              <w:rPr>
                <w:rFonts w:hint="eastAsia" w:ascii="Times New Roman" w:hAnsi="Times New Roman" w:cs="Times New Roman"/>
                <w:b w:val="0"/>
                <w:bCs w:val="0"/>
                <w:color w:val="000000"/>
                <w:sz w:val="21"/>
                <w:szCs w:val="21"/>
                <w:lang w:val="en-US" w:eastAsia="zh-CN"/>
              </w:rPr>
            </w:pPr>
            <w:r>
              <w:rPr>
                <w:rFonts w:hint="eastAsia" w:ascii="Times New Roman" w:hAnsi="Times New Roman" w:cs="Times New Roman"/>
                <w:b w:val="0"/>
                <w:bCs w:val="0"/>
                <w:color w:val="000000"/>
                <w:sz w:val="21"/>
                <w:szCs w:val="21"/>
                <w:lang w:val="en-US" w:eastAsia="zh-CN"/>
              </w:rPr>
              <w:t>SO2</w:t>
            </w:r>
          </w:p>
          <w:p w14:paraId="20E3FBA4">
            <w:pPr>
              <w:spacing w:line="360" w:lineRule="exact"/>
              <w:ind w:left="-63" w:leftChars="-30" w:right="-63" w:rightChars="-30"/>
              <w:jc w:val="center"/>
              <w:rPr>
                <w:rFonts w:hint="eastAsia" w:ascii="Times New Roman" w:hAnsi="Times New Roman" w:cs="Times New Roman"/>
                <w:b w:val="0"/>
                <w:bCs w:val="0"/>
                <w:color w:val="000000"/>
                <w:sz w:val="21"/>
                <w:szCs w:val="21"/>
                <w:lang w:val="en-US" w:eastAsia="zh-CN"/>
              </w:rPr>
            </w:pPr>
            <w:r>
              <w:rPr>
                <w:rFonts w:hint="eastAsia" w:ascii="Times New Roman" w:hAnsi="Times New Roman" w:cs="Times New Roman"/>
                <w:b w:val="0"/>
                <w:bCs w:val="0"/>
                <w:color w:val="000000"/>
                <w:sz w:val="21"/>
                <w:szCs w:val="21"/>
                <w:lang w:val="en-US" w:eastAsia="zh-CN"/>
              </w:rPr>
              <w:t>NOx</w:t>
            </w:r>
          </w:p>
        </w:tc>
        <w:tc>
          <w:tcPr>
            <w:tcW w:w="282" w:type="pct"/>
            <w:noWrap w:val="0"/>
            <w:vAlign w:val="center"/>
          </w:tcPr>
          <w:p w14:paraId="25A77552">
            <w:pPr>
              <w:tabs>
                <w:tab w:val="left" w:pos="1890"/>
              </w:tabs>
              <w:spacing w:line="360" w:lineRule="exact"/>
              <w:ind w:left="-63" w:leftChars="-30" w:right="-63" w:rightChars="-30"/>
              <w:jc w:val="center"/>
              <w:rPr>
                <w:rFonts w:hint="default" w:eastAsia="宋体"/>
                <w:b w:val="0"/>
                <w:bCs w:val="0"/>
                <w:sz w:val="21"/>
                <w:szCs w:val="21"/>
                <w:lang w:val="en-US" w:eastAsia="zh-CN"/>
              </w:rPr>
            </w:pPr>
            <w:r>
              <w:rPr>
                <w:rFonts w:hint="eastAsia"/>
                <w:b w:val="0"/>
                <w:bCs w:val="0"/>
                <w:sz w:val="21"/>
                <w:szCs w:val="21"/>
                <w:lang w:val="en-US" w:eastAsia="zh-CN"/>
              </w:rPr>
              <w:t>自动监测</w:t>
            </w:r>
          </w:p>
        </w:tc>
        <w:tc>
          <w:tcPr>
            <w:tcW w:w="251" w:type="pct"/>
            <w:noWrap w:val="0"/>
            <w:vAlign w:val="center"/>
          </w:tcPr>
          <w:p w14:paraId="291973C2">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88" w:type="pct"/>
            <w:noWrap w:val="0"/>
            <w:vAlign w:val="center"/>
          </w:tcPr>
          <w:p w14:paraId="1FF2F35A">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68" w:type="pct"/>
            <w:noWrap w:val="0"/>
            <w:vAlign w:val="center"/>
          </w:tcPr>
          <w:p w14:paraId="580C44C5">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556" w:type="pct"/>
            <w:noWrap w:val="0"/>
            <w:vAlign w:val="center"/>
          </w:tcPr>
          <w:p w14:paraId="3C87F2E7">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33" w:type="pct"/>
            <w:noWrap w:val="0"/>
            <w:vAlign w:val="center"/>
          </w:tcPr>
          <w:p w14:paraId="10F4BD29">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46" w:type="pct"/>
            <w:noWrap w:val="0"/>
            <w:vAlign w:val="center"/>
          </w:tcPr>
          <w:p w14:paraId="46BC7034">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40" w:type="pct"/>
            <w:noWrap w:val="0"/>
            <w:vAlign w:val="center"/>
          </w:tcPr>
          <w:p w14:paraId="503A9968">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215" w:type="pct"/>
            <w:noWrap w:val="0"/>
            <w:vAlign w:val="center"/>
          </w:tcPr>
          <w:p w14:paraId="029F1965">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r>
      <w:tr w14:paraId="4BEA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84" w:type="pct"/>
            <w:vMerge w:val="continue"/>
            <w:noWrap w:val="0"/>
            <w:vAlign w:val="center"/>
          </w:tcPr>
          <w:p w14:paraId="091748DF">
            <w:pPr>
              <w:tabs>
                <w:tab w:val="left" w:pos="1890"/>
              </w:tabs>
              <w:spacing w:line="360" w:lineRule="exact"/>
              <w:ind w:left="-63" w:leftChars="-30" w:right="-63" w:rightChars="-30"/>
              <w:jc w:val="center"/>
              <w:rPr>
                <w:rFonts w:hint="eastAsia"/>
                <w:b w:val="0"/>
                <w:bCs w:val="0"/>
                <w:sz w:val="21"/>
                <w:szCs w:val="21"/>
                <w:lang w:val="en-US" w:eastAsia="zh-CN"/>
              </w:rPr>
            </w:pPr>
          </w:p>
        </w:tc>
        <w:tc>
          <w:tcPr>
            <w:tcW w:w="246" w:type="pct"/>
            <w:vMerge w:val="continue"/>
            <w:tcBorders>
              <w:bottom w:val="single" w:color="000000" w:sz="4" w:space="0"/>
            </w:tcBorders>
            <w:noWrap w:val="0"/>
            <w:vAlign w:val="center"/>
          </w:tcPr>
          <w:p w14:paraId="0AD4935D">
            <w:pPr>
              <w:tabs>
                <w:tab w:val="left" w:pos="1890"/>
              </w:tabs>
              <w:spacing w:line="360" w:lineRule="exact"/>
              <w:ind w:left="-63" w:leftChars="-30" w:right="-63" w:rightChars="-30"/>
              <w:jc w:val="center"/>
              <w:rPr>
                <w:rFonts w:hint="eastAsia"/>
                <w:b w:val="0"/>
                <w:bCs w:val="0"/>
                <w:sz w:val="21"/>
                <w:szCs w:val="21"/>
              </w:rPr>
            </w:pPr>
          </w:p>
        </w:tc>
        <w:tc>
          <w:tcPr>
            <w:tcW w:w="307" w:type="pct"/>
            <w:vMerge w:val="continue"/>
            <w:tcBorders>
              <w:bottom w:val="single" w:color="000000" w:sz="4" w:space="0"/>
            </w:tcBorders>
            <w:noWrap w:val="0"/>
            <w:vAlign w:val="center"/>
          </w:tcPr>
          <w:p w14:paraId="08C47562">
            <w:pPr>
              <w:tabs>
                <w:tab w:val="left" w:pos="1890"/>
              </w:tabs>
              <w:spacing w:line="360" w:lineRule="exact"/>
              <w:ind w:left="-63" w:leftChars="-30" w:right="-63" w:rightChars="-30"/>
              <w:jc w:val="center"/>
              <w:rPr>
                <w:rFonts w:hint="eastAsia"/>
                <w:b w:val="0"/>
                <w:bCs w:val="0"/>
                <w:sz w:val="21"/>
                <w:szCs w:val="21"/>
              </w:rPr>
            </w:pPr>
          </w:p>
        </w:tc>
        <w:tc>
          <w:tcPr>
            <w:tcW w:w="369" w:type="pct"/>
            <w:vMerge w:val="continue"/>
            <w:noWrap w:val="0"/>
            <w:vAlign w:val="center"/>
          </w:tcPr>
          <w:p w14:paraId="2C8D8D88">
            <w:pPr>
              <w:pStyle w:val="96"/>
              <w:tabs>
                <w:tab w:val="left" w:pos="0"/>
              </w:tabs>
              <w:ind w:right="55" w:rightChars="0"/>
              <w:rPr>
                <w:rFonts w:hint="eastAsia" w:ascii="宋体" w:hAnsi="宋体" w:eastAsia="宋体" w:cs="宋体"/>
                <w:b w:val="0"/>
                <w:bCs w:val="0"/>
                <w:sz w:val="21"/>
                <w:szCs w:val="21"/>
              </w:rPr>
            </w:pPr>
          </w:p>
        </w:tc>
        <w:tc>
          <w:tcPr>
            <w:tcW w:w="431" w:type="pct"/>
            <w:vMerge w:val="continue"/>
            <w:noWrap w:val="0"/>
            <w:vAlign w:val="center"/>
          </w:tcPr>
          <w:p w14:paraId="30260EEF">
            <w:pPr>
              <w:tabs>
                <w:tab w:val="left" w:pos="1890"/>
              </w:tabs>
              <w:spacing w:line="360" w:lineRule="exact"/>
              <w:ind w:left="-63" w:leftChars="-30" w:right="-63" w:rightChars="-30"/>
              <w:jc w:val="center"/>
              <w:rPr>
                <w:rFonts w:hint="eastAsia"/>
                <w:b w:val="0"/>
                <w:bCs w:val="0"/>
                <w:sz w:val="21"/>
                <w:szCs w:val="21"/>
              </w:rPr>
            </w:pPr>
          </w:p>
        </w:tc>
        <w:tc>
          <w:tcPr>
            <w:tcW w:w="376" w:type="pct"/>
            <w:noWrap w:val="0"/>
            <w:vAlign w:val="center"/>
          </w:tcPr>
          <w:p w14:paraId="19A85A26">
            <w:pPr>
              <w:spacing w:line="360" w:lineRule="exact"/>
              <w:ind w:left="-63" w:leftChars="-30" w:right="-63" w:rightChars="-30"/>
              <w:jc w:val="center"/>
              <w:rPr>
                <w:rFonts w:hint="eastAsia" w:cs="Times New Roman"/>
                <w:b w:val="0"/>
                <w:bCs w:val="0"/>
                <w:color w:val="000000"/>
                <w:sz w:val="21"/>
                <w:szCs w:val="21"/>
                <w:lang w:val="en-US" w:eastAsia="zh-CN"/>
              </w:rPr>
            </w:pPr>
            <w:r>
              <w:rPr>
                <w:rFonts w:hint="eastAsia" w:cs="Times New Roman"/>
                <w:b w:val="0"/>
                <w:bCs w:val="0"/>
                <w:color w:val="000000"/>
                <w:sz w:val="21"/>
                <w:szCs w:val="21"/>
                <w:lang w:val="en-US" w:eastAsia="zh-CN"/>
              </w:rPr>
              <w:t>氨</w:t>
            </w:r>
          </w:p>
          <w:p w14:paraId="51FCA5AD">
            <w:pPr>
              <w:spacing w:line="360" w:lineRule="exact"/>
              <w:ind w:left="-63" w:leftChars="-30" w:right="-63" w:rightChars="-30"/>
              <w:jc w:val="center"/>
              <w:rPr>
                <w:rFonts w:hint="default" w:ascii="Times New Roman" w:hAnsi="Times New Roman" w:cs="Times New Roman"/>
                <w:b w:val="0"/>
                <w:bCs w:val="0"/>
                <w:color w:val="000000"/>
                <w:sz w:val="21"/>
                <w:szCs w:val="21"/>
                <w:lang w:val="en-US" w:eastAsia="zh-CN"/>
              </w:rPr>
            </w:pPr>
            <w:r>
              <w:rPr>
                <w:rFonts w:hint="eastAsia" w:cs="Times New Roman"/>
                <w:b w:val="0"/>
                <w:bCs w:val="0"/>
                <w:color w:val="000000"/>
                <w:sz w:val="21"/>
                <w:szCs w:val="21"/>
                <w:lang w:val="en-US" w:eastAsia="zh-CN"/>
              </w:rPr>
              <w:t>氟化物</w:t>
            </w:r>
          </w:p>
        </w:tc>
        <w:tc>
          <w:tcPr>
            <w:tcW w:w="282" w:type="pct"/>
            <w:noWrap w:val="0"/>
            <w:vAlign w:val="center"/>
          </w:tcPr>
          <w:p w14:paraId="4F3B448C">
            <w:pPr>
              <w:tabs>
                <w:tab w:val="left" w:pos="1890"/>
              </w:tabs>
              <w:spacing w:line="360" w:lineRule="exact"/>
              <w:ind w:left="-63" w:leftChars="-30" w:right="-63" w:rightChars="-30"/>
              <w:jc w:val="center"/>
              <w:rPr>
                <w:rFonts w:hint="eastAsia"/>
                <w:b w:val="0"/>
                <w:bCs w:val="0"/>
                <w:sz w:val="21"/>
                <w:szCs w:val="21"/>
                <w:lang w:val="en-US" w:eastAsia="zh-CN"/>
              </w:rPr>
            </w:pPr>
            <w:r>
              <w:rPr>
                <w:rFonts w:hint="eastAsia"/>
                <w:b w:val="0"/>
                <w:bCs w:val="0"/>
                <w:sz w:val="21"/>
                <w:szCs w:val="21"/>
              </w:rPr>
              <w:t>手动监测</w:t>
            </w:r>
          </w:p>
        </w:tc>
        <w:tc>
          <w:tcPr>
            <w:tcW w:w="251" w:type="pct"/>
            <w:noWrap w:val="0"/>
            <w:vAlign w:val="center"/>
          </w:tcPr>
          <w:p w14:paraId="5381A80E">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88" w:type="pct"/>
            <w:noWrap w:val="0"/>
            <w:vAlign w:val="center"/>
          </w:tcPr>
          <w:p w14:paraId="27B565ED">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68" w:type="pct"/>
            <w:noWrap w:val="0"/>
            <w:vAlign w:val="center"/>
          </w:tcPr>
          <w:p w14:paraId="5BA020EA">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556" w:type="pct"/>
            <w:noWrap w:val="0"/>
            <w:vAlign w:val="center"/>
          </w:tcPr>
          <w:p w14:paraId="31030E80">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33" w:type="pct"/>
            <w:noWrap w:val="0"/>
            <w:vAlign w:val="center"/>
          </w:tcPr>
          <w:p w14:paraId="1FCB352F">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46" w:type="pct"/>
            <w:noWrap w:val="0"/>
            <w:vAlign w:val="center"/>
          </w:tcPr>
          <w:p w14:paraId="54BE04CB">
            <w:pPr>
              <w:spacing w:line="360" w:lineRule="exact"/>
              <w:ind w:left="-63" w:leftChars="-30" w:right="-63" w:rightChars="-30"/>
              <w:jc w:val="center"/>
              <w:rPr>
                <w:rFonts w:hint="eastAsia"/>
                <w:b w:val="0"/>
                <w:bCs w:val="0"/>
                <w:sz w:val="21"/>
                <w:szCs w:val="21"/>
              </w:rPr>
            </w:pPr>
            <w:r>
              <w:rPr>
                <w:rFonts w:hint="eastAsia"/>
                <w:b w:val="0"/>
                <w:bCs w:val="0"/>
                <w:sz w:val="21"/>
                <w:szCs w:val="21"/>
              </w:rPr>
              <w:t>1次/年</w:t>
            </w:r>
          </w:p>
        </w:tc>
        <w:tc>
          <w:tcPr>
            <w:tcW w:w="340" w:type="pct"/>
            <w:noWrap w:val="0"/>
            <w:vAlign w:val="center"/>
          </w:tcPr>
          <w:p w14:paraId="0E5ABE55">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215" w:type="pct"/>
            <w:noWrap w:val="0"/>
            <w:vAlign w:val="center"/>
          </w:tcPr>
          <w:p w14:paraId="02320802">
            <w:pPr>
              <w:spacing w:line="360" w:lineRule="exact"/>
              <w:ind w:left="-63" w:leftChars="-30" w:right="-63" w:rightChars="-30"/>
              <w:jc w:val="center"/>
              <w:rPr>
                <w:rFonts w:hint="eastAsia"/>
                <w:b w:val="0"/>
                <w:bCs w:val="0"/>
                <w:sz w:val="21"/>
                <w:szCs w:val="21"/>
              </w:rPr>
            </w:pPr>
            <w:r>
              <w:rPr>
                <w:rFonts w:hint="eastAsia"/>
                <w:b w:val="0"/>
                <w:bCs w:val="0"/>
                <w:sz w:val="21"/>
                <w:szCs w:val="21"/>
              </w:rPr>
              <w:t>/</w:t>
            </w:r>
          </w:p>
        </w:tc>
      </w:tr>
      <w:tr w14:paraId="231A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84" w:type="pct"/>
            <w:noWrap w:val="0"/>
            <w:vAlign w:val="center"/>
          </w:tcPr>
          <w:p w14:paraId="40D6B1AB">
            <w:pPr>
              <w:tabs>
                <w:tab w:val="left" w:pos="1890"/>
              </w:tabs>
              <w:spacing w:line="360" w:lineRule="exact"/>
              <w:ind w:left="-63" w:leftChars="-30" w:right="-63" w:rightChars="-30"/>
              <w:jc w:val="center"/>
              <w:rPr>
                <w:rFonts w:hint="eastAsia" w:eastAsia="宋体"/>
                <w:b w:val="0"/>
                <w:bCs w:val="0"/>
                <w:sz w:val="21"/>
                <w:szCs w:val="21"/>
                <w:lang w:val="en-US" w:eastAsia="zh-CN"/>
              </w:rPr>
            </w:pPr>
            <w:r>
              <w:rPr>
                <w:rFonts w:hint="eastAsia"/>
                <w:b w:val="0"/>
                <w:bCs w:val="0"/>
                <w:sz w:val="21"/>
                <w:szCs w:val="21"/>
                <w:lang w:val="en-US" w:eastAsia="zh-CN"/>
              </w:rPr>
              <w:t>2</w:t>
            </w:r>
          </w:p>
        </w:tc>
        <w:tc>
          <w:tcPr>
            <w:tcW w:w="246" w:type="pct"/>
            <w:noWrap w:val="0"/>
            <w:vAlign w:val="center"/>
          </w:tcPr>
          <w:p w14:paraId="52C1050A">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噪声</w:t>
            </w:r>
          </w:p>
        </w:tc>
        <w:tc>
          <w:tcPr>
            <w:tcW w:w="307" w:type="pct"/>
            <w:noWrap w:val="0"/>
            <w:vAlign w:val="center"/>
          </w:tcPr>
          <w:p w14:paraId="599D8A92">
            <w:pPr>
              <w:tabs>
                <w:tab w:val="left" w:pos="1890"/>
              </w:tabs>
              <w:spacing w:line="360" w:lineRule="exact"/>
              <w:ind w:left="-63" w:leftChars="-30" w:right="-63" w:rightChars="-30"/>
              <w:jc w:val="center"/>
              <w:rPr>
                <w:b w:val="0"/>
                <w:bCs w:val="0"/>
                <w:sz w:val="21"/>
                <w:szCs w:val="21"/>
              </w:rPr>
            </w:pPr>
            <w:r>
              <w:rPr>
                <w:rFonts w:hint="eastAsia"/>
                <w:b w:val="0"/>
                <w:bCs w:val="0"/>
                <w:sz w:val="21"/>
                <w:szCs w:val="21"/>
              </w:rPr>
              <w:t>厂界四周</w:t>
            </w:r>
          </w:p>
        </w:tc>
        <w:tc>
          <w:tcPr>
            <w:tcW w:w="369" w:type="pct"/>
            <w:noWrap w:val="0"/>
            <w:vAlign w:val="center"/>
          </w:tcPr>
          <w:p w14:paraId="18EE6503">
            <w:pPr>
              <w:tabs>
                <w:tab w:val="left" w:pos="1890"/>
              </w:tabs>
              <w:spacing w:line="360" w:lineRule="exact"/>
              <w:ind w:left="-63" w:leftChars="-30" w:right="-63" w:rightChars="-30"/>
              <w:jc w:val="center"/>
              <w:rPr>
                <w:b w:val="0"/>
                <w:bCs w:val="0"/>
                <w:sz w:val="21"/>
                <w:szCs w:val="21"/>
              </w:rPr>
            </w:pPr>
            <w:r>
              <w:rPr>
                <w:rFonts w:hint="eastAsia"/>
                <w:b w:val="0"/>
                <w:bCs w:val="0"/>
                <w:sz w:val="21"/>
                <w:szCs w:val="21"/>
              </w:rPr>
              <w:t>噪声监测点位</w:t>
            </w:r>
          </w:p>
        </w:tc>
        <w:tc>
          <w:tcPr>
            <w:tcW w:w="431" w:type="pct"/>
            <w:noWrap w:val="0"/>
            <w:vAlign w:val="center"/>
          </w:tcPr>
          <w:p w14:paraId="06EDFE7D">
            <w:pPr>
              <w:tabs>
                <w:tab w:val="left" w:pos="1890"/>
              </w:tabs>
              <w:spacing w:line="360" w:lineRule="exact"/>
              <w:ind w:left="-63" w:leftChars="-30" w:right="-63" w:rightChars="-30"/>
              <w:jc w:val="center"/>
              <w:rPr>
                <w:rFonts w:hint="eastAsia"/>
                <w:b w:val="0"/>
                <w:bCs w:val="0"/>
                <w:sz w:val="21"/>
                <w:szCs w:val="21"/>
              </w:rPr>
            </w:pPr>
            <w:r>
              <w:rPr>
                <w:b w:val="0"/>
                <w:bCs w:val="0"/>
                <w:sz w:val="21"/>
                <w:szCs w:val="21"/>
              </w:rPr>
              <w:t>等效连续A声级（L</w:t>
            </w:r>
            <w:r>
              <w:rPr>
                <w:b w:val="0"/>
                <w:bCs w:val="0"/>
                <w:sz w:val="21"/>
                <w:szCs w:val="21"/>
                <w:vertAlign w:val="subscript"/>
              </w:rPr>
              <w:t>eq</w:t>
            </w:r>
            <w:r>
              <w:rPr>
                <w:b w:val="0"/>
                <w:bCs w:val="0"/>
                <w:sz w:val="21"/>
                <w:szCs w:val="21"/>
              </w:rPr>
              <w:t>）</w:t>
            </w:r>
          </w:p>
        </w:tc>
        <w:tc>
          <w:tcPr>
            <w:tcW w:w="376" w:type="pct"/>
            <w:noWrap w:val="0"/>
            <w:vAlign w:val="center"/>
          </w:tcPr>
          <w:p w14:paraId="2D618A46">
            <w:pPr>
              <w:tabs>
                <w:tab w:val="left" w:pos="1890"/>
              </w:tabs>
              <w:spacing w:line="360" w:lineRule="exact"/>
              <w:ind w:left="-63" w:leftChars="-30" w:right="-63" w:rightChars="-30"/>
              <w:jc w:val="center"/>
              <w:rPr>
                <w:rFonts w:hint="eastAsia"/>
                <w:b w:val="0"/>
                <w:bCs w:val="0"/>
                <w:kern w:val="0"/>
                <w:sz w:val="21"/>
                <w:szCs w:val="21"/>
              </w:rPr>
            </w:pPr>
            <w:r>
              <w:rPr>
                <w:rFonts w:hint="eastAsia"/>
                <w:b w:val="0"/>
                <w:bCs w:val="0"/>
                <w:kern w:val="0"/>
                <w:sz w:val="21"/>
                <w:szCs w:val="21"/>
              </w:rPr>
              <w:t>噪声</w:t>
            </w:r>
          </w:p>
        </w:tc>
        <w:tc>
          <w:tcPr>
            <w:tcW w:w="282" w:type="pct"/>
            <w:noWrap w:val="0"/>
            <w:vAlign w:val="center"/>
          </w:tcPr>
          <w:p w14:paraId="35523F8A">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手动监测</w:t>
            </w:r>
          </w:p>
        </w:tc>
        <w:tc>
          <w:tcPr>
            <w:tcW w:w="251" w:type="pct"/>
            <w:noWrap w:val="0"/>
            <w:vAlign w:val="center"/>
          </w:tcPr>
          <w:p w14:paraId="3C245DE0">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88" w:type="pct"/>
            <w:noWrap w:val="0"/>
            <w:vAlign w:val="center"/>
          </w:tcPr>
          <w:p w14:paraId="38473E25">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68" w:type="pct"/>
            <w:noWrap w:val="0"/>
            <w:vAlign w:val="center"/>
          </w:tcPr>
          <w:p w14:paraId="66874C25">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556" w:type="pct"/>
            <w:noWrap w:val="0"/>
            <w:vAlign w:val="center"/>
          </w:tcPr>
          <w:p w14:paraId="7496D5B2">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333" w:type="pct"/>
            <w:noWrap w:val="0"/>
            <w:vAlign w:val="center"/>
          </w:tcPr>
          <w:p w14:paraId="063F111C">
            <w:pPr>
              <w:tabs>
                <w:tab w:val="left" w:pos="1890"/>
              </w:tabs>
              <w:spacing w:line="360" w:lineRule="exact"/>
              <w:ind w:left="-63" w:leftChars="-30" w:right="-63" w:rightChars="-30"/>
              <w:jc w:val="center"/>
              <w:rPr>
                <w:rFonts w:hint="eastAsia"/>
                <w:b w:val="0"/>
                <w:bCs w:val="0"/>
                <w:kern w:val="0"/>
                <w:sz w:val="21"/>
                <w:szCs w:val="21"/>
              </w:rPr>
            </w:pPr>
            <w:r>
              <w:rPr>
                <w:rFonts w:hint="eastAsia"/>
                <w:b w:val="0"/>
                <w:bCs w:val="0"/>
                <w:kern w:val="0"/>
                <w:sz w:val="21"/>
                <w:szCs w:val="21"/>
              </w:rPr>
              <w:t>/</w:t>
            </w:r>
          </w:p>
        </w:tc>
        <w:tc>
          <w:tcPr>
            <w:tcW w:w="346" w:type="pct"/>
            <w:noWrap w:val="0"/>
            <w:vAlign w:val="center"/>
          </w:tcPr>
          <w:p w14:paraId="2E31054E">
            <w:pPr>
              <w:tabs>
                <w:tab w:val="left" w:pos="1890"/>
              </w:tabs>
              <w:spacing w:line="360" w:lineRule="exact"/>
              <w:ind w:left="-63" w:leftChars="-30" w:right="-63" w:rightChars="-30"/>
              <w:jc w:val="center"/>
              <w:rPr>
                <w:rFonts w:hint="eastAsia"/>
                <w:b w:val="0"/>
                <w:bCs w:val="0"/>
                <w:kern w:val="0"/>
                <w:sz w:val="21"/>
                <w:szCs w:val="21"/>
              </w:rPr>
            </w:pPr>
            <w:r>
              <w:rPr>
                <w:rFonts w:hint="eastAsia"/>
                <w:b w:val="0"/>
                <w:bCs w:val="0"/>
                <w:kern w:val="0"/>
                <w:sz w:val="21"/>
                <w:szCs w:val="21"/>
              </w:rPr>
              <w:t>1次/季度</w:t>
            </w:r>
          </w:p>
        </w:tc>
        <w:tc>
          <w:tcPr>
            <w:tcW w:w="340" w:type="pct"/>
            <w:noWrap w:val="0"/>
            <w:vAlign w:val="center"/>
          </w:tcPr>
          <w:p w14:paraId="66DE995B">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c>
          <w:tcPr>
            <w:tcW w:w="215" w:type="pct"/>
            <w:noWrap w:val="0"/>
            <w:vAlign w:val="center"/>
          </w:tcPr>
          <w:p w14:paraId="62223ADE">
            <w:pPr>
              <w:tabs>
                <w:tab w:val="left" w:pos="1890"/>
              </w:tabs>
              <w:spacing w:line="360" w:lineRule="exact"/>
              <w:ind w:left="-63" w:leftChars="-30" w:right="-63" w:rightChars="-30"/>
              <w:jc w:val="center"/>
              <w:rPr>
                <w:rFonts w:hint="eastAsia"/>
                <w:b w:val="0"/>
                <w:bCs w:val="0"/>
                <w:sz w:val="21"/>
                <w:szCs w:val="21"/>
              </w:rPr>
            </w:pPr>
            <w:r>
              <w:rPr>
                <w:rFonts w:hint="eastAsia"/>
                <w:b w:val="0"/>
                <w:bCs w:val="0"/>
                <w:sz w:val="21"/>
                <w:szCs w:val="21"/>
              </w:rPr>
              <w:t>/</w:t>
            </w:r>
          </w:p>
        </w:tc>
      </w:tr>
    </w:tbl>
    <w:p w14:paraId="094C44FD"/>
    <w:p w14:paraId="49F326C5">
      <w:pPr>
        <w:pStyle w:val="34"/>
        <w:adjustRightInd w:val="0"/>
        <w:snapToGrid w:val="0"/>
        <w:spacing w:before="0" w:beforeAutospacing="0" w:after="0" w:afterAutospacing="0"/>
        <w:jc w:val="center"/>
      </w:pPr>
    </w:p>
    <w:sectPr>
      <w:pgSz w:w="16838" w:h="11906" w:orient="landscape"/>
      <w:pgMar w:top="1531" w:right="1701" w:bottom="1531" w:left="1701" w:header="851" w:footer="851"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EE"/>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BF3EBB4-D23F-4E70-81E9-37FD6935531E}"/>
  </w:font>
  <w:font w:name="黑体">
    <w:panose1 w:val="02010609060101010101"/>
    <w:charset w:val="86"/>
    <w:family w:val="auto"/>
    <w:pitch w:val="default"/>
    <w:sig w:usb0="800002BF" w:usb1="38CF7CFA" w:usb2="00000016" w:usb3="00000000" w:csb0="00040001" w:csb1="00000000"/>
    <w:embedRegular r:id="rId2" w:fontKey="{A44B1B46-CA4C-48B2-ACFA-19F8ACC87CD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B4588D4-E25A-45AD-82BC-1D0D5AC310B2}"/>
  </w:font>
  <w:font w:name="???-1803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4" w:fontKey="{24B5D283-4543-4A9F-A522-90544D4E74FC}"/>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5" w:fontKey="{C9A7813C-9BBE-4228-A2AD-0B43171EAA30}"/>
  </w:font>
  <w:font w:name="TimesNewRoman">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ºÚÌå">
    <w:altName w:val="Arial"/>
    <w:panose1 w:val="00000000000000000000"/>
    <w:charset w:val="00"/>
    <w:family w:val="swiss"/>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embedRegular r:id="rId6" w:fontKey="{EEA40AD6-F66B-4828-85C3-CC787A1F7F9E}"/>
  </w:font>
  <w:font w:name="Arial Black">
    <w:panose1 w:val="020B0A04020102020204"/>
    <w:charset w:val="00"/>
    <w:family w:val="swiss"/>
    <w:pitch w:val="default"/>
    <w:sig w:usb0="00000287" w:usb1="00000000" w:usb2="00000000" w:usb3="00000000" w:csb0="2000009F" w:csb1="DFD7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7" w:fontKey="{1DA5E367-E2E7-47F7-84E0-7F5D7F49CE59}"/>
  </w:font>
  <w:font w:name="Wingdings 2">
    <w:panose1 w:val="05020102010507070707"/>
    <w:charset w:val="02"/>
    <w:family w:val="roman"/>
    <w:pitch w:val="default"/>
    <w:sig w:usb0="00000000" w:usb1="00000000" w:usb2="00000000" w:usb3="00000000" w:csb0="80000000" w:csb1="00000000"/>
    <w:embedRegular r:id="rId8" w:fontKey="{9D2F3016-1F8A-4B35-BEDD-CF7B7CFE5AD1}"/>
  </w:font>
  <w:font w:name="Noto Sans CJK JP Regular">
    <w:altName w:val="Segoe Print"/>
    <w:panose1 w:val="00000000000000000000"/>
    <w:charset w:val="00"/>
    <w:family w:val="swiss"/>
    <w:pitch w:val="default"/>
    <w:sig w:usb0="00000000" w:usb1="00000000" w:usb2="00000000" w:usb3="00000000" w:csb0="00040001" w:csb1="00000000"/>
    <w:embedRegular r:id="rId9" w:fontKey="{C1E30745-AC73-4979-9BEA-2E7D3A300E9B}"/>
  </w:font>
  <w:font w:name="微软雅黑">
    <w:panose1 w:val="020B0503020204020204"/>
    <w:charset w:val="86"/>
    <w:family w:val="swiss"/>
    <w:pitch w:val="default"/>
    <w:sig w:usb0="80000287" w:usb1="280F3C52" w:usb2="00000016" w:usb3="00000000" w:csb0="0004001F" w:csb1="00000000"/>
    <w:embedRegular r:id="rId10" w:fontKey="{C9BF6771-DC68-475D-9FBA-92281571FF82}"/>
  </w:font>
  <w:font w:name="MS Mincho">
    <w:panose1 w:val="02020609040205080304"/>
    <w:charset w:val="80"/>
    <w:family w:val="modern"/>
    <w:pitch w:val="default"/>
    <w:sig w:usb0="E00002FF" w:usb1="6AC7FDFB" w:usb2="00000012" w:usb3="00000000" w:csb0="4002009F" w:csb1="DFD70000"/>
    <w:embedRegular r:id="rId11" w:fontKey="{89F67799-2E52-45A1-B566-D0D959C64D1B}"/>
  </w:font>
  <w:font w:name="WPSEMBED18">
    <w:panose1 w:val="02000000000000000000"/>
    <w:charset w:val="86"/>
    <w:family w:val="auto"/>
    <w:pitch w:val="default"/>
    <w:sig w:usb0="A00002BF" w:usb1="38CF7CFA" w:usb2="00082016" w:usb3="00000000" w:csb0="00040001" w:csb1="00000000"/>
  </w:font>
  <w:font w:name="WPSEMBED19">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0E862">
    <w:pPr>
      <w:pStyle w:val="2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0B5EE">
    <w:pPr>
      <w:pStyle w:val="25"/>
      <w:framePr w:wrap="around" w:vAnchor="text" w:hAnchor="margin" w:xAlign="center" w:y="1"/>
      <w:rPr>
        <w:rStyle w:val="44"/>
      </w:rPr>
    </w:pPr>
    <w:r>
      <w:fldChar w:fldCharType="begin"/>
    </w:r>
    <w:r>
      <w:rPr>
        <w:rStyle w:val="44"/>
      </w:rPr>
      <w:instrText xml:space="preserve">PAGE  </w:instrText>
    </w:r>
    <w:r>
      <w:fldChar w:fldCharType="end"/>
    </w:r>
  </w:p>
  <w:p w14:paraId="727BF0AC">
    <w:pPr>
      <w:pStyle w:val="2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E392B">
    <w:pPr>
      <w:pStyle w:val="25"/>
      <w:framePr w:wrap="around" w:vAnchor="text" w:hAnchor="margin" w:xAlign="center" w:y="1"/>
      <w:rPr>
        <w:rStyle w:val="44"/>
      </w:rPr>
    </w:pPr>
    <w:r>
      <w:fldChar w:fldCharType="begin"/>
    </w:r>
    <w:r>
      <w:rPr>
        <w:rStyle w:val="44"/>
      </w:rPr>
      <w:instrText xml:space="preserve">PAGE  </w:instrText>
    </w:r>
    <w:r>
      <w:fldChar w:fldCharType="separate"/>
    </w:r>
    <w:r>
      <w:rPr>
        <w:rStyle w:val="44"/>
      </w:rPr>
      <w:t>- 9 -</w:t>
    </w:r>
    <w:r>
      <w:fldChar w:fldCharType="end"/>
    </w:r>
  </w:p>
  <w:p w14:paraId="1143D39F">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2E033">
    <w:pPr>
      <w:pStyle w:val="25"/>
      <w:framePr w:wrap="around" w:vAnchor="text" w:hAnchor="margin" w:xAlign="center" w:y="1"/>
      <w:rPr>
        <w:rStyle w:val="44"/>
      </w:rPr>
    </w:pPr>
    <w:r>
      <w:fldChar w:fldCharType="begin"/>
    </w:r>
    <w:r>
      <w:rPr>
        <w:rStyle w:val="44"/>
      </w:rPr>
      <w:instrText xml:space="preserve">PAGE  </w:instrText>
    </w:r>
    <w:r>
      <w:fldChar w:fldCharType="separate"/>
    </w:r>
    <w:r>
      <w:rPr>
        <w:rStyle w:val="44"/>
      </w:rPr>
      <w:t>- 58 -</w:t>
    </w:r>
    <w:r>
      <w:fldChar w:fldCharType="end"/>
    </w:r>
  </w:p>
  <w:p w14:paraId="2176A4A5">
    <w:pPr>
      <w:pStyle w:val="25"/>
      <w:ind w:right="360" w:firstLine="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C9D17">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94218">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1763B">
    <w:pPr>
      <w:pStyle w:val="2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18A8C">
    <w:pPr>
      <w:pStyle w:val="2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1DB0">
    <w:pPr>
      <w:pStyle w:val="2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FD898">
    <w:pPr>
      <w:pStyle w:val="2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FFE6">
    <w:pPr>
      <w:pStyle w:val="26"/>
      <w:pBdr>
        <w:bottom w:val="single" w:color="auto" w:sz="6" w:space="4"/>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27247"/>
    <w:multiLevelType w:val="singleLevel"/>
    <w:tmpl w:val="86627247"/>
    <w:lvl w:ilvl="0" w:tentative="0">
      <w:start w:val="56"/>
      <w:numFmt w:val="decimal"/>
      <w:suff w:val="nothing"/>
      <w:lvlText w:val="%1、"/>
      <w:lvlJc w:val="left"/>
    </w:lvl>
  </w:abstractNum>
  <w:abstractNum w:abstractNumId="1">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63"/>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24ED1"/>
    <w:rsid w:val="00031B10"/>
    <w:rsid w:val="00036729"/>
    <w:rsid w:val="0004364B"/>
    <w:rsid w:val="00061B1F"/>
    <w:rsid w:val="000733C4"/>
    <w:rsid w:val="00074783"/>
    <w:rsid w:val="00076936"/>
    <w:rsid w:val="0008070B"/>
    <w:rsid w:val="000810AC"/>
    <w:rsid w:val="00081A02"/>
    <w:rsid w:val="00082231"/>
    <w:rsid w:val="0008616B"/>
    <w:rsid w:val="00092D38"/>
    <w:rsid w:val="0009377B"/>
    <w:rsid w:val="000A20C9"/>
    <w:rsid w:val="000B058F"/>
    <w:rsid w:val="000B4467"/>
    <w:rsid w:val="000B4DB9"/>
    <w:rsid w:val="000C09AC"/>
    <w:rsid w:val="000C131D"/>
    <w:rsid w:val="000C37C1"/>
    <w:rsid w:val="000C767F"/>
    <w:rsid w:val="000D5A44"/>
    <w:rsid w:val="000E1787"/>
    <w:rsid w:val="000E2BB4"/>
    <w:rsid w:val="000E3ED2"/>
    <w:rsid w:val="00131F42"/>
    <w:rsid w:val="001357F1"/>
    <w:rsid w:val="00140640"/>
    <w:rsid w:val="00140FA8"/>
    <w:rsid w:val="00142FEB"/>
    <w:rsid w:val="00143A2D"/>
    <w:rsid w:val="00145A41"/>
    <w:rsid w:val="00151675"/>
    <w:rsid w:val="001528F3"/>
    <w:rsid w:val="00157435"/>
    <w:rsid w:val="0017504D"/>
    <w:rsid w:val="0017671A"/>
    <w:rsid w:val="00177422"/>
    <w:rsid w:val="001835C0"/>
    <w:rsid w:val="00184590"/>
    <w:rsid w:val="001870D1"/>
    <w:rsid w:val="0018781E"/>
    <w:rsid w:val="0019262D"/>
    <w:rsid w:val="001A1B35"/>
    <w:rsid w:val="001A48A2"/>
    <w:rsid w:val="001A5E1F"/>
    <w:rsid w:val="001A6F61"/>
    <w:rsid w:val="001B5C9C"/>
    <w:rsid w:val="001B72B8"/>
    <w:rsid w:val="001C0656"/>
    <w:rsid w:val="001C69B3"/>
    <w:rsid w:val="001D217D"/>
    <w:rsid w:val="001D5595"/>
    <w:rsid w:val="001D7874"/>
    <w:rsid w:val="001D7F22"/>
    <w:rsid w:val="001F0F17"/>
    <w:rsid w:val="001F3347"/>
    <w:rsid w:val="001F69E4"/>
    <w:rsid w:val="00203369"/>
    <w:rsid w:val="002068C0"/>
    <w:rsid w:val="002125B4"/>
    <w:rsid w:val="002155B8"/>
    <w:rsid w:val="0021629B"/>
    <w:rsid w:val="00224839"/>
    <w:rsid w:val="002249B2"/>
    <w:rsid w:val="00226574"/>
    <w:rsid w:val="002278EC"/>
    <w:rsid w:val="0023280E"/>
    <w:rsid w:val="002377D1"/>
    <w:rsid w:val="00240904"/>
    <w:rsid w:val="002506BC"/>
    <w:rsid w:val="00254345"/>
    <w:rsid w:val="0026017E"/>
    <w:rsid w:val="00264557"/>
    <w:rsid w:val="002715A0"/>
    <w:rsid w:val="00275E9D"/>
    <w:rsid w:val="00276F28"/>
    <w:rsid w:val="002805AB"/>
    <w:rsid w:val="00284204"/>
    <w:rsid w:val="00291773"/>
    <w:rsid w:val="002A168C"/>
    <w:rsid w:val="002A3DC7"/>
    <w:rsid w:val="002B49E2"/>
    <w:rsid w:val="002B6F8A"/>
    <w:rsid w:val="002B7B00"/>
    <w:rsid w:val="002B7C44"/>
    <w:rsid w:val="002C2B17"/>
    <w:rsid w:val="002D3DD0"/>
    <w:rsid w:val="002E10CA"/>
    <w:rsid w:val="002E1F3A"/>
    <w:rsid w:val="002E298A"/>
    <w:rsid w:val="00301978"/>
    <w:rsid w:val="0030332C"/>
    <w:rsid w:val="003051C2"/>
    <w:rsid w:val="00312296"/>
    <w:rsid w:val="00314F0E"/>
    <w:rsid w:val="00320FB1"/>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90D78"/>
    <w:rsid w:val="003A4BF3"/>
    <w:rsid w:val="003B420D"/>
    <w:rsid w:val="003B592C"/>
    <w:rsid w:val="003C0E1E"/>
    <w:rsid w:val="003C6C16"/>
    <w:rsid w:val="003D794D"/>
    <w:rsid w:val="003E3058"/>
    <w:rsid w:val="003E76A9"/>
    <w:rsid w:val="003F0809"/>
    <w:rsid w:val="003F098E"/>
    <w:rsid w:val="003F1246"/>
    <w:rsid w:val="003F305B"/>
    <w:rsid w:val="003F6A8C"/>
    <w:rsid w:val="003F755C"/>
    <w:rsid w:val="00406F01"/>
    <w:rsid w:val="00412584"/>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4F3FAD"/>
    <w:rsid w:val="005039CB"/>
    <w:rsid w:val="0050558F"/>
    <w:rsid w:val="00505C5B"/>
    <w:rsid w:val="00506286"/>
    <w:rsid w:val="00510813"/>
    <w:rsid w:val="00511990"/>
    <w:rsid w:val="00511DE0"/>
    <w:rsid w:val="00514870"/>
    <w:rsid w:val="00514B9B"/>
    <w:rsid w:val="00517F02"/>
    <w:rsid w:val="00524303"/>
    <w:rsid w:val="005258A2"/>
    <w:rsid w:val="00532745"/>
    <w:rsid w:val="00536917"/>
    <w:rsid w:val="005401AE"/>
    <w:rsid w:val="00542E07"/>
    <w:rsid w:val="00545424"/>
    <w:rsid w:val="00546882"/>
    <w:rsid w:val="00554A7B"/>
    <w:rsid w:val="00554FD5"/>
    <w:rsid w:val="005552B8"/>
    <w:rsid w:val="0055546E"/>
    <w:rsid w:val="0055572C"/>
    <w:rsid w:val="0056106A"/>
    <w:rsid w:val="005720AE"/>
    <w:rsid w:val="00594031"/>
    <w:rsid w:val="00594D77"/>
    <w:rsid w:val="005969E4"/>
    <w:rsid w:val="005A06B7"/>
    <w:rsid w:val="005A1759"/>
    <w:rsid w:val="005A68A7"/>
    <w:rsid w:val="005B1D0B"/>
    <w:rsid w:val="005D36AB"/>
    <w:rsid w:val="005E6C06"/>
    <w:rsid w:val="005F7DFB"/>
    <w:rsid w:val="00604454"/>
    <w:rsid w:val="00617CC3"/>
    <w:rsid w:val="00631A64"/>
    <w:rsid w:val="00634FE5"/>
    <w:rsid w:val="006377A6"/>
    <w:rsid w:val="00637A3D"/>
    <w:rsid w:val="006411EF"/>
    <w:rsid w:val="006748B8"/>
    <w:rsid w:val="00676DF4"/>
    <w:rsid w:val="006775C3"/>
    <w:rsid w:val="0069290A"/>
    <w:rsid w:val="0069775A"/>
    <w:rsid w:val="00697813"/>
    <w:rsid w:val="006A3EE8"/>
    <w:rsid w:val="006A72BF"/>
    <w:rsid w:val="006B03F2"/>
    <w:rsid w:val="006B37DC"/>
    <w:rsid w:val="006B4F68"/>
    <w:rsid w:val="006C0592"/>
    <w:rsid w:val="006C272E"/>
    <w:rsid w:val="006C5479"/>
    <w:rsid w:val="006C668D"/>
    <w:rsid w:val="006D13B5"/>
    <w:rsid w:val="006E12FF"/>
    <w:rsid w:val="006E607E"/>
    <w:rsid w:val="006E7102"/>
    <w:rsid w:val="00706C5D"/>
    <w:rsid w:val="00715991"/>
    <w:rsid w:val="007171C2"/>
    <w:rsid w:val="0072512A"/>
    <w:rsid w:val="00732922"/>
    <w:rsid w:val="00746077"/>
    <w:rsid w:val="0075162E"/>
    <w:rsid w:val="00754034"/>
    <w:rsid w:val="00755568"/>
    <w:rsid w:val="00756556"/>
    <w:rsid w:val="007618C4"/>
    <w:rsid w:val="00767980"/>
    <w:rsid w:val="00770B19"/>
    <w:rsid w:val="0077463F"/>
    <w:rsid w:val="007836EA"/>
    <w:rsid w:val="00784CDA"/>
    <w:rsid w:val="00787F05"/>
    <w:rsid w:val="007906C4"/>
    <w:rsid w:val="007940EA"/>
    <w:rsid w:val="00794544"/>
    <w:rsid w:val="007967E8"/>
    <w:rsid w:val="007A2170"/>
    <w:rsid w:val="007A22BF"/>
    <w:rsid w:val="007A3323"/>
    <w:rsid w:val="007B1899"/>
    <w:rsid w:val="007B72B8"/>
    <w:rsid w:val="007B7A58"/>
    <w:rsid w:val="007C21B5"/>
    <w:rsid w:val="007C2ED0"/>
    <w:rsid w:val="007E4BD2"/>
    <w:rsid w:val="007F1025"/>
    <w:rsid w:val="00801393"/>
    <w:rsid w:val="00802F88"/>
    <w:rsid w:val="00804DD7"/>
    <w:rsid w:val="00810E9A"/>
    <w:rsid w:val="0081293E"/>
    <w:rsid w:val="00815465"/>
    <w:rsid w:val="00817E9A"/>
    <w:rsid w:val="0082460C"/>
    <w:rsid w:val="008306BD"/>
    <w:rsid w:val="00831A80"/>
    <w:rsid w:val="00833743"/>
    <w:rsid w:val="008340A4"/>
    <w:rsid w:val="00852592"/>
    <w:rsid w:val="0087135F"/>
    <w:rsid w:val="00871AA0"/>
    <w:rsid w:val="00872D94"/>
    <w:rsid w:val="00880364"/>
    <w:rsid w:val="00891592"/>
    <w:rsid w:val="00891E9E"/>
    <w:rsid w:val="008A2F68"/>
    <w:rsid w:val="008B4FA6"/>
    <w:rsid w:val="008B5282"/>
    <w:rsid w:val="008B5FCC"/>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2A05"/>
    <w:rsid w:val="0090312B"/>
    <w:rsid w:val="00906E6D"/>
    <w:rsid w:val="009110BF"/>
    <w:rsid w:val="00911837"/>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07FA4"/>
    <w:rsid w:val="00A14947"/>
    <w:rsid w:val="00A32A83"/>
    <w:rsid w:val="00A343D6"/>
    <w:rsid w:val="00A368DB"/>
    <w:rsid w:val="00A423AA"/>
    <w:rsid w:val="00A4524B"/>
    <w:rsid w:val="00A53EC6"/>
    <w:rsid w:val="00A55C0F"/>
    <w:rsid w:val="00A8713F"/>
    <w:rsid w:val="00A90BA1"/>
    <w:rsid w:val="00A97A9A"/>
    <w:rsid w:val="00AA0671"/>
    <w:rsid w:val="00AA2531"/>
    <w:rsid w:val="00AB1E09"/>
    <w:rsid w:val="00AB5330"/>
    <w:rsid w:val="00AB7747"/>
    <w:rsid w:val="00AC14CE"/>
    <w:rsid w:val="00AC2A56"/>
    <w:rsid w:val="00AD055E"/>
    <w:rsid w:val="00AD1FDB"/>
    <w:rsid w:val="00AD47A7"/>
    <w:rsid w:val="00AF0CBF"/>
    <w:rsid w:val="00AF257F"/>
    <w:rsid w:val="00AF33CF"/>
    <w:rsid w:val="00AF4D50"/>
    <w:rsid w:val="00AF6179"/>
    <w:rsid w:val="00B11D60"/>
    <w:rsid w:val="00B1295A"/>
    <w:rsid w:val="00B20A45"/>
    <w:rsid w:val="00B22C5C"/>
    <w:rsid w:val="00B24F30"/>
    <w:rsid w:val="00B31ABF"/>
    <w:rsid w:val="00B33BE3"/>
    <w:rsid w:val="00B44331"/>
    <w:rsid w:val="00B45E35"/>
    <w:rsid w:val="00B53B5D"/>
    <w:rsid w:val="00B6055E"/>
    <w:rsid w:val="00B6317D"/>
    <w:rsid w:val="00B75D96"/>
    <w:rsid w:val="00B7723F"/>
    <w:rsid w:val="00B80534"/>
    <w:rsid w:val="00B8433C"/>
    <w:rsid w:val="00B87491"/>
    <w:rsid w:val="00B900B7"/>
    <w:rsid w:val="00BA0F82"/>
    <w:rsid w:val="00BA29E9"/>
    <w:rsid w:val="00BA7142"/>
    <w:rsid w:val="00BB237C"/>
    <w:rsid w:val="00BB41A3"/>
    <w:rsid w:val="00BC32DC"/>
    <w:rsid w:val="00BC35B6"/>
    <w:rsid w:val="00BD0638"/>
    <w:rsid w:val="00BD1B51"/>
    <w:rsid w:val="00BD4596"/>
    <w:rsid w:val="00BE1405"/>
    <w:rsid w:val="00BE312D"/>
    <w:rsid w:val="00BF1C20"/>
    <w:rsid w:val="00BF288B"/>
    <w:rsid w:val="00C10578"/>
    <w:rsid w:val="00C135BC"/>
    <w:rsid w:val="00C15C95"/>
    <w:rsid w:val="00C2596A"/>
    <w:rsid w:val="00C27537"/>
    <w:rsid w:val="00C328FE"/>
    <w:rsid w:val="00C33507"/>
    <w:rsid w:val="00C4409D"/>
    <w:rsid w:val="00C44E72"/>
    <w:rsid w:val="00C44F30"/>
    <w:rsid w:val="00C45A06"/>
    <w:rsid w:val="00C47E5B"/>
    <w:rsid w:val="00C61E4B"/>
    <w:rsid w:val="00C64BFF"/>
    <w:rsid w:val="00C704E9"/>
    <w:rsid w:val="00C72942"/>
    <w:rsid w:val="00C763C9"/>
    <w:rsid w:val="00C80057"/>
    <w:rsid w:val="00C82232"/>
    <w:rsid w:val="00C82913"/>
    <w:rsid w:val="00C93C43"/>
    <w:rsid w:val="00C972B1"/>
    <w:rsid w:val="00C97AE9"/>
    <w:rsid w:val="00CA2CCE"/>
    <w:rsid w:val="00CA43FD"/>
    <w:rsid w:val="00CA7EF8"/>
    <w:rsid w:val="00CC489B"/>
    <w:rsid w:val="00CD2BCD"/>
    <w:rsid w:val="00CD3A4C"/>
    <w:rsid w:val="00CE10E9"/>
    <w:rsid w:val="00CE2910"/>
    <w:rsid w:val="00CE5393"/>
    <w:rsid w:val="00CF36BE"/>
    <w:rsid w:val="00CF37C9"/>
    <w:rsid w:val="00CF6000"/>
    <w:rsid w:val="00D003F3"/>
    <w:rsid w:val="00D0364F"/>
    <w:rsid w:val="00D0608B"/>
    <w:rsid w:val="00D06834"/>
    <w:rsid w:val="00D1213C"/>
    <w:rsid w:val="00D15A41"/>
    <w:rsid w:val="00D308ED"/>
    <w:rsid w:val="00D36D86"/>
    <w:rsid w:val="00D428AA"/>
    <w:rsid w:val="00D4323D"/>
    <w:rsid w:val="00D50A34"/>
    <w:rsid w:val="00D53EFA"/>
    <w:rsid w:val="00D9404A"/>
    <w:rsid w:val="00D94A7C"/>
    <w:rsid w:val="00D95896"/>
    <w:rsid w:val="00DA74BB"/>
    <w:rsid w:val="00DA7F50"/>
    <w:rsid w:val="00DB2983"/>
    <w:rsid w:val="00DC1257"/>
    <w:rsid w:val="00DC3DC0"/>
    <w:rsid w:val="00DC4366"/>
    <w:rsid w:val="00DC5B2B"/>
    <w:rsid w:val="00DD318D"/>
    <w:rsid w:val="00DF2E12"/>
    <w:rsid w:val="00DF514A"/>
    <w:rsid w:val="00DF6690"/>
    <w:rsid w:val="00DF6804"/>
    <w:rsid w:val="00E00F4F"/>
    <w:rsid w:val="00E0358D"/>
    <w:rsid w:val="00E04323"/>
    <w:rsid w:val="00E070A2"/>
    <w:rsid w:val="00E10CEB"/>
    <w:rsid w:val="00E2049F"/>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09EC"/>
    <w:rsid w:val="00F027DB"/>
    <w:rsid w:val="00F14A7A"/>
    <w:rsid w:val="00F22985"/>
    <w:rsid w:val="00F3383E"/>
    <w:rsid w:val="00F36163"/>
    <w:rsid w:val="00F465A7"/>
    <w:rsid w:val="00F50B7C"/>
    <w:rsid w:val="00F515FB"/>
    <w:rsid w:val="00F550E6"/>
    <w:rsid w:val="00F645A1"/>
    <w:rsid w:val="00F7296B"/>
    <w:rsid w:val="00F72E67"/>
    <w:rsid w:val="00F74345"/>
    <w:rsid w:val="00F80A0A"/>
    <w:rsid w:val="00F82B19"/>
    <w:rsid w:val="00F848DA"/>
    <w:rsid w:val="00F87A9F"/>
    <w:rsid w:val="00F9212D"/>
    <w:rsid w:val="00F965DA"/>
    <w:rsid w:val="00FA19EB"/>
    <w:rsid w:val="00FA406A"/>
    <w:rsid w:val="00FB503A"/>
    <w:rsid w:val="00FB516C"/>
    <w:rsid w:val="00FD0236"/>
    <w:rsid w:val="00FD18F4"/>
    <w:rsid w:val="00FD54DB"/>
    <w:rsid w:val="00FD619F"/>
    <w:rsid w:val="00FF4C6B"/>
    <w:rsid w:val="01290F7E"/>
    <w:rsid w:val="015D1E09"/>
    <w:rsid w:val="02697903"/>
    <w:rsid w:val="02F00DB2"/>
    <w:rsid w:val="02F96569"/>
    <w:rsid w:val="03EA7B21"/>
    <w:rsid w:val="05F83EAE"/>
    <w:rsid w:val="063E7D85"/>
    <w:rsid w:val="07293586"/>
    <w:rsid w:val="07295285"/>
    <w:rsid w:val="07636392"/>
    <w:rsid w:val="07770C56"/>
    <w:rsid w:val="092217DD"/>
    <w:rsid w:val="093A7294"/>
    <w:rsid w:val="09FF41A0"/>
    <w:rsid w:val="0A263993"/>
    <w:rsid w:val="0A2D3AC2"/>
    <w:rsid w:val="0AA755DF"/>
    <w:rsid w:val="0ACA2F58"/>
    <w:rsid w:val="0B120D44"/>
    <w:rsid w:val="0B670D04"/>
    <w:rsid w:val="0BD27BF6"/>
    <w:rsid w:val="0C3B3C7D"/>
    <w:rsid w:val="0C4103C1"/>
    <w:rsid w:val="0CAB2EAE"/>
    <w:rsid w:val="0D621C7D"/>
    <w:rsid w:val="0E73034D"/>
    <w:rsid w:val="0F13775A"/>
    <w:rsid w:val="0F5F45FE"/>
    <w:rsid w:val="0F9A112B"/>
    <w:rsid w:val="106D2F64"/>
    <w:rsid w:val="10B63710"/>
    <w:rsid w:val="10F10820"/>
    <w:rsid w:val="10FE5388"/>
    <w:rsid w:val="111C2F7A"/>
    <w:rsid w:val="112F5546"/>
    <w:rsid w:val="11665CA1"/>
    <w:rsid w:val="11772B73"/>
    <w:rsid w:val="13137EE9"/>
    <w:rsid w:val="13951726"/>
    <w:rsid w:val="14396509"/>
    <w:rsid w:val="14DD2C3C"/>
    <w:rsid w:val="150534E1"/>
    <w:rsid w:val="16087E1D"/>
    <w:rsid w:val="16C77930"/>
    <w:rsid w:val="16DF25D9"/>
    <w:rsid w:val="173C1054"/>
    <w:rsid w:val="17701D14"/>
    <w:rsid w:val="17735226"/>
    <w:rsid w:val="189F624C"/>
    <w:rsid w:val="19075CBD"/>
    <w:rsid w:val="193159FA"/>
    <w:rsid w:val="1962128E"/>
    <w:rsid w:val="1A1C66C0"/>
    <w:rsid w:val="1A4051B9"/>
    <w:rsid w:val="1A42393B"/>
    <w:rsid w:val="1AAD45DE"/>
    <w:rsid w:val="1AB6296E"/>
    <w:rsid w:val="1B046F80"/>
    <w:rsid w:val="1B3267B5"/>
    <w:rsid w:val="1B40161D"/>
    <w:rsid w:val="1B441859"/>
    <w:rsid w:val="1B6606B1"/>
    <w:rsid w:val="1C5E7925"/>
    <w:rsid w:val="1CFD070F"/>
    <w:rsid w:val="1D0347D9"/>
    <w:rsid w:val="1D5F6196"/>
    <w:rsid w:val="1D6132A5"/>
    <w:rsid w:val="1D8E56D5"/>
    <w:rsid w:val="1E7A43DA"/>
    <w:rsid w:val="1E8A164E"/>
    <w:rsid w:val="1F1A7B47"/>
    <w:rsid w:val="1FE7539E"/>
    <w:rsid w:val="20671BE0"/>
    <w:rsid w:val="20963CB8"/>
    <w:rsid w:val="20A81A1B"/>
    <w:rsid w:val="20B07FB6"/>
    <w:rsid w:val="20B646FB"/>
    <w:rsid w:val="20C0459B"/>
    <w:rsid w:val="213B74B1"/>
    <w:rsid w:val="215A2310"/>
    <w:rsid w:val="21DE318A"/>
    <w:rsid w:val="21EF5B80"/>
    <w:rsid w:val="22576990"/>
    <w:rsid w:val="22F47480"/>
    <w:rsid w:val="23DE1C48"/>
    <w:rsid w:val="240210CD"/>
    <w:rsid w:val="24BF09F7"/>
    <w:rsid w:val="24C9613A"/>
    <w:rsid w:val="252D53FE"/>
    <w:rsid w:val="25EC2D81"/>
    <w:rsid w:val="276274D0"/>
    <w:rsid w:val="276724B8"/>
    <w:rsid w:val="277057A2"/>
    <w:rsid w:val="27AF30E6"/>
    <w:rsid w:val="280B38AB"/>
    <w:rsid w:val="29206EB8"/>
    <w:rsid w:val="292B4422"/>
    <w:rsid w:val="29595666"/>
    <w:rsid w:val="29874881"/>
    <w:rsid w:val="29E325E0"/>
    <w:rsid w:val="2A452503"/>
    <w:rsid w:val="2A833903"/>
    <w:rsid w:val="2BA936A8"/>
    <w:rsid w:val="2BE83230"/>
    <w:rsid w:val="2C186D68"/>
    <w:rsid w:val="2C295B9B"/>
    <w:rsid w:val="2C315A5A"/>
    <w:rsid w:val="2C4B1C25"/>
    <w:rsid w:val="2D9E56F5"/>
    <w:rsid w:val="2E667F96"/>
    <w:rsid w:val="2E8226AB"/>
    <w:rsid w:val="2F26278B"/>
    <w:rsid w:val="2F407187"/>
    <w:rsid w:val="2FD065E6"/>
    <w:rsid w:val="2FD96870"/>
    <w:rsid w:val="30580BC9"/>
    <w:rsid w:val="30674EC6"/>
    <w:rsid w:val="311E2ED7"/>
    <w:rsid w:val="314A0EF7"/>
    <w:rsid w:val="315619EE"/>
    <w:rsid w:val="315C449C"/>
    <w:rsid w:val="31B82709"/>
    <w:rsid w:val="31D05482"/>
    <w:rsid w:val="321C0964"/>
    <w:rsid w:val="32400B34"/>
    <w:rsid w:val="32951305"/>
    <w:rsid w:val="329E6876"/>
    <w:rsid w:val="32DD534F"/>
    <w:rsid w:val="33172F98"/>
    <w:rsid w:val="333015F2"/>
    <w:rsid w:val="334B6320"/>
    <w:rsid w:val="33D934D4"/>
    <w:rsid w:val="33FE2F6A"/>
    <w:rsid w:val="340E07E5"/>
    <w:rsid w:val="34235BF7"/>
    <w:rsid w:val="358C5FA8"/>
    <w:rsid w:val="35C15DF1"/>
    <w:rsid w:val="36074A7F"/>
    <w:rsid w:val="36923549"/>
    <w:rsid w:val="36B75FBF"/>
    <w:rsid w:val="36BD0C45"/>
    <w:rsid w:val="37E00298"/>
    <w:rsid w:val="38B302F9"/>
    <w:rsid w:val="38F12CD3"/>
    <w:rsid w:val="38F94775"/>
    <w:rsid w:val="392971ED"/>
    <w:rsid w:val="39325651"/>
    <w:rsid w:val="39E9638C"/>
    <w:rsid w:val="39ED009B"/>
    <w:rsid w:val="3A872856"/>
    <w:rsid w:val="3A9417E0"/>
    <w:rsid w:val="3B3763D1"/>
    <w:rsid w:val="3BA25C29"/>
    <w:rsid w:val="3BC82EF5"/>
    <w:rsid w:val="3C2F6E1E"/>
    <w:rsid w:val="3C4F64BA"/>
    <w:rsid w:val="3CDA245A"/>
    <w:rsid w:val="3D020E5A"/>
    <w:rsid w:val="3D1E06B7"/>
    <w:rsid w:val="3D9F3E10"/>
    <w:rsid w:val="3DA74640"/>
    <w:rsid w:val="3E6F70F0"/>
    <w:rsid w:val="3EC72E2C"/>
    <w:rsid w:val="3ED22E9E"/>
    <w:rsid w:val="3EDA0523"/>
    <w:rsid w:val="3F7772D3"/>
    <w:rsid w:val="4028111B"/>
    <w:rsid w:val="407A6407"/>
    <w:rsid w:val="411030E0"/>
    <w:rsid w:val="4200449D"/>
    <w:rsid w:val="423A3BCC"/>
    <w:rsid w:val="424E57D2"/>
    <w:rsid w:val="42B26C49"/>
    <w:rsid w:val="433A6FE6"/>
    <w:rsid w:val="43480868"/>
    <w:rsid w:val="4350713C"/>
    <w:rsid w:val="436653E0"/>
    <w:rsid w:val="43C4431A"/>
    <w:rsid w:val="444B5BB4"/>
    <w:rsid w:val="44B951CC"/>
    <w:rsid w:val="44CD14E0"/>
    <w:rsid w:val="44F20B0B"/>
    <w:rsid w:val="452E5F4C"/>
    <w:rsid w:val="45612018"/>
    <w:rsid w:val="458946E9"/>
    <w:rsid w:val="45A47C0E"/>
    <w:rsid w:val="46577FD6"/>
    <w:rsid w:val="46D955A7"/>
    <w:rsid w:val="47133957"/>
    <w:rsid w:val="47401B62"/>
    <w:rsid w:val="47A07E0C"/>
    <w:rsid w:val="4870272E"/>
    <w:rsid w:val="49030848"/>
    <w:rsid w:val="49996F4D"/>
    <w:rsid w:val="49DC7715"/>
    <w:rsid w:val="4A023139"/>
    <w:rsid w:val="4A7B576F"/>
    <w:rsid w:val="4AF561A9"/>
    <w:rsid w:val="4C4A0649"/>
    <w:rsid w:val="4C7E5ECA"/>
    <w:rsid w:val="4C876AA5"/>
    <w:rsid w:val="4CB04C1B"/>
    <w:rsid w:val="4D0E00FB"/>
    <w:rsid w:val="4D176606"/>
    <w:rsid w:val="4DEC4FB0"/>
    <w:rsid w:val="4DF8258E"/>
    <w:rsid w:val="4E075D8A"/>
    <w:rsid w:val="4EC00FAD"/>
    <w:rsid w:val="4F7649CC"/>
    <w:rsid w:val="4F9843DC"/>
    <w:rsid w:val="4FC62A8C"/>
    <w:rsid w:val="4FE20F0D"/>
    <w:rsid w:val="4FE51552"/>
    <w:rsid w:val="50504C4B"/>
    <w:rsid w:val="509C6E7C"/>
    <w:rsid w:val="50EF6165"/>
    <w:rsid w:val="5162104E"/>
    <w:rsid w:val="53A039CC"/>
    <w:rsid w:val="53A1505A"/>
    <w:rsid w:val="54063E08"/>
    <w:rsid w:val="543437E8"/>
    <w:rsid w:val="547B3255"/>
    <w:rsid w:val="54F73313"/>
    <w:rsid w:val="54F80955"/>
    <w:rsid w:val="555170A7"/>
    <w:rsid w:val="5587536D"/>
    <w:rsid w:val="559B174B"/>
    <w:rsid w:val="55CE0CF4"/>
    <w:rsid w:val="56646E9A"/>
    <w:rsid w:val="56B22A9C"/>
    <w:rsid w:val="57B72A76"/>
    <w:rsid w:val="57C3426C"/>
    <w:rsid w:val="57CE1F93"/>
    <w:rsid w:val="588743D1"/>
    <w:rsid w:val="5887701A"/>
    <w:rsid w:val="58A570A2"/>
    <w:rsid w:val="5989682D"/>
    <w:rsid w:val="59C0439F"/>
    <w:rsid w:val="5ABA5C5B"/>
    <w:rsid w:val="5ABB3AFA"/>
    <w:rsid w:val="5ABE2233"/>
    <w:rsid w:val="5BDC6249"/>
    <w:rsid w:val="5BDF5D95"/>
    <w:rsid w:val="5BFE7528"/>
    <w:rsid w:val="5D5404A5"/>
    <w:rsid w:val="5E2467F1"/>
    <w:rsid w:val="5E8B2B08"/>
    <w:rsid w:val="5F1A2B43"/>
    <w:rsid w:val="5F547233"/>
    <w:rsid w:val="5FB837BB"/>
    <w:rsid w:val="5FF008FC"/>
    <w:rsid w:val="60CC405A"/>
    <w:rsid w:val="61E215D8"/>
    <w:rsid w:val="621B3775"/>
    <w:rsid w:val="62364782"/>
    <w:rsid w:val="634360E8"/>
    <w:rsid w:val="6394356A"/>
    <w:rsid w:val="63C61B2C"/>
    <w:rsid w:val="63D40BE9"/>
    <w:rsid w:val="64102431"/>
    <w:rsid w:val="644874BE"/>
    <w:rsid w:val="64A5243A"/>
    <w:rsid w:val="64F531DE"/>
    <w:rsid w:val="65373578"/>
    <w:rsid w:val="656E3AA2"/>
    <w:rsid w:val="6597768B"/>
    <w:rsid w:val="6680441B"/>
    <w:rsid w:val="671F124A"/>
    <w:rsid w:val="677A33C6"/>
    <w:rsid w:val="681F6961"/>
    <w:rsid w:val="68610A2F"/>
    <w:rsid w:val="68805514"/>
    <w:rsid w:val="69316E2F"/>
    <w:rsid w:val="694E2071"/>
    <w:rsid w:val="69766163"/>
    <w:rsid w:val="697A3B33"/>
    <w:rsid w:val="699B0A58"/>
    <w:rsid w:val="69D44760"/>
    <w:rsid w:val="6A520EC7"/>
    <w:rsid w:val="6AF87E20"/>
    <w:rsid w:val="6B322639"/>
    <w:rsid w:val="6B5F7F6F"/>
    <w:rsid w:val="6B675998"/>
    <w:rsid w:val="6B956FDF"/>
    <w:rsid w:val="6C5A1350"/>
    <w:rsid w:val="6C5A1A5B"/>
    <w:rsid w:val="6C636C38"/>
    <w:rsid w:val="6D082126"/>
    <w:rsid w:val="6DB34098"/>
    <w:rsid w:val="6DB545B6"/>
    <w:rsid w:val="6DE02FB4"/>
    <w:rsid w:val="6E514CED"/>
    <w:rsid w:val="6EB563D5"/>
    <w:rsid w:val="6ED92677"/>
    <w:rsid w:val="6F225983"/>
    <w:rsid w:val="6FFC5590"/>
    <w:rsid w:val="70066E03"/>
    <w:rsid w:val="706D1DD0"/>
    <w:rsid w:val="70856B87"/>
    <w:rsid w:val="70D527EE"/>
    <w:rsid w:val="713A07AE"/>
    <w:rsid w:val="713A5F69"/>
    <w:rsid w:val="715B5300"/>
    <w:rsid w:val="717817E0"/>
    <w:rsid w:val="71D27F8A"/>
    <w:rsid w:val="71F403BC"/>
    <w:rsid w:val="72553024"/>
    <w:rsid w:val="73122968"/>
    <w:rsid w:val="731F5D5E"/>
    <w:rsid w:val="73C51AD5"/>
    <w:rsid w:val="73F86168"/>
    <w:rsid w:val="741E793C"/>
    <w:rsid w:val="745E3944"/>
    <w:rsid w:val="74681D74"/>
    <w:rsid w:val="75343A14"/>
    <w:rsid w:val="75401209"/>
    <w:rsid w:val="7608569C"/>
    <w:rsid w:val="7635099D"/>
    <w:rsid w:val="77762421"/>
    <w:rsid w:val="77B56B1F"/>
    <w:rsid w:val="780F09F4"/>
    <w:rsid w:val="787852CA"/>
    <w:rsid w:val="78A90480"/>
    <w:rsid w:val="7A364017"/>
    <w:rsid w:val="7A8265E1"/>
    <w:rsid w:val="7B686D42"/>
    <w:rsid w:val="7B841746"/>
    <w:rsid w:val="7C67517A"/>
    <w:rsid w:val="7C6C5AC7"/>
    <w:rsid w:val="7CC6544B"/>
    <w:rsid w:val="7D0239FF"/>
    <w:rsid w:val="7D5E40CD"/>
    <w:rsid w:val="7DCD56F2"/>
    <w:rsid w:val="7DEA43B4"/>
    <w:rsid w:val="7F001CE7"/>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ocked="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ocked="1"/>
    <w:lsdException w:qFormat="1" w:unhideWhenUsed="0" w:uiPriority="0" w:semiHidden="0" w:name="Normal Indent" w:locked="1"/>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ocked="1"/>
    <w:lsdException w:qFormat="1" w:uiPriority="0" w:semiHidden="0" w:name="table of figures" w:locked="1"/>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ocked="1"/>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ocked="1"/>
    <w:lsdException w:unhideWhenUsed="0" w:uiPriority="0" w:semiHidden="0" w:name="List Bullet"/>
    <w:lsdException w:unhideWhenUsed="0" w:uiPriority="0" w:semiHidden="0" w:name="List Number"/>
    <w:lsdException w:qFormat="1" w:unhideWhenUsed="0" w:uiPriority="0" w:semiHidden="0" w:name="List 2" w:locked="1"/>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ocked="1"/>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qFormat="1"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unhideWhenUsed="0" w:uiPriority="0" w:semiHidden="0" w:name="Body Text 3"/>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48"/>
    <w:qFormat/>
    <w:locked/>
    <w:uiPriority w:val="0"/>
    <w:pPr>
      <w:keepNext/>
      <w:keepLines/>
      <w:spacing w:before="260" w:after="260" w:line="360" w:lineRule="auto"/>
      <w:ind w:firstLine="540" w:firstLineChars="168"/>
      <w:outlineLvl w:val="1"/>
    </w:pPr>
    <w:rPr>
      <w:rFonts w:ascii="Arial" w:hAnsi="Arial" w:eastAsia="黑体"/>
      <w:b/>
      <w:bCs/>
      <w:sz w:val="32"/>
      <w:szCs w:val="32"/>
    </w:rPr>
  </w:style>
  <w:style w:type="paragraph" w:styleId="5">
    <w:name w:val="heading 3"/>
    <w:basedOn w:val="1"/>
    <w:next w:val="1"/>
    <w:link w:val="49"/>
    <w:qFormat/>
    <w:locked/>
    <w:uiPriority w:val="0"/>
    <w:pPr>
      <w:keepNext/>
      <w:keepLines/>
      <w:spacing w:before="260" w:after="260" w:line="416" w:lineRule="auto"/>
      <w:outlineLvl w:val="2"/>
    </w:pPr>
    <w:rPr>
      <w:b/>
      <w:bCs/>
      <w:sz w:val="32"/>
      <w:szCs w:val="32"/>
    </w:rPr>
  </w:style>
  <w:style w:type="paragraph" w:styleId="2">
    <w:name w:val="heading 4"/>
    <w:basedOn w:val="1"/>
    <w:next w:val="1"/>
    <w:qFormat/>
    <w:locked/>
    <w:uiPriority w:val="0"/>
    <w:pPr>
      <w:keepNext/>
      <w:keepLines/>
      <w:spacing w:before="280" w:after="290" w:line="376" w:lineRule="auto"/>
      <w:outlineLvl w:val="3"/>
    </w:pPr>
    <w:rPr>
      <w:rFonts w:ascii="Arial" w:hAnsi="Arial" w:eastAsia="黑体"/>
      <w:b/>
      <w:bCs/>
      <w:sz w:val="28"/>
      <w:szCs w:val="28"/>
    </w:rPr>
  </w:style>
  <w:style w:type="character" w:default="1" w:styleId="41">
    <w:name w:val="Default Paragraph Font"/>
    <w:link w:val="42"/>
    <w:semiHidden/>
    <w:qFormat/>
    <w:uiPriority w:val="0"/>
    <w:rPr>
      <w:spacing w:val="10"/>
      <w:sz w:val="24"/>
    </w:rPr>
  </w:style>
  <w:style w:type="table" w:default="1" w:styleId="38">
    <w:name w:val="Normal Table"/>
    <w:semiHidden/>
    <w:qFormat/>
    <w:uiPriority w:val="0"/>
    <w:tblPr>
      <w:tblCellMar>
        <w:top w:w="0" w:type="dxa"/>
        <w:left w:w="108" w:type="dxa"/>
        <w:bottom w:w="0" w:type="dxa"/>
        <w:right w:w="108" w:type="dxa"/>
      </w:tblCellMar>
    </w:tblPr>
  </w:style>
  <w:style w:type="paragraph" w:styleId="6">
    <w:name w:val="Note Heading"/>
    <w:basedOn w:val="1"/>
    <w:next w:val="1"/>
    <w:qFormat/>
    <w:locked/>
    <w:uiPriority w:val="0"/>
    <w:pPr>
      <w:jc w:val="center"/>
    </w:pPr>
    <w:rPr>
      <w:sz w:val="28"/>
      <w:szCs w:val="20"/>
    </w:rPr>
  </w:style>
  <w:style w:type="paragraph" w:styleId="7">
    <w:name w:val="Normal Indent"/>
    <w:basedOn w:val="1"/>
    <w:link w:val="50"/>
    <w:qFormat/>
    <w:locked/>
    <w:uiPriority w:val="0"/>
    <w:pPr>
      <w:spacing w:line="440" w:lineRule="exact"/>
      <w:ind w:firstLine="652"/>
    </w:pPr>
    <w:rPr>
      <w:spacing w:val="20"/>
      <w:sz w:val="24"/>
      <w:szCs w:val="20"/>
    </w:rPr>
  </w:style>
  <w:style w:type="paragraph" w:styleId="8">
    <w:name w:val="caption"/>
    <w:basedOn w:val="1"/>
    <w:next w:val="1"/>
    <w:qFormat/>
    <w:locked/>
    <w:uiPriority w:val="0"/>
    <w:rPr>
      <w:rFonts w:ascii="Arial" w:hAnsi="Arial" w:eastAsia="黑体" w:cs="Arial"/>
      <w:sz w:val="20"/>
      <w:szCs w:val="20"/>
    </w:rPr>
  </w:style>
  <w:style w:type="paragraph" w:styleId="9">
    <w:name w:val="Document Map"/>
    <w:basedOn w:val="1"/>
    <w:qFormat/>
    <w:locked/>
    <w:uiPriority w:val="0"/>
    <w:rPr>
      <w:rFonts w:ascii="宋体"/>
      <w:sz w:val="18"/>
      <w:szCs w:val="18"/>
    </w:rPr>
  </w:style>
  <w:style w:type="paragraph" w:styleId="10">
    <w:name w:val="annotation text"/>
    <w:basedOn w:val="1"/>
    <w:link w:val="51"/>
    <w:semiHidden/>
    <w:qFormat/>
    <w:uiPriority w:val="0"/>
    <w:pPr>
      <w:jc w:val="left"/>
    </w:pPr>
    <w:rPr>
      <w:kern w:val="0"/>
      <w:sz w:val="24"/>
      <w:szCs w:val="20"/>
    </w:rPr>
  </w:style>
  <w:style w:type="paragraph" w:styleId="11">
    <w:name w:val="Salutation"/>
    <w:basedOn w:val="1"/>
    <w:next w:val="1"/>
    <w:unhideWhenUsed/>
    <w:qFormat/>
    <w:locked/>
    <w:uiPriority w:val="0"/>
    <w:rPr>
      <w:sz w:val="28"/>
    </w:rPr>
  </w:style>
  <w:style w:type="paragraph" w:styleId="12">
    <w:name w:val="Body Text"/>
    <w:basedOn w:val="1"/>
    <w:next w:val="13"/>
    <w:link w:val="52"/>
    <w:qFormat/>
    <w:uiPriority w:val="0"/>
    <w:pPr>
      <w:widowControl/>
      <w:snapToGrid w:val="0"/>
      <w:spacing w:before="60" w:after="160" w:line="259" w:lineRule="auto"/>
      <w:ind w:right="113"/>
    </w:pPr>
    <w:rPr>
      <w:kern w:val="0"/>
      <w:sz w:val="18"/>
      <w:szCs w:val="20"/>
    </w:rPr>
  </w:style>
  <w:style w:type="paragraph" w:customStyle="1" w:styleId="13">
    <w:name w:val="xl27"/>
    <w:basedOn w:val="1"/>
    <w:next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18030" w:hAnsi="???-18030" w:cs="???-18030"/>
      <w:kern w:val="0"/>
    </w:rPr>
  </w:style>
  <w:style w:type="paragraph" w:styleId="14">
    <w:name w:val="Body Text Indent"/>
    <w:basedOn w:val="1"/>
    <w:next w:val="15"/>
    <w:link w:val="53"/>
    <w:qFormat/>
    <w:uiPriority w:val="0"/>
    <w:pPr>
      <w:spacing w:after="120"/>
      <w:ind w:left="420" w:leftChars="200"/>
    </w:pPr>
    <w:rPr>
      <w:kern w:val="0"/>
      <w:sz w:val="24"/>
      <w:szCs w:val="20"/>
    </w:rPr>
  </w:style>
  <w:style w:type="paragraph" w:customStyle="1" w:styleId="15">
    <w:name w:val="样式 正文文本缩进 + 行距: 1.5 倍行距"/>
    <w:basedOn w:val="16"/>
    <w:qFormat/>
    <w:uiPriority w:val="0"/>
    <w:pPr>
      <w:ind w:left="90" w:leftChars="32" w:firstLine="560" w:firstLineChars="200"/>
    </w:pPr>
    <w:rPr>
      <w:rFonts w:cs="宋体"/>
    </w:rPr>
  </w:style>
  <w:style w:type="paragraph" w:customStyle="1" w:styleId="16">
    <w:name w:val="Body Text Indent"/>
    <w:basedOn w:val="1"/>
    <w:next w:val="15"/>
    <w:qFormat/>
    <w:uiPriority w:val="0"/>
    <w:pPr>
      <w:spacing w:after="120" w:afterLines="0"/>
      <w:ind w:left="420" w:leftChars="200"/>
    </w:pPr>
    <w:rPr>
      <w:rFonts w:ascii="Times New Roman" w:hAnsi="Times New Roman" w:eastAsia="宋体"/>
      <w:sz w:val="24"/>
    </w:rPr>
  </w:style>
  <w:style w:type="paragraph" w:styleId="17">
    <w:name w:val="List 2"/>
    <w:basedOn w:val="1"/>
    <w:qFormat/>
    <w:locked/>
    <w:uiPriority w:val="0"/>
    <w:pPr>
      <w:ind w:left="100" w:leftChars="200" w:hanging="200" w:hangingChars="200"/>
    </w:pPr>
    <w:rPr>
      <w:sz w:val="28"/>
    </w:rPr>
  </w:style>
  <w:style w:type="paragraph" w:styleId="18">
    <w:name w:val="Block Text"/>
    <w:basedOn w:val="1"/>
    <w:qFormat/>
    <w:locked/>
    <w:uiPriority w:val="0"/>
    <w:pPr>
      <w:spacing w:after="120"/>
      <w:ind w:left="1440" w:leftChars="700" w:right="1440" w:rightChars="700"/>
    </w:pPr>
  </w:style>
  <w:style w:type="paragraph" w:styleId="19">
    <w:name w:val="Plain Text"/>
    <w:basedOn w:val="1"/>
    <w:next w:val="11"/>
    <w:link w:val="54"/>
    <w:qFormat/>
    <w:locked/>
    <w:uiPriority w:val="0"/>
    <w:rPr>
      <w:rFonts w:ascii="宋体" w:hAnsi="Courier New"/>
      <w:szCs w:val="21"/>
    </w:rPr>
  </w:style>
  <w:style w:type="paragraph" w:styleId="20">
    <w:name w:val="List Bullet 5"/>
    <w:basedOn w:val="1"/>
    <w:qFormat/>
    <w:locked/>
    <w:uiPriority w:val="0"/>
    <w:pPr>
      <w:widowControl/>
      <w:spacing w:line="360" w:lineRule="auto"/>
      <w:ind w:firstLine="480"/>
      <w:jc w:val="left"/>
    </w:pPr>
    <w:rPr>
      <w:kern w:val="0"/>
      <w:sz w:val="24"/>
    </w:rPr>
  </w:style>
  <w:style w:type="paragraph" w:styleId="21">
    <w:name w:val="Date"/>
    <w:basedOn w:val="1"/>
    <w:next w:val="1"/>
    <w:link w:val="55"/>
    <w:qFormat/>
    <w:uiPriority w:val="0"/>
    <w:pPr>
      <w:ind w:left="100" w:leftChars="2500"/>
    </w:pPr>
    <w:rPr>
      <w:kern w:val="0"/>
      <w:sz w:val="24"/>
      <w:szCs w:val="20"/>
    </w:rPr>
  </w:style>
  <w:style w:type="paragraph" w:styleId="22">
    <w:name w:val="Body Text Indent 2"/>
    <w:basedOn w:val="1"/>
    <w:next w:val="23"/>
    <w:qFormat/>
    <w:locked/>
    <w:uiPriority w:val="0"/>
    <w:pPr>
      <w:spacing w:after="120" w:line="480" w:lineRule="auto"/>
      <w:ind w:left="420" w:leftChars="200"/>
    </w:pPr>
    <w:rPr>
      <w:sz w:val="28"/>
    </w:rPr>
  </w:style>
  <w:style w:type="paragraph" w:styleId="23">
    <w:name w:val="Body Text First Indent 2"/>
    <w:basedOn w:val="14"/>
    <w:qFormat/>
    <w:locked/>
    <w:uiPriority w:val="0"/>
    <w:pPr>
      <w:ind w:firstLine="420" w:firstLineChars="200"/>
    </w:pPr>
    <w:rPr>
      <w:kern w:val="2"/>
      <w:sz w:val="21"/>
      <w:szCs w:val="24"/>
    </w:rPr>
  </w:style>
  <w:style w:type="paragraph" w:styleId="24">
    <w:name w:val="Balloon Text"/>
    <w:basedOn w:val="1"/>
    <w:link w:val="56"/>
    <w:semiHidden/>
    <w:qFormat/>
    <w:uiPriority w:val="0"/>
    <w:rPr>
      <w:kern w:val="0"/>
      <w:sz w:val="18"/>
      <w:szCs w:val="20"/>
    </w:rPr>
  </w:style>
  <w:style w:type="paragraph" w:styleId="25">
    <w:name w:val="footer"/>
    <w:basedOn w:val="1"/>
    <w:link w:val="57"/>
    <w:qFormat/>
    <w:uiPriority w:val="99"/>
    <w:pPr>
      <w:tabs>
        <w:tab w:val="center" w:pos="4153"/>
        <w:tab w:val="right" w:pos="8306"/>
      </w:tabs>
      <w:snapToGrid w:val="0"/>
      <w:jc w:val="left"/>
    </w:pPr>
    <w:rPr>
      <w:kern w:val="0"/>
      <w:sz w:val="18"/>
      <w:szCs w:val="20"/>
    </w:rPr>
  </w:style>
  <w:style w:type="paragraph" w:styleId="26">
    <w:name w:val="header"/>
    <w:basedOn w:val="1"/>
    <w:link w:val="58"/>
    <w:qFormat/>
    <w:uiPriority w:val="0"/>
    <w:pPr>
      <w:pBdr>
        <w:bottom w:val="single" w:color="auto" w:sz="6" w:space="1"/>
      </w:pBdr>
      <w:tabs>
        <w:tab w:val="center" w:pos="4153"/>
        <w:tab w:val="right" w:pos="8306"/>
      </w:tabs>
      <w:snapToGrid w:val="0"/>
      <w:jc w:val="center"/>
    </w:pPr>
    <w:rPr>
      <w:kern w:val="0"/>
      <w:sz w:val="18"/>
      <w:szCs w:val="20"/>
    </w:rPr>
  </w:style>
  <w:style w:type="paragraph" w:styleId="27">
    <w:name w:val="toc 1"/>
    <w:basedOn w:val="1"/>
    <w:next w:val="1"/>
    <w:semiHidden/>
    <w:qFormat/>
    <w:uiPriority w:val="0"/>
  </w:style>
  <w:style w:type="paragraph" w:styleId="28">
    <w:name w:val="Subtitle"/>
    <w:basedOn w:val="1"/>
    <w:qFormat/>
    <w:locked/>
    <w:uiPriority w:val="0"/>
    <w:pPr>
      <w:adjustRightInd w:val="0"/>
      <w:snapToGrid w:val="0"/>
      <w:spacing w:line="360" w:lineRule="auto"/>
      <w:jc w:val="center"/>
    </w:pPr>
    <w:rPr>
      <w:rFonts w:ascii="宋体" w:hAnsi="宋体" w:eastAsia="仿宋" w:cs="宋体"/>
      <w:spacing w:val="-16"/>
      <w:szCs w:val="21"/>
    </w:rPr>
  </w:style>
  <w:style w:type="paragraph" w:styleId="29">
    <w:name w:val="List"/>
    <w:basedOn w:val="1"/>
    <w:qFormat/>
    <w:locked/>
    <w:uiPriority w:val="0"/>
    <w:pPr>
      <w:spacing w:line="360" w:lineRule="auto"/>
      <w:jc w:val="center"/>
    </w:pPr>
    <w:rPr>
      <w:rFonts w:eastAsia="黑体"/>
      <w:sz w:val="24"/>
      <w:szCs w:val="20"/>
    </w:rPr>
  </w:style>
  <w:style w:type="paragraph" w:styleId="30">
    <w:name w:val="Body Text Indent 3"/>
    <w:basedOn w:val="1"/>
    <w:qFormat/>
    <w:locked/>
    <w:uiPriority w:val="0"/>
    <w:pPr>
      <w:spacing w:after="120"/>
      <w:ind w:left="420" w:leftChars="200"/>
    </w:pPr>
    <w:rPr>
      <w:sz w:val="16"/>
      <w:szCs w:val="16"/>
    </w:rPr>
  </w:style>
  <w:style w:type="paragraph" w:styleId="31">
    <w:name w:val="table of figures"/>
    <w:basedOn w:val="1"/>
    <w:next w:val="1"/>
    <w:unhideWhenUsed/>
    <w:qFormat/>
    <w:locked/>
    <w:uiPriority w:val="0"/>
    <w:pPr>
      <w:ind w:leftChars="200" w:hanging="200" w:hangingChars="200"/>
    </w:pPr>
    <w:rPr>
      <w:rFonts w:hint="eastAsia"/>
      <w:szCs w:val="20"/>
    </w:rPr>
  </w:style>
  <w:style w:type="paragraph" w:styleId="32">
    <w:name w:val="toc 9"/>
    <w:basedOn w:val="1"/>
    <w:next w:val="1"/>
    <w:qFormat/>
    <w:locked/>
    <w:uiPriority w:val="0"/>
    <w:pPr>
      <w:spacing w:line="440" w:lineRule="exact"/>
      <w:ind w:left="1920" w:firstLine="200" w:firstLineChars="200"/>
      <w:jc w:val="left"/>
    </w:pPr>
    <w:rPr>
      <w:spacing w:val="20"/>
      <w:sz w:val="24"/>
      <w:szCs w:val="21"/>
    </w:rPr>
  </w:style>
  <w:style w:type="paragraph" w:styleId="33">
    <w:name w:val="Body Text 2"/>
    <w:basedOn w:val="1"/>
    <w:qFormat/>
    <w:locked/>
    <w:uiPriority w:val="0"/>
    <w:pPr>
      <w:spacing w:after="120" w:line="480" w:lineRule="auto"/>
    </w:pPr>
    <w:rPr>
      <w:sz w:val="28"/>
    </w:rPr>
  </w:style>
  <w:style w:type="paragraph" w:styleId="34">
    <w:name w:val="Normal (Web)"/>
    <w:basedOn w:val="1"/>
    <w:link w:val="59"/>
    <w:qFormat/>
    <w:uiPriority w:val="0"/>
    <w:pPr>
      <w:widowControl/>
      <w:spacing w:before="100" w:beforeAutospacing="1" w:after="100" w:afterAutospacing="1"/>
      <w:jc w:val="left"/>
    </w:pPr>
    <w:rPr>
      <w:rFonts w:ascii="宋体" w:hAnsi="宋体"/>
      <w:kern w:val="0"/>
      <w:sz w:val="24"/>
      <w:szCs w:val="20"/>
    </w:rPr>
  </w:style>
  <w:style w:type="paragraph" w:styleId="35">
    <w:name w:val="index 1"/>
    <w:basedOn w:val="1"/>
    <w:next w:val="1"/>
    <w:qFormat/>
    <w:locked/>
    <w:uiPriority w:val="0"/>
    <w:pPr>
      <w:tabs>
        <w:tab w:val="left" w:pos="932"/>
        <w:tab w:val="center" w:pos="4535"/>
      </w:tabs>
      <w:spacing w:line="400" w:lineRule="exact"/>
      <w:jc w:val="center"/>
    </w:pPr>
    <w:rPr>
      <w:rFonts w:ascii="宋体" w:hAnsi="宋体"/>
      <w:bCs/>
      <w:sz w:val="24"/>
    </w:rPr>
  </w:style>
  <w:style w:type="paragraph" w:styleId="36">
    <w:name w:val="annotation subject"/>
    <w:basedOn w:val="10"/>
    <w:next w:val="10"/>
    <w:link w:val="60"/>
    <w:semiHidden/>
    <w:qFormat/>
    <w:uiPriority w:val="0"/>
    <w:rPr>
      <w:b/>
      <w:sz w:val="24"/>
      <w:szCs w:val="20"/>
    </w:rPr>
  </w:style>
  <w:style w:type="paragraph" w:styleId="37">
    <w:name w:val="Body Text First Indent"/>
    <w:basedOn w:val="12"/>
    <w:next w:val="1"/>
    <w:link w:val="61"/>
    <w:qFormat/>
    <w:locked/>
    <w:uiPriority w:val="0"/>
    <w:pPr>
      <w:widowControl w:val="0"/>
      <w:snapToGrid/>
      <w:spacing w:before="0" w:after="120" w:line="240" w:lineRule="auto"/>
      <w:ind w:right="0" w:firstLine="420" w:firstLineChars="100"/>
    </w:pPr>
    <w:rPr>
      <w:kern w:val="2"/>
      <w:sz w:val="21"/>
      <w:szCs w:val="24"/>
    </w:rPr>
  </w:style>
  <w:style w:type="table" w:styleId="39">
    <w:name w:val="Table Grid"/>
    <w:basedOn w:val="3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0">
    <w:name w:val="Table Grid 5"/>
    <w:basedOn w:val="38"/>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vAlign w:val="center"/>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paragraph" w:customStyle="1" w:styleId="42">
    <w:name w:val="默认段落字体 Para Char Char Char Char Char Char Char Char Char Char Char Char Char"/>
    <w:basedOn w:val="1"/>
    <w:link w:val="41"/>
    <w:qFormat/>
    <w:uiPriority w:val="0"/>
    <w:pPr>
      <w:spacing w:line="360" w:lineRule="auto"/>
      <w:ind w:firstLine="200" w:firstLineChars="200"/>
    </w:pPr>
    <w:rPr>
      <w:spacing w:val="10"/>
      <w:sz w:val="24"/>
    </w:rPr>
  </w:style>
  <w:style w:type="character" w:styleId="43">
    <w:name w:val="Strong"/>
    <w:qFormat/>
    <w:locked/>
    <w:uiPriority w:val="0"/>
    <w:rPr>
      <w:b/>
      <w:bCs/>
    </w:rPr>
  </w:style>
  <w:style w:type="character" w:styleId="44">
    <w:name w:val="page number"/>
    <w:qFormat/>
    <w:locked/>
    <w:uiPriority w:val="0"/>
  </w:style>
  <w:style w:type="character" w:styleId="45">
    <w:name w:val="Emphasis"/>
    <w:qFormat/>
    <w:locked/>
    <w:uiPriority w:val="0"/>
    <w:rPr>
      <w:i/>
      <w:iCs/>
    </w:rPr>
  </w:style>
  <w:style w:type="character" w:styleId="46">
    <w:name w:val="Hyperlink"/>
    <w:qFormat/>
    <w:locked/>
    <w:uiPriority w:val="0"/>
    <w:rPr>
      <w:color w:val="136EC2"/>
      <w:u w:val="single"/>
    </w:rPr>
  </w:style>
  <w:style w:type="character" w:styleId="47">
    <w:name w:val="annotation reference"/>
    <w:semiHidden/>
    <w:qFormat/>
    <w:uiPriority w:val="0"/>
    <w:rPr>
      <w:sz w:val="21"/>
    </w:rPr>
  </w:style>
  <w:style w:type="character" w:customStyle="1" w:styleId="48">
    <w:name w:val="标题 2 字符"/>
    <w:link w:val="4"/>
    <w:qFormat/>
    <w:uiPriority w:val="0"/>
    <w:rPr>
      <w:rFonts w:ascii="Arial" w:hAnsi="Arial" w:eastAsia="黑体"/>
      <w:b/>
      <w:bCs/>
      <w:kern w:val="2"/>
      <w:sz w:val="32"/>
      <w:szCs w:val="32"/>
      <w:lang w:val="en-US" w:eastAsia="zh-CN" w:bidi="ar-SA"/>
    </w:rPr>
  </w:style>
  <w:style w:type="character" w:customStyle="1" w:styleId="49">
    <w:name w:val="标题 3 字符"/>
    <w:link w:val="5"/>
    <w:qFormat/>
    <w:uiPriority w:val="0"/>
    <w:rPr>
      <w:rFonts w:eastAsia="宋体"/>
      <w:b/>
      <w:bCs/>
      <w:kern w:val="2"/>
      <w:sz w:val="32"/>
      <w:szCs w:val="32"/>
      <w:lang w:val="en-US" w:eastAsia="zh-CN" w:bidi="ar-SA"/>
    </w:rPr>
  </w:style>
  <w:style w:type="character" w:customStyle="1" w:styleId="50">
    <w:name w:val="正文缩进 字符"/>
    <w:link w:val="7"/>
    <w:qFormat/>
    <w:uiPriority w:val="0"/>
    <w:rPr>
      <w:rFonts w:eastAsia="宋体"/>
      <w:spacing w:val="20"/>
      <w:kern w:val="2"/>
      <w:sz w:val="24"/>
      <w:lang w:val="en-US" w:eastAsia="zh-CN" w:bidi="ar-SA"/>
    </w:rPr>
  </w:style>
  <w:style w:type="character" w:customStyle="1" w:styleId="51">
    <w:name w:val="批注文字 字符"/>
    <w:link w:val="10"/>
    <w:qFormat/>
    <w:locked/>
    <w:uiPriority w:val="0"/>
    <w:rPr>
      <w:rFonts w:ascii="Times New Roman" w:hAnsi="Times New Roman" w:eastAsia="宋体"/>
      <w:sz w:val="24"/>
    </w:rPr>
  </w:style>
  <w:style w:type="character" w:customStyle="1" w:styleId="52">
    <w:name w:val="正文文本 字符"/>
    <w:link w:val="12"/>
    <w:qFormat/>
    <w:locked/>
    <w:uiPriority w:val="0"/>
    <w:rPr>
      <w:sz w:val="18"/>
    </w:rPr>
  </w:style>
  <w:style w:type="character" w:customStyle="1" w:styleId="53">
    <w:name w:val="正文文本缩进 字符"/>
    <w:link w:val="14"/>
    <w:semiHidden/>
    <w:qFormat/>
    <w:locked/>
    <w:uiPriority w:val="0"/>
    <w:rPr>
      <w:rFonts w:ascii="Times New Roman" w:hAnsi="Times New Roman" w:eastAsia="宋体"/>
      <w:sz w:val="24"/>
    </w:rPr>
  </w:style>
  <w:style w:type="character" w:customStyle="1" w:styleId="54">
    <w:name w:val="纯文本 字符"/>
    <w:link w:val="19"/>
    <w:qFormat/>
    <w:uiPriority w:val="0"/>
    <w:rPr>
      <w:rFonts w:ascii="宋体" w:hAnsi="Courier New" w:eastAsia="宋体"/>
      <w:kern w:val="2"/>
      <w:sz w:val="21"/>
      <w:szCs w:val="21"/>
      <w:lang w:val="en-US" w:eastAsia="zh-CN" w:bidi="ar-SA"/>
    </w:rPr>
  </w:style>
  <w:style w:type="character" w:customStyle="1" w:styleId="55">
    <w:name w:val="日期 字符1"/>
    <w:link w:val="21"/>
    <w:qFormat/>
    <w:locked/>
    <w:uiPriority w:val="0"/>
    <w:rPr>
      <w:rFonts w:ascii="Times New Roman" w:hAnsi="Times New Roman" w:eastAsia="宋体"/>
      <w:sz w:val="24"/>
    </w:rPr>
  </w:style>
  <w:style w:type="character" w:customStyle="1" w:styleId="56">
    <w:name w:val="批注框文本 字符"/>
    <w:link w:val="24"/>
    <w:semiHidden/>
    <w:qFormat/>
    <w:locked/>
    <w:uiPriority w:val="0"/>
    <w:rPr>
      <w:rFonts w:ascii="Times New Roman" w:hAnsi="Times New Roman" w:eastAsia="宋体"/>
      <w:sz w:val="18"/>
    </w:rPr>
  </w:style>
  <w:style w:type="character" w:customStyle="1" w:styleId="57">
    <w:name w:val="页脚 字符1"/>
    <w:link w:val="25"/>
    <w:qFormat/>
    <w:locked/>
    <w:uiPriority w:val="99"/>
    <w:rPr>
      <w:sz w:val="18"/>
    </w:rPr>
  </w:style>
  <w:style w:type="character" w:customStyle="1" w:styleId="58">
    <w:name w:val="页眉 字符"/>
    <w:link w:val="26"/>
    <w:qFormat/>
    <w:locked/>
    <w:uiPriority w:val="0"/>
    <w:rPr>
      <w:sz w:val="18"/>
    </w:rPr>
  </w:style>
  <w:style w:type="character" w:customStyle="1" w:styleId="59">
    <w:name w:val="普通(网站) 字符"/>
    <w:link w:val="34"/>
    <w:qFormat/>
    <w:locked/>
    <w:uiPriority w:val="0"/>
    <w:rPr>
      <w:rFonts w:ascii="宋体" w:hAnsi="宋体" w:eastAsia="宋体"/>
      <w:sz w:val="24"/>
    </w:rPr>
  </w:style>
  <w:style w:type="character" w:customStyle="1" w:styleId="60">
    <w:name w:val="批注主题 字符"/>
    <w:link w:val="36"/>
    <w:semiHidden/>
    <w:qFormat/>
    <w:locked/>
    <w:uiPriority w:val="0"/>
    <w:rPr>
      <w:rFonts w:ascii="Times New Roman" w:hAnsi="Times New Roman" w:eastAsia="宋体"/>
      <w:b/>
      <w:kern w:val="2"/>
      <w:sz w:val="24"/>
    </w:rPr>
  </w:style>
  <w:style w:type="character" w:customStyle="1" w:styleId="61">
    <w:name w:val="正文文本首行缩进 字符"/>
    <w:link w:val="37"/>
    <w:semiHidden/>
    <w:qFormat/>
    <w:locked/>
    <w:uiPriority w:val="0"/>
    <w:rPr>
      <w:rFonts w:eastAsia="宋体"/>
      <w:kern w:val="2"/>
      <w:sz w:val="21"/>
      <w:szCs w:val="24"/>
      <w:lang w:val="en-US" w:eastAsia="zh-CN" w:bidi="ar-SA"/>
    </w:rPr>
  </w:style>
  <w:style w:type="paragraph" w:customStyle="1" w:styleId="62">
    <w:name w:val="Default"/>
    <w:basedOn w:val="63"/>
    <w:next w:val="65"/>
    <w:qFormat/>
    <w:uiPriority w:val="0"/>
    <w:pPr>
      <w:widowControl w:val="0"/>
      <w:tabs>
        <w:tab w:val="center" w:pos="4394"/>
      </w:tabs>
      <w:autoSpaceDE w:val="0"/>
      <w:autoSpaceDN w:val="0"/>
      <w:adjustRightInd w:val="0"/>
    </w:pPr>
    <w:rPr>
      <w:rFonts w:ascii="宋体" w:cs="宋体"/>
      <w:color w:val="000000"/>
      <w:sz w:val="24"/>
      <w:szCs w:val="24"/>
      <w:lang w:val="en-US" w:eastAsia="zh-CN" w:bidi="ar-SA"/>
    </w:rPr>
  </w:style>
  <w:style w:type="paragraph" w:customStyle="1" w:styleId="63">
    <w:name w:val="标题2"/>
    <w:basedOn w:val="64"/>
    <w:qFormat/>
    <w:uiPriority w:val="0"/>
    <w:pPr>
      <w:numPr>
        <w:ilvl w:val="1"/>
        <w:numId w:val="1"/>
      </w:numPr>
      <w:tabs>
        <w:tab w:val="center" w:pos="4394"/>
      </w:tabs>
      <w:spacing w:before="0" w:after="0" w:line="440" w:lineRule="exact"/>
    </w:pPr>
    <w:rPr>
      <w:kern w:val="0"/>
      <w:sz w:val="28"/>
    </w:rPr>
  </w:style>
  <w:style w:type="paragraph" w:customStyle="1" w:styleId="64">
    <w:name w:val="标题1"/>
    <w:basedOn w:val="3"/>
    <w:next w:val="1"/>
    <w:qFormat/>
    <w:uiPriority w:val="0"/>
    <w:pPr>
      <w:tabs>
        <w:tab w:val="center" w:pos="4394"/>
      </w:tabs>
      <w:adjustRightInd w:val="0"/>
      <w:spacing w:before="0" w:after="120" w:line="360" w:lineRule="auto"/>
      <w:jc w:val="center"/>
    </w:pPr>
    <w:rPr>
      <w:rFonts w:ascii="黑体" w:hAnsi="宋体"/>
      <w:b w:val="0"/>
      <w:sz w:val="36"/>
      <w:szCs w:val="32"/>
    </w:rPr>
  </w:style>
  <w:style w:type="paragraph" w:customStyle="1" w:styleId="65">
    <w:name w:val="1正文段落"/>
    <w:basedOn w:val="1"/>
    <w:link w:val="66"/>
    <w:qFormat/>
    <w:uiPriority w:val="0"/>
    <w:pPr>
      <w:snapToGrid w:val="0"/>
      <w:spacing w:line="360" w:lineRule="auto"/>
      <w:ind w:firstLine="480" w:firstLineChars="200"/>
      <w:jc w:val="left"/>
    </w:pPr>
    <w:rPr>
      <w:rFonts w:ascii="宋体" w:hAnsi="宋体"/>
      <w:snapToGrid w:val="0"/>
      <w:kern w:val="0"/>
      <w:sz w:val="24"/>
      <w:szCs w:val="20"/>
    </w:rPr>
  </w:style>
  <w:style w:type="character" w:customStyle="1" w:styleId="66">
    <w:name w:val="1正文段落 Char"/>
    <w:link w:val="65"/>
    <w:qFormat/>
    <w:locked/>
    <w:uiPriority w:val="0"/>
    <w:rPr>
      <w:rFonts w:ascii="宋体" w:hAnsi="宋体" w:eastAsia="宋体"/>
      <w:snapToGrid w:val="0"/>
      <w:sz w:val="24"/>
      <w:lang w:val="en-US" w:eastAsia="zh-CN" w:bidi="ar-SA"/>
    </w:rPr>
  </w:style>
  <w:style w:type="character" w:customStyle="1" w:styleId="67">
    <w:name w:val="标题 3 Char Char Char Char Char"/>
    <w:qFormat/>
    <w:uiPriority w:val="0"/>
    <w:rPr>
      <w:rFonts w:eastAsia="宋体"/>
      <w:b/>
      <w:bCs/>
      <w:kern w:val="2"/>
      <w:sz w:val="32"/>
      <w:szCs w:val="32"/>
      <w:lang w:val="en-US" w:eastAsia="zh-CN" w:bidi="ar-SA"/>
    </w:rPr>
  </w:style>
  <w:style w:type="character" w:customStyle="1" w:styleId="68">
    <w:name w:val="111表格 Char"/>
    <w:link w:val="69"/>
    <w:qFormat/>
    <w:uiPriority w:val="0"/>
    <w:rPr>
      <w:color w:val="C00000"/>
      <w:kern w:val="2"/>
      <w:sz w:val="21"/>
      <w:szCs w:val="21"/>
      <w:lang w:bidi="ar-SA"/>
    </w:rPr>
  </w:style>
  <w:style w:type="paragraph" w:customStyle="1" w:styleId="69">
    <w:name w:val="111表格"/>
    <w:basedOn w:val="1"/>
    <w:link w:val="68"/>
    <w:qFormat/>
    <w:uiPriority w:val="0"/>
    <w:pPr>
      <w:jc w:val="center"/>
    </w:pPr>
    <w:rPr>
      <w:rFonts w:eastAsia="Times New Roman"/>
      <w:color w:val="C00000"/>
      <w:szCs w:val="21"/>
    </w:rPr>
  </w:style>
  <w:style w:type="character" w:customStyle="1" w:styleId="70">
    <w:name w:val="图表标注 Char"/>
    <w:link w:val="71"/>
    <w:qFormat/>
    <w:locked/>
    <w:uiPriority w:val="0"/>
    <w:rPr>
      <w:rFonts w:ascii="黑体" w:hAnsi="黑体" w:eastAsia="黑体"/>
      <w:lang w:bidi="ar-SA"/>
    </w:rPr>
  </w:style>
  <w:style w:type="paragraph" w:customStyle="1" w:styleId="71">
    <w:name w:val="图表标注"/>
    <w:basedOn w:val="1"/>
    <w:link w:val="70"/>
    <w:qFormat/>
    <w:uiPriority w:val="0"/>
    <w:pPr>
      <w:spacing w:line="480" w:lineRule="exact"/>
      <w:jc w:val="center"/>
    </w:pPr>
    <w:rPr>
      <w:rFonts w:ascii="黑体" w:hAnsi="黑体" w:eastAsia="黑体"/>
      <w:kern w:val="0"/>
      <w:sz w:val="20"/>
      <w:szCs w:val="20"/>
    </w:rPr>
  </w:style>
  <w:style w:type="character" w:customStyle="1" w:styleId="72">
    <w:name w:val=" Char Char6"/>
    <w:qFormat/>
    <w:uiPriority w:val="0"/>
    <w:rPr>
      <w:rFonts w:eastAsia="宋体"/>
      <w:b/>
      <w:bCs/>
      <w:kern w:val="2"/>
      <w:sz w:val="32"/>
      <w:szCs w:val="32"/>
      <w:lang w:val="en-US" w:eastAsia="zh-CN" w:bidi="ar-SA"/>
    </w:rPr>
  </w:style>
  <w:style w:type="character" w:customStyle="1" w:styleId="73">
    <w:name w:val="特点 Char1"/>
    <w:qFormat/>
    <w:uiPriority w:val="0"/>
    <w:rPr>
      <w:rFonts w:eastAsia="宋体"/>
      <w:spacing w:val="20"/>
      <w:kern w:val="2"/>
      <w:sz w:val="24"/>
      <w:lang w:val="en-US" w:eastAsia="zh-CN" w:bidi="ar-SA"/>
    </w:rPr>
  </w:style>
  <w:style w:type="character" w:customStyle="1" w:styleId="74">
    <w:name w:val="正文（首行缩进两字） Char Char9"/>
    <w:qFormat/>
    <w:uiPriority w:val="0"/>
    <w:rPr>
      <w:rFonts w:eastAsia="宋体"/>
      <w:spacing w:val="20"/>
      <w:kern w:val="2"/>
      <w:sz w:val="24"/>
      <w:lang w:val="en-US" w:eastAsia="zh-CN" w:bidi="ar-SA"/>
    </w:rPr>
  </w:style>
  <w:style w:type="character" w:customStyle="1" w:styleId="75">
    <w:name w:val="5文章(治) Char"/>
    <w:link w:val="76"/>
    <w:qFormat/>
    <w:uiPriority w:val="0"/>
    <w:rPr>
      <w:rFonts w:eastAsia="宋体"/>
      <w:color w:val="000000"/>
      <w:sz w:val="24"/>
      <w:lang w:bidi="ar-SA"/>
    </w:rPr>
  </w:style>
  <w:style w:type="paragraph" w:customStyle="1" w:styleId="76">
    <w:name w:val="5文章(治)"/>
    <w:basedOn w:val="1"/>
    <w:link w:val="75"/>
    <w:qFormat/>
    <w:uiPriority w:val="0"/>
    <w:pPr>
      <w:spacing w:line="360" w:lineRule="auto"/>
      <w:ind w:firstLine="560" w:firstLineChars="200"/>
    </w:pPr>
    <w:rPr>
      <w:color w:val="000000"/>
      <w:kern w:val="0"/>
      <w:sz w:val="24"/>
      <w:szCs w:val="20"/>
    </w:rPr>
  </w:style>
  <w:style w:type="character" w:customStyle="1" w:styleId="77">
    <w:name w:val="页脚 字符"/>
    <w:qFormat/>
    <w:uiPriority w:val="99"/>
  </w:style>
  <w:style w:type="character" w:customStyle="1" w:styleId="78">
    <w:name w:val="111正文格式111 Char"/>
    <w:link w:val="79"/>
    <w:qFormat/>
    <w:uiPriority w:val="0"/>
    <w:rPr>
      <w:bCs/>
      <w:kern w:val="2"/>
      <w:sz w:val="24"/>
      <w:szCs w:val="24"/>
      <w:lang w:bidi="ar-SA"/>
    </w:rPr>
  </w:style>
  <w:style w:type="paragraph" w:customStyle="1" w:styleId="79">
    <w:name w:val="111正文格式111"/>
    <w:basedOn w:val="1"/>
    <w:link w:val="78"/>
    <w:qFormat/>
    <w:uiPriority w:val="0"/>
    <w:pPr>
      <w:adjustRightInd w:val="0"/>
      <w:snapToGrid w:val="0"/>
      <w:spacing w:line="360" w:lineRule="auto"/>
      <w:ind w:firstLine="200" w:firstLineChars="200"/>
    </w:pPr>
    <w:rPr>
      <w:rFonts w:eastAsia="Times New Roman"/>
      <w:bCs/>
      <w:sz w:val="24"/>
    </w:rPr>
  </w:style>
  <w:style w:type="character" w:customStyle="1" w:styleId="80">
    <w:name w:val=" Char Char5"/>
    <w:qFormat/>
    <w:uiPriority w:val="0"/>
    <w:rPr>
      <w:rFonts w:ascii="宋体" w:hAnsi="宋体" w:eastAsia="宋体" w:cs="宋体"/>
      <w:sz w:val="24"/>
      <w:szCs w:val="24"/>
      <w:lang w:val="en-US" w:eastAsia="zh-CN" w:bidi="ar-SA"/>
    </w:rPr>
  </w:style>
  <w:style w:type="character" w:customStyle="1" w:styleId="81">
    <w:name w:val="ourfont11"/>
    <w:qFormat/>
    <w:uiPriority w:val="0"/>
    <w:rPr>
      <w:sz w:val="20"/>
      <w:szCs w:val="20"/>
    </w:rPr>
  </w:style>
  <w:style w:type="character" w:customStyle="1" w:styleId="82">
    <w:name w:val="表格居中 Char"/>
    <w:link w:val="83"/>
    <w:qFormat/>
    <w:uiPriority w:val="0"/>
    <w:rPr>
      <w:sz w:val="24"/>
      <w:szCs w:val="24"/>
      <w:lang w:val="en-US" w:eastAsia="zh-CN" w:bidi="ar-SA"/>
    </w:rPr>
  </w:style>
  <w:style w:type="paragraph" w:customStyle="1" w:styleId="83">
    <w:name w:val="表格居中"/>
    <w:link w:val="82"/>
    <w:qFormat/>
    <w:uiPriority w:val="0"/>
    <w:pPr>
      <w:spacing w:line="440" w:lineRule="exact"/>
      <w:jc w:val="center"/>
    </w:pPr>
    <w:rPr>
      <w:rFonts w:ascii="Times New Roman" w:hAnsi="Times New Roman" w:eastAsia="Times New Roman" w:cs="Times New Roman"/>
      <w:sz w:val="24"/>
      <w:szCs w:val="24"/>
      <w:lang w:val="en-US" w:eastAsia="zh-CN" w:bidi="ar-SA"/>
    </w:rPr>
  </w:style>
  <w:style w:type="character" w:customStyle="1" w:styleId="84">
    <w:name w:val="普通文字 Char Char1"/>
    <w:qFormat/>
    <w:uiPriority w:val="0"/>
    <w:rPr>
      <w:rFonts w:ascii="宋体" w:hAnsi="Courier New" w:eastAsia="宋体"/>
      <w:spacing w:val="-2"/>
      <w:kern w:val="28"/>
      <w:sz w:val="21"/>
      <w:lang w:val="en-US" w:eastAsia="zh-CN" w:bidi="ar-SA"/>
    </w:rPr>
  </w:style>
  <w:style w:type="character" w:customStyle="1" w:styleId="85">
    <w:name w:val="t_tag"/>
    <w:qFormat/>
    <w:uiPriority w:val="0"/>
  </w:style>
  <w:style w:type="character" w:customStyle="1" w:styleId="86">
    <w:name w:val="15"/>
    <w:qFormat/>
    <w:uiPriority w:val="0"/>
    <w:rPr>
      <w:rFonts w:hint="default" w:ascii="Tahoma" w:hAnsi="Tahoma" w:cs="Tahoma"/>
      <w:sz w:val="21"/>
      <w:szCs w:val="21"/>
    </w:rPr>
  </w:style>
  <w:style w:type="character" w:customStyle="1" w:styleId="87">
    <w:name w:val="表格 Char"/>
    <w:link w:val="88"/>
    <w:qFormat/>
    <w:locked/>
    <w:uiPriority w:val="0"/>
    <w:rPr>
      <w:rFonts w:ascii="宋体"/>
      <w:sz w:val="21"/>
    </w:rPr>
  </w:style>
  <w:style w:type="paragraph" w:customStyle="1" w:styleId="88">
    <w:name w:val="表格"/>
    <w:basedOn w:val="89"/>
    <w:next w:val="1"/>
    <w:link w:val="87"/>
    <w:qFormat/>
    <w:uiPriority w:val="0"/>
    <w:pPr>
      <w:adjustRightInd w:val="0"/>
      <w:snapToGrid w:val="0"/>
      <w:spacing w:beforeLines="10" w:afterLines="10" w:line="259" w:lineRule="auto"/>
      <w:jc w:val="center"/>
    </w:pPr>
    <w:rPr>
      <w:rFonts w:ascii="宋体"/>
      <w:kern w:val="0"/>
      <w:szCs w:val="20"/>
    </w:rPr>
  </w:style>
  <w:style w:type="paragraph" w:customStyle="1" w:styleId="89">
    <w:name w:val="表头"/>
    <w:basedOn w:val="90"/>
    <w:next w:val="1"/>
    <w:link w:val="91"/>
    <w:qFormat/>
    <w:uiPriority w:val="0"/>
    <w:pPr>
      <w:spacing w:line="420" w:lineRule="exact"/>
      <w:jc w:val="center"/>
    </w:pPr>
    <w:rPr>
      <w:rFonts w:hAnsi="宋体"/>
      <w:b/>
      <w:color w:val="000000"/>
      <w:position w:val="2"/>
      <w:sz w:val="24"/>
    </w:rPr>
  </w:style>
  <w:style w:type="paragraph" w:customStyle="1" w:styleId="90">
    <w:name w:val="文本"/>
    <w:basedOn w:val="1"/>
    <w:qFormat/>
    <w:uiPriority w:val="0"/>
    <w:pPr>
      <w:adjustRightInd w:val="0"/>
      <w:snapToGrid w:val="0"/>
      <w:spacing w:line="360" w:lineRule="auto"/>
      <w:ind w:firstLine="1446" w:firstLineChars="200"/>
    </w:pPr>
    <w:rPr>
      <w:rFonts w:ascii="Times New Roman" w:hAnsi="Times New Roman" w:eastAsia="宋体"/>
      <w:sz w:val="24"/>
    </w:rPr>
  </w:style>
  <w:style w:type="character" w:customStyle="1" w:styleId="91">
    <w:name w:val="表头 Char Char"/>
    <w:link w:val="89"/>
    <w:qFormat/>
    <w:uiPriority w:val="0"/>
    <w:rPr>
      <w:rFonts w:hAnsi="宋体" w:eastAsia="宋体"/>
      <w:b/>
      <w:color w:val="000000"/>
      <w:kern w:val="2"/>
      <w:position w:val="2"/>
      <w:sz w:val="24"/>
      <w:szCs w:val="24"/>
      <w:lang w:val="en-US" w:eastAsia="zh-CN" w:bidi="ar-SA"/>
    </w:rPr>
  </w:style>
  <w:style w:type="character" w:customStyle="1" w:styleId="92">
    <w:name w:val="正文(首行缩进) Char Char"/>
    <w:link w:val="93"/>
    <w:qFormat/>
    <w:uiPriority w:val="0"/>
    <w:rPr>
      <w:rFonts w:eastAsia="宋体"/>
      <w:snapToGrid w:val="0"/>
      <w:sz w:val="24"/>
      <w:szCs w:val="24"/>
      <w:lang w:val="en-US" w:eastAsia="zh-CN" w:bidi="ar-SA"/>
    </w:rPr>
  </w:style>
  <w:style w:type="paragraph" w:customStyle="1" w:styleId="93">
    <w:name w:val="正文(首行缩进)"/>
    <w:basedOn w:val="1"/>
    <w:link w:val="92"/>
    <w:qFormat/>
    <w:uiPriority w:val="0"/>
    <w:pPr>
      <w:adjustRightInd w:val="0"/>
      <w:snapToGrid w:val="0"/>
      <w:spacing w:line="360" w:lineRule="auto"/>
      <w:ind w:firstLine="200" w:firstLineChars="200"/>
    </w:pPr>
    <w:rPr>
      <w:snapToGrid w:val="0"/>
      <w:kern w:val="0"/>
      <w:sz w:val="24"/>
    </w:rPr>
  </w:style>
  <w:style w:type="character" w:customStyle="1" w:styleId="94">
    <w:name w:val="批注文字 Char1"/>
    <w:qFormat/>
    <w:uiPriority w:val="0"/>
    <w:rPr>
      <w:rFonts w:eastAsia="宋体"/>
      <w:kern w:val="2"/>
      <w:sz w:val="28"/>
      <w:szCs w:val="24"/>
      <w:lang w:val="en-US" w:eastAsia="zh-CN" w:bidi="ar-SA"/>
    </w:rPr>
  </w:style>
  <w:style w:type="character" w:customStyle="1" w:styleId="95">
    <w:name w:val="表格文字 Char"/>
    <w:link w:val="96"/>
    <w:qFormat/>
    <w:locked/>
    <w:uiPriority w:val="0"/>
    <w:rPr>
      <w:rFonts w:eastAsia="仿宋_GB2312"/>
      <w:sz w:val="24"/>
      <w:lang w:val="en-US" w:eastAsia="zh-CN" w:bidi="ar-SA"/>
    </w:rPr>
  </w:style>
  <w:style w:type="paragraph" w:customStyle="1" w:styleId="96">
    <w:name w:val="表格文字"/>
    <w:basedOn w:val="1"/>
    <w:link w:val="95"/>
    <w:qFormat/>
    <w:uiPriority w:val="0"/>
    <w:pPr>
      <w:autoSpaceDE w:val="0"/>
      <w:autoSpaceDN w:val="0"/>
      <w:adjustRightInd w:val="0"/>
      <w:spacing w:before="60" w:after="60"/>
      <w:jc w:val="center"/>
      <w:textAlignment w:val="bottom"/>
    </w:pPr>
    <w:rPr>
      <w:rFonts w:eastAsia="仿宋_GB2312"/>
      <w:kern w:val="0"/>
      <w:sz w:val="24"/>
      <w:szCs w:val="20"/>
    </w:rPr>
  </w:style>
  <w:style w:type="character" w:customStyle="1" w:styleId="97">
    <w:name w:val="正文文本 字符1"/>
    <w:semiHidden/>
    <w:qFormat/>
    <w:uiPriority w:val="0"/>
    <w:rPr>
      <w:rFonts w:ascii="Times New Roman" w:hAnsi="Times New Roman" w:eastAsia="宋体"/>
      <w:sz w:val="24"/>
    </w:rPr>
  </w:style>
  <w:style w:type="character" w:customStyle="1" w:styleId="98">
    <w:name w:val=" Char Char12"/>
    <w:qFormat/>
    <w:uiPriority w:val="0"/>
    <w:rPr>
      <w:rFonts w:hint="eastAsia" w:ascii="宋体" w:hAnsi="宋体" w:eastAsia="宋体" w:cs="宋体"/>
      <w:kern w:val="2"/>
      <w:sz w:val="28"/>
      <w:szCs w:val="21"/>
      <w:lang w:val="en-US" w:eastAsia="zh-CN" w:bidi="ar"/>
    </w:rPr>
  </w:style>
  <w:style w:type="character" w:customStyle="1" w:styleId="99">
    <w:name w:val="apple-converted-space"/>
    <w:qFormat/>
    <w:uiPriority w:val="0"/>
  </w:style>
  <w:style w:type="character" w:customStyle="1" w:styleId="100">
    <w:name w:val="预案正文 Char"/>
    <w:link w:val="101"/>
    <w:qFormat/>
    <w:uiPriority w:val="0"/>
    <w:rPr>
      <w:sz w:val="24"/>
      <w:lang w:bidi="ar-SA"/>
    </w:rPr>
  </w:style>
  <w:style w:type="paragraph" w:customStyle="1" w:styleId="101">
    <w:name w:val="预案正文"/>
    <w:basedOn w:val="1"/>
    <w:link w:val="100"/>
    <w:qFormat/>
    <w:uiPriority w:val="0"/>
    <w:pPr>
      <w:spacing w:line="360" w:lineRule="auto"/>
      <w:ind w:firstLine="200" w:firstLineChars="200"/>
    </w:pPr>
    <w:rPr>
      <w:rFonts w:eastAsia="Times New Roman"/>
      <w:kern w:val="0"/>
      <w:sz w:val="24"/>
      <w:szCs w:val="20"/>
    </w:rPr>
  </w:style>
  <w:style w:type="character" w:customStyle="1" w:styleId="102">
    <w:name w:val="表 Char"/>
    <w:link w:val="103"/>
    <w:qFormat/>
    <w:uiPriority w:val="0"/>
    <w:rPr>
      <w:spacing w:val="2"/>
      <w:kern w:val="2"/>
      <w:sz w:val="21"/>
      <w:lang w:bidi="ar-SA"/>
    </w:rPr>
  </w:style>
  <w:style w:type="paragraph" w:customStyle="1" w:styleId="103">
    <w:name w:val="表"/>
    <w:basedOn w:val="1"/>
    <w:link w:val="102"/>
    <w:qFormat/>
    <w:uiPriority w:val="0"/>
    <w:pPr>
      <w:snapToGrid w:val="0"/>
      <w:jc w:val="center"/>
    </w:pPr>
    <w:rPr>
      <w:rFonts w:eastAsia="Times New Roman"/>
      <w:spacing w:val="2"/>
      <w:szCs w:val="20"/>
    </w:rPr>
  </w:style>
  <w:style w:type="character" w:customStyle="1" w:styleId="104">
    <w:name w:val="正文（首行缩进） Char Char Char"/>
    <w:link w:val="105"/>
    <w:qFormat/>
    <w:locked/>
    <w:uiPriority w:val="0"/>
    <w:rPr>
      <w:sz w:val="24"/>
      <w:lang w:bidi="ar-SA"/>
    </w:rPr>
  </w:style>
  <w:style w:type="paragraph" w:customStyle="1" w:styleId="105">
    <w:name w:val="正文（首行缩进） Char"/>
    <w:basedOn w:val="1"/>
    <w:link w:val="104"/>
    <w:qFormat/>
    <w:uiPriority w:val="0"/>
    <w:pPr>
      <w:widowControl/>
      <w:overflowPunct w:val="0"/>
      <w:topLinePunct/>
      <w:autoSpaceDE w:val="0"/>
      <w:autoSpaceDN w:val="0"/>
      <w:adjustRightInd w:val="0"/>
      <w:snapToGrid w:val="0"/>
      <w:spacing w:line="360" w:lineRule="auto"/>
      <w:ind w:firstLine="480" w:firstLineChars="200"/>
    </w:pPr>
    <w:rPr>
      <w:rFonts w:eastAsia="Times New Roman"/>
      <w:kern w:val="0"/>
      <w:sz w:val="24"/>
      <w:szCs w:val="20"/>
    </w:rPr>
  </w:style>
  <w:style w:type="character" w:customStyle="1" w:styleId="106">
    <w:name w:val="正文缩进 Char1"/>
    <w:qFormat/>
    <w:uiPriority w:val="0"/>
    <w:rPr>
      <w:rFonts w:eastAsia="宋体"/>
      <w:spacing w:val="20"/>
      <w:sz w:val="24"/>
    </w:rPr>
  </w:style>
  <w:style w:type="character" w:customStyle="1" w:styleId="107">
    <w:name w:val="表内文字 Char Char"/>
    <w:link w:val="108"/>
    <w:qFormat/>
    <w:uiPriority w:val="0"/>
    <w:rPr>
      <w:rFonts w:eastAsia="宋体"/>
      <w:kern w:val="2"/>
      <w:sz w:val="24"/>
      <w:lang w:val="en-US" w:eastAsia="zh-CN" w:bidi="ar-SA"/>
    </w:rPr>
  </w:style>
  <w:style w:type="paragraph" w:customStyle="1" w:styleId="108">
    <w:name w:val="表内文字"/>
    <w:basedOn w:val="1"/>
    <w:link w:val="107"/>
    <w:qFormat/>
    <w:uiPriority w:val="0"/>
    <w:pPr>
      <w:spacing w:line="600" w:lineRule="exact"/>
      <w:jc w:val="center"/>
    </w:pPr>
    <w:rPr>
      <w:sz w:val="24"/>
      <w:szCs w:val="20"/>
    </w:rPr>
  </w:style>
  <w:style w:type="character" w:customStyle="1" w:styleId="109">
    <w:name w:val="Char Char4"/>
    <w:qFormat/>
    <w:locked/>
    <w:uiPriority w:val="0"/>
    <w:rPr>
      <w:rFonts w:ascii="宋体" w:hAnsi="Courier New" w:eastAsia="宋体"/>
      <w:kern w:val="2"/>
      <w:sz w:val="21"/>
      <w:szCs w:val="21"/>
      <w:lang w:val="en-US" w:eastAsia="zh-CN" w:bidi="ar-SA"/>
    </w:rPr>
  </w:style>
  <w:style w:type="character" w:customStyle="1" w:styleId="110">
    <w:name w:val="表体 Char"/>
    <w:link w:val="111"/>
    <w:qFormat/>
    <w:uiPriority w:val="0"/>
    <w:rPr>
      <w:rFonts w:ascii="宋体" w:eastAsia="宋体"/>
      <w:color w:val="000080"/>
      <w:kern w:val="2"/>
      <w:sz w:val="21"/>
      <w:szCs w:val="24"/>
      <w:lang w:val="en-US" w:eastAsia="zh-CN" w:bidi="ar-SA"/>
    </w:rPr>
  </w:style>
  <w:style w:type="paragraph" w:customStyle="1" w:styleId="111">
    <w:name w:val="表体"/>
    <w:link w:val="110"/>
    <w:qFormat/>
    <w:uiPriority w:val="0"/>
    <w:pPr>
      <w:jc w:val="center"/>
    </w:pPr>
    <w:rPr>
      <w:rFonts w:ascii="宋体" w:hAnsi="Times New Roman" w:eastAsia="宋体" w:cs="Times New Roman"/>
      <w:color w:val="000080"/>
      <w:kern w:val="2"/>
      <w:sz w:val="21"/>
      <w:szCs w:val="24"/>
      <w:lang w:val="en-US" w:eastAsia="zh-CN" w:bidi="ar-SA"/>
    </w:rPr>
  </w:style>
  <w:style w:type="character" w:customStyle="1" w:styleId="112">
    <w:name w:val="11正文格式 Char"/>
    <w:link w:val="113"/>
    <w:qFormat/>
    <w:uiPriority w:val="0"/>
    <w:rPr>
      <w:color w:val="C00000"/>
      <w:sz w:val="24"/>
      <w:szCs w:val="24"/>
      <w:lang w:bidi="ar-SA"/>
    </w:rPr>
  </w:style>
  <w:style w:type="paragraph" w:customStyle="1" w:styleId="113">
    <w:name w:val="11正文格式"/>
    <w:basedOn w:val="1"/>
    <w:link w:val="112"/>
    <w:qFormat/>
    <w:uiPriority w:val="0"/>
    <w:pPr>
      <w:adjustRightInd w:val="0"/>
      <w:snapToGrid w:val="0"/>
      <w:spacing w:line="360" w:lineRule="auto"/>
      <w:ind w:firstLine="200" w:firstLineChars="200"/>
    </w:pPr>
    <w:rPr>
      <w:rFonts w:eastAsia="Times New Roman"/>
      <w:color w:val="C00000"/>
      <w:kern w:val="0"/>
      <w:sz w:val="24"/>
    </w:rPr>
  </w:style>
  <w:style w:type="character" w:customStyle="1" w:styleId="114">
    <w:name w:val="孙普文字 Char"/>
    <w:qFormat/>
    <w:uiPriority w:val="0"/>
    <w:rPr>
      <w:rFonts w:ascii="宋体" w:hAnsi="Courier New" w:eastAsia="宋体"/>
      <w:kern w:val="2"/>
      <w:sz w:val="21"/>
      <w:szCs w:val="21"/>
      <w:lang w:val="en-US" w:eastAsia="zh-CN" w:bidi="ar-SA"/>
    </w:rPr>
  </w:style>
  <w:style w:type="character" w:customStyle="1" w:styleId="115">
    <w:name w:val="正文（海红） Char"/>
    <w:link w:val="116"/>
    <w:qFormat/>
    <w:uiPriority w:val="0"/>
    <w:rPr>
      <w:rFonts w:eastAsia="宋体"/>
      <w:kern w:val="2"/>
      <w:sz w:val="24"/>
      <w:szCs w:val="24"/>
      <w:lang w:val="en-US" w:eastAsia="zh-CN" w:bidi="ar-SA"/>
    </w:rPr>
  </w:style>
  <w:style w:type="paragraph" w:customStyle="1" w:styleId="116">
    <w:name w:val="正文（海红）"/>
    <w:basedOn w:val="1"/>
    <w:link w:val="115"/>
    <w:qFormat/>
    <w:uiPriority w:val="0"/>
    <w:pPr>
      <w:spacing w:line="500" w:lineRule="exact"/>
      <w:ind w:firstLine="200" w:firstLineChars="200"/>
    </w:pPr>
    <w:rPr>
      <w:sz w:val="24"/>
    </w:rPr>
  </w:style>
  <w:style w:type="character" w:customStyle="1" w:styleId="117">
    <w:name w:val=" Char Char Char"/>
    <w:qFormat/>
    <w:uiPriority w:val="0"/>
    <w:rPr>
      <w:rFonts w:eastAsia="宋体"/>
      <w:kern w:val="2"/>
      <w:sz w:val="28"/>
      <w:szCs w:val="24"/>
      <w:lang w:val="en-US" w:eastAsia="zh-CN" w:bidi="ar-SA"/>
    </w:rPr>
  </w:style>
  <w:style w:type="character" w:customStyle="1" w:styleId="118">
    <w:name w:val="报告 Char"/>
    <w:link w:val="119"/>
    <w:qFormat/>
    <w:uiPriority w:val="0"/>
    <w:rPr>
      <w:rFonts w:ascii="TimesNewRoman" w:hAnsi="TimesNewRoman" w:eastAsia="宋体"/>
      <w:sz w:val="24"/>
      <w:lang w:val="en-US" w:eastAsia="zh-CN" w:bidi="ar-SA"/>
    </w:rPr>
  </w:style>
  <w:style w:type="paragraph" w:customStyle="1" w:styleId="119">
    <w:name w:val="报告"/>
    <w:basedOn w:val="1"/>
    <w:link w:val="118"/>
    <w:qFormat/>
    <w:uiPriority w:val="0"/>
    <w:pPr>
      <w:adjustRightInd w:val="0"/>
      <w:spacing w:line="360" w:lineRule="auto"/>
      <w:ind w:firstLine="505"/>
      <w:textAlignment w:val="center"/>
    </w:pPr>
    <w:rPr>
      <w:rFonts w:ascii="TimesNewRoman" w:hAnsi="TimesNewRoman"/>
      <w:kern w:val="0"/>
      <w:sz w:val="24"/>
      <w:szCs w:val="20"/>
    </w:rPr>
  </w:style>
  <w:style w:type="character" w:customStyle="1" w:styleId="120">
    <w:name w:val="A标准格式 Char Char"/>
    <w:link w:val="121"/>
    <w:qFormat/>
    <w:uiPriority w:val="0"/>
    <w:rPr>
      <w:rFonts w:eastAsia="宋体"/>
      <w:kern w:val="2"/>
      <w:sz w:val="24"/>
      <w:szCs w:val="24"/>
      <w:lang w:val="en-US" w:eastAsia="zh-CN" w:bidi="ar-SA"/>
    </w:rPr>
  </w:style>
  <w:style w:type="paragraph" w:customStyle="1" w:styleId="121">
    <w:name w:val="A标准格式"/>
    <w:basedOn w:val="1"/>
    <w:link w:val="120"/>
    <w:qFormat/>
    <w:uiPriority w:val="0"/>
    <w:pPr>
      <w:spacing w:line="440" w:lineRule="exact"/>
      <w:ind w:firstLine="480" w:firstLineChars="200"/>
    </w:pPr>
    <w:rPr>
      <w:sz w:val="24"/>
    </w:rPr>
  </w:style>
  <w:style w:type="character" w:customStyle="1" w:styleId="122">
    <w:name w:val=" Char Char4"/>
    <w:qFormat/>
    <w:uiPriority w:val="0"/>
    <w:rPr>
      <w:rFonts w:eastAsia="宋体"/>
      <w:kern w:val="2"/>
      <w:sz w:val="28"/>
      <w:szCs w:val="24"/>
      <w:lang w:val="en-US" w:eastAsia="zh-CN" w:bidi="ar-SA"/>
    </w:rPr>
  </w:style>
  <w:style w:type="character" w:customStyle="1" w:styleId="123">
    <w:name w:val="apple-style-span"/>
    <w:qFormat/>
    <w:uiPriority w:val="0"/>
  </w:style>
  <w:style w:type="character" w:customStyle="1" w:styleId="124">
    <w:name w:val=" Char Char2"/>
    <w:qFormat/>
    <w:uiPriority w:val="0"/>
    <w:rPr>
      <w:rFonts w:eastAsia="宋体"/>
      <w:kern w:val="2"/>
      <w:sz w:val="18"/>
      <w:szCs w:val="18"/>
      <w:lang w:val="en-US" w:eastAsia="zh-CN" w:bidi="ar-SA"/>
    </w:rPr>
  </w:style>
  <w:style w:type="character" w:customStyle="1" w:styleId="125">
    <w:name w:val="日期 字符"/>
    <w:semiHidden/>
    <w:qFormat/>
    <w:uiPriority w:val="0"/>
    <w:rPr>
      <w:rFonts w:ascii="Times New Roman" w:hAnsi="Times New Roman" w:eastAsia="宋体"/>
      <w:sz w:val="24"/>
    </w:rPr>
  </w:style>
  <w:style w:type="character" w:customStyle="1" w:styleId="126">
    <w:name w:val="description"/>
    <w:qFormat/>
    <w:uiPriority w:val="0"/>
  </w:style>
  <w:style w:type="character" w:customStyle="1" w:styleId="127">
    <w:name w:val="标题 3 Char Char Char"/>
    <w:qFormat/>
    <w:uiPriority w:val="0"/>
    <w:rPr>
      <w:rFonts w:eastAsia="宋体"/>
      <w:b/>
      <w:bCs/>
      <w:kern w:val="2"/>
      <w:sz w:val="30"/>
      <w:szCs w:val="32"/>
      <w:lang w:val="en-US" w:eastAsia="zh-CN" w:bidi="ar-SA"/>
    </w:rPr>
  </w:style>
  <w:style w:type="character" w:customStyle="1" w:styleId="128">
    <w:name w:val="批注文字 字符1"/>
    <w:semiHidden/>
    <w:qFormat/>
    <w:uiPriority w:val="0"/>
    <w:rPr>
      <w:rFonts w:ascii="Times New Roman" w:hAnsi="Times New Roman" w:eastAsia="宋体"/>
      <w:sz w:val="24"/>
    </w:rPr>
  </w:style>
  <w:style w:type="character" w:customStyle="1" w:styleId="129">
    <w:name w:val="书籍标题1"/>
    <w:qFormat/>
    <w:uiPriority w:val="0"/>
    <w:rPr>
      <w:b/>
    </w:rPr>
  </w:style>
  <w:style w:type="character" w:customStyle="1" w:styleId="130">
    <w:name w:val=" Char Char3"/>
    <w:qFormat/>
    <w:uiPriority w:val="0"/>
    <w:rPr>
      <w:kern w:val="2"/>
      <w:sz w:val="28"/>
      <w:szCs w:val="24"/>
    </w:rPr>
  </w:style>
  <w:style w:type="character" w:customStyle="1" w:styleId="131">
    <w:name w:val="正文（首行缩进两字） Char Char Char Char Char Char Char Char"/>
    <w:qFormat/>
    <w:uiPriority w:val="0"/>
    <w:rPr>
      <w:rFonts w:eastAsia="华文中宋"/>
      <w:w w:val="90"/>
      <w:sz w:val="28"/>
      <w:lang w:val="en-US" w:eastAsia="zh-CN" w:bidi="ar-SA"/>
    </w:rPr>
  </w:style>
  <w:style w:type="character" w:customStyle="1" w:styleId="132">
    <w:name w:val="Char Char2"/>
    <w:qFormat/>
    <w:locked/>
    <w:uiPriority w:val="0"/>
    <w:rPr>
      <w:rFonts w:eastAsia="宋体"/>
      <w:kern w:val="2"/>
      <w:sz w:val="28"/>
      <w:szCs w:val="24"/>
      <w:lang w:val="en-US" w:eastAsia="zh-CN" w:bidi="ar-SA"/>
    </w:rPr>
  </w:style>
  <w:style w:type="character" w:customStyle="1" w:styleId="133">
    <w:name w:val="普通 (Web) Char1"/>
    <w:qFormat/>
    <w:locked/>
    <w:uiPriority w:val="0"/>
    <w:rPr>
      <w:rFonts w:ascii="宋体" w:hAnsi="宋体" w:eastAsia="宋体" w:cs="宋体"/>
      <w:sz w:val="24"/>
      <w:szCs w:val="24"/>
      <w:lang w:val="en-US" w:eastAsia="zh-CN" w:bidi="ar-SA"/>
    </w:rPr>
  </w:style>
  <w:style w:type="character" w:customStyle="1" w:styleId="134">
    <w:name w:val="标题 3 Char Char Char Char Char2"/>
    <w:qFormat/>
    <w:uiPriority w:val="0"/>
    <w:rPr>
      <w:rFonts w:ascii="Times New Roman" w:hAnsi="Times New Roman" w:eastAsia="宋体" w:cs="Times New Roman"/>
      <w:b/>
      <w:bCs/>
      <w:sz w:val="32"/>
      <w:szCs w:val="32"/>
    </w:rPr>
  </w:style>
  <w:style w:type="character" w:customStyle="1" w:styleId="135">
    <w:name w:val="11表头 Char"/>
    <w:link w:val="136"/>
    <w:qFormat/>
    <w:uiPriority w:val="0"/>
    <w:rPr>
      <w:rFonts w:eastAsia="黑体"/>
      <w:color w:val="C00000"/>
      <w:kern w:val="2"/>
      <w:sz w:val="24"/>
      <w:szCs w:val="24"/>
      <w:lang w:bidi="ar-SA"/>
    </w:rPr>
  </w:style>
  <w:style w:type="paragraph" w:customStyle="1" w:styleId="136">
    <w:name w:val="11表头"/>
    <w:basedOn w:val="1"/>
    <w:link w:val="135"/>
    <w:qFormat/>
    <w:uiPriority w:val="0"/>
    <w:pPr>
      <w:snapToGrid w:val="0"/>
      <w:jc w:val="center"/>
    </w:pPr>
    <w:rPr>
      <w:rFonts w:eastAsia="黑体"/>
      <w:color w:val="C00000"/>
      <w:sz w:val="24"/>
    </w:rPr>
  </w:style>
  <w:style w:type="character" w:customStyle="1" w:styleId="137">
    <w:name w:val="A正文 Char"/>
    <w:link w:val="138"/>
    <w:qFormat/>
    <w:uiPriority w:val="0"/>
    <w:rPr>
      <w:sz w:val="24"/>
      <w:szCs w:val="24"/>
      <w:lang w:bidi="ar-SA"/>
    </w:rPr>
  </w:style>
  <w:style w:type="paragraph" w:customStyle="1" w:styleId="138">
    <w:name w:val="A正文"/>
    <w:basedOn w:val="1"/>
    <w:link w:val="137"/>
    <w:qFormat/>
    <w:uiPriority w:val="0"/>
    <w:pPr>
      <w:adjustRightInd w:val="0"/>
      <w:snapToGrid w:val="0"/>
      <w:spacing w:line="360" w:lineRule="auto"/>
      <w:ind w:firstLine="480" w:firstLineChars="200"/>
    </w:pPr>
    <w:rPr>
      <w:rFonts w:eastAsia="Times New Roman"/>
      <w:kern w:val="0"/>
      <w:sz w:val="24"/>
    </w:rPr>
  </w:style>
  <w:style w:type="character" w:customStyle="1" w:styleId="139">
    <w:name w:val=" Char Char"/>
    <w:qFormat/>
    <w:uiPriority w:val="0"/>
    <w:rPr>
      <w:rFonts w:eastAsia="宋体"/>
      <w:kern w:val="2"/>
      <w:sz w:val="18"/>
      <w:szCs w:val="18"/>
      <w:lang w:val="en-US" w:eastAsia="zh-CN" w:bidi="ar-SA"/>
    </w:rPr>
  </w:style>
  <w:style w:type="character" w:customStyle="1" w:styleId="140">
    <w:name w:val="表格正文 Char"/>
    <w:link w:val="141"/>
    <w:qFormat/>
    <w:uiPriority w:val="0"/>
    <w:rPr>
      <w:rFonts w:ascii="仿宋_GB2312" w:eastAsia="仿宋_GB2312"/>
      <w:kern w:val="2"/>
      <w:sz w:val="21"/>
      <w:szCs w:val="24"/>
      <w:lang w:val="en-US" w:eastAsia="zh-CN" w:bidi="ar-SA"/>
    </w:rPr>
  </w:style>
  <w:style w:type="paragraph" w:customStyle="1" w:styleId="141">
    <w:name w:val="表格正文"/>
    <w:basedOn w:val="1"/>
    <w:next w:val="1"/>
    <w:link w:val="140"/>
    <w:qFormat/>
    <w:uiPriority w:val="0"/>
    <w:pPr>
      <w:jc w:val="center"/>
    </w:pPr>
    <w:rPr>
      <w:rFonts w:ascii="仿宋_GB2312" w:eastAsia="仿宋_GB2312"/>
    </w:rPr>
  </w:style>
  <w:style w:type="character" w:customStyle="1" w:styleId="142">
    <w:name w:val="表格 Char Char"/>
    <w:qFormat/>
    <w:uiPriority w:val="0"/>
    <w:rPr>
      <w:rFonts w:eastAsia="宋体"/>
      <w:kern w:val="2"/>
      <w:sz w:val="24"/>
      <w:lang w:val="en-US" w:eastAsia="zh-CN" w:bidi="ar-SA"/>
    </w:rPr>
  </w:style>
  <w:style w:type="character" w:customStyle="1" w:styleId="143">
    <w:name w:val="text06"/>
    <w:qFormat/>
    <w:uiPriority w:val="0"/>
  </w:style>
  <w:style w:type="paragraph" w:customStyle="1" w:styleId="144">
    <w:name w:val="Table Paragraph"/>
    <w:basedOn w:val="1"/>
    <w:qFormat/>
    <w:uiPriority w:val="0"/>
    <w:pPr>
      <w:jc w:val="left"/>
    </w:pPr>
    <w:rPr>
      <w:rFonts w:ascii="Calibri" w:hAnsi="Calibri"/>
      <w:kern w:val="0"/>
      <w:sz w:val="22"/>
      <w:szCs w:val="22"/>
      <w:lang w:eastAsia="en-US"/>
    </w:rPr>
  </w:style>
  <w:style w:type="paragraph" w:customStyle="1" w:styleId="145">
    <w:name w:val="正文4号"/>
    <w:qFormat/>
    <w:uiPriority w:val="0"/>
    <w:pPr>
      <w:widowControl w:val="0"/>
      <w:adjustRightInd w:val="0"/>
      <w:snapToGrid w:val="0"/>
      <w:spacing w:line="360" w:lineRule="auto"/>
      <w:ind w:firstLine="200" w:firstLineChars="200"/>
      <w:jc w:val="both"/>
    </w:pPr>
    <w:rPr>
      <w:rFonts w:ascii="Times New Roman" w:hAnsi="Times New Roman" w:eastAsia="Times New Roman" w:cs="Times New Roman"/>
      <w:kern w:val="2"/>
      <w:sz w:val="24"/>
      <w:szCs w:val="24"/>
      <w:lang w:val="en-US" w:eastAsia="zh-CN" w:bidi="ar-SA"/>
    </w:rPr>
  </w:style>
  <w:style w:type="paragraph" w:customStyle="1" w:styleId="146">
    <w:name w:val=" Char Char Char Char Char Char Char Char Char Char Char Char Char Char Char Char Char Char Char Char Char Char Char Char Char"/>
    <w:basedOn w:val="1"/>
    <w:qFormat/>
    <w:uiPriority w:val="0"/>
  </w:style>
  <w:style w:type="paragraph" w:customStyle="1" w:styleId="147">
    <w:name w:val="标题 31"/>
    <w:basedOn w:val="1"/>
    <w:next w:val="1"/>
    <w:qFormat/>
    <w:uiPriority w:val="0"/>
    <w:pPr>
      <w:keepNext/>
      <w:keepLines/>
      <w:tabs>
        <w:tab w:val="left" w:pos="1620"/>
      </w:tabs>
      <w:spacing w:before="156" w:beforeLines="50" w:line="460" w:lineRule="exact"/>
      <w:ind w:firstLine="573"/>
      <w:outlineLvl w:val="2"/>
    </w:pPr>
    <w:rPr>
      <w:rFonts w:ascii="ºÚÌå" w:hAnsi="宋体" w:cs="ºÚÌå"/>
      <w:b/>
      <w:bCs/>
      <w:spacing w:val="-8"/>
      <w:kern w:val="0"/>
      <w:sz w:val="30"/>
    </w:rPr>
  </w:style>
  <w:style w:type="paragraph" w:customStyle="1" w:styleId="148">
    <w:name w:val="Heading 2"/>
    <w:basedOn w:val="1"/>
    <w:qFormat/>
    <w:uiPriority w:val="0"/>
    <w:pPr>
      <w:spacing w:before="26"/>
      <w:ind w:left="721"/>
      <w:jc w:val="left"/>
      <w:outlineLvl w:val="2"/>
    </w:pPr>
    <w:rPr>
      <w:rFonts w:ascii="宋体" w:hAnsi="宋体"/>
      <w:b/>
      <w:bCs/>
      <w:kern w:val="0"/>
      <w:sz w:val="24"/>
      <w:lang w:eastAsia="en-US"/>
    </w:rPr>
  </w:style>
  <w:style w:type="paragraph" w:customStyle="1" w:styleId="149">
    <w:name w:val="正文01"/>
    <w:basedOn w:val="1"/>
    <w:qFormat/>
    <w:uiPriority w:val="0"/>
    <w:pPr>
      <w:spacing w:before="60" w:line="460" w:lineRule="exact"/>
      <w:ind w:firstLine="200" w:firstLineChars="200"/>
    </w:pPr>
    <w:rPr>
      <w:sz w:val="24"/>
      <w:szCs w:val="20"/>
    </w:rPr>
  </w:style>
  <w:style w:type="paragraph" w:customStyle="1" w:styleId="150">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51">
    <w:name w:val="p0"/>
    <w:basedOn w:val="1"/>
    <w:qFormat/>
    <w:uiPriority w:val="0"/>
    <w:pPr>
      <w:widowControl/>
      <w:snapToGrid w:val="0"/>
      <w:spacing w:line="312" w:lineRule="atLeast"/>
    </w:pPr>
    <w:rPr>
      <w:kern w:val="0"/>
      <w:szCs w:val="21"/>
    </w:rPr>
  </w:style>
  <w:style w:type="paragraph" w:customStyle="1" w:styleId="152">
    <w:name w:val="List Paragraph"/>
    <w:basedOn w:val="1"/>
    <w:qFormat/>
    <w:uiPriority w:val="0"/>
    <w:pPr>
      <w:autoSpaceDE w:val="0"/>
      <w:autoSpaceDN w:val="0"/>
      <w:ind w:left="1383" w:hanging="841"/>
      <w:jc w:val="left"/>
    </w:pPr>
    <w:rPr>
      <w:rFonts w:ascii="宋体" w:hAnsi="宋体" w:cs="宋体"/>
      <w:kern w:val="0"/>
      <w:sz w:val="22"/>
      <w:szCs w:val="22"/>
    </w:rPr>
  </w:style>
  <w:style w:type="paragraph" w:customStyle="1" w:styleId="153">
    <w:name w:val="Char1"/>
    <w:basedOn w:val="1"/>
    <w:qFormat/>
    <w:uiPriority w:val="0"/>
    <w:rPr>
      <w:rFonts w:ascii="宋体" w:hAnsi="宋体" w:eastAsia="Times New Roman" w:cs="宋体"/>
      <w:bCs/>
      <w:sz w:val="18"/>
      <w:szCs w:val="18"/>
    </w:rPr>
  </w:style>
  <w:style w:type="paragraph" w:customStyle="1" w:styleId="154">
    <w:name w:val="新正文"/>
    <w:basedOn w:val="1"/>
    <w:qFormat/>
    <w:uiPriority w:val="0"/>
    <w:pPr>
      <w:spacing w:line="480" w:lineRule="exact"/>
      <w:ind w:firstLine="567"/>
    </w:pPr>
    <w:rPr>
      <w:rFonts w:ascii="仿宋_GB2312" w:eastAsia="仿宋_GB2312"/>
      <w:bCs/>
      <w:kern w:val="0"/>
      <w:sz w:val="28"/>
      <w:szCs w:val="20"/>
    </w:rPr>
  </w:style>
  <w:style w:type="paragraph" w:customStyle="1" w:styleId="155">
    <w:name w:val=" Char Char Char Char1"/>
    <w:basedOn w:val="1"/>
    <w:qFormat/>
    <w:uiPriority w:val="0"/>
    <w:rPr>
      <w:sz w:val="24"/>
    </w:rPr>
  </w:style>
  <w:style w:type="paragraph" w:customStyle="1" w:styleId="156">
    <w:name w:val="1表格"/>
    <w:basedOn w:val="1"/>
    <w:qFormat/>
    <w:uiPriority w:val="0"/>
    <w:pPr>
      <w:snapToGrid w:val="0"/>
      <w:spacing w:line="160" w:lineRule="atLeast"/>
      <w:jc w:val="center"/>
    </w:pPr>
    <w:rPr>
      <w:rFonts w:eastAsia="仿宋_GB2312"/>
      <w:szCs w:val="20"/>
    </w:rPr>
  </w:style>
  <w:style w:type="paragraph" w:customStyle="1" w:styleId="157">
    <w:name w:val="xl34"/>
    <w:basedOn w:val="1"/>
    <w:qFormat/>
    <w:uiPriority w:val="0"/>
    <w:pPr>
      <w:widowControl/>
      <w:spacing w:before="100" w:beforeAutospacing="1" w:after="100" w:afterAutospacing="1"/>
      <w:jc w:val="center"/>
    </w:pPr>
    <w:rPr>
      <w:rFonts w:ascii="Arial Unicode MS" w:hAnsi="Arial Unicode MS" w:eastAsia="Arial Unicode MS"/>
      <w:kern w:val="0"/>
      <w:sz w:val="24"/>
    </w:rPr>
  </w:style>
  <w:style w:type="paragraph" w:customStyle="1" w:styleId="158">
    <w:name w:val="Plain Text"/>
    <w:basedOn w:val="1"/>
    <w:qFormat/>
    <w:uiPriority w:val="0"/>
    <w:rPr>
      <w:rFonts w:hint="eastAsia" w:ascii="宋体" w:hAnsi="Courier New"/>
    </w:rPr>
  </w:style>
  <w:style w:type="paragraph" w:customStyle="1" w:styleId="159">
    <w:name w:val="表格标题"/>
    <w:basedOn w:val="37"/>
    <w:next w:val="160"/>
    <w:qFormat/>
    <w:uiPriority w:val="0"/>
    <w:pPr>
      <w:keepNext/>
      <w:spacing w:line="440" w:lineRule="exact"/>
      <w:jc w:val="center"/>
    </w:pPr>
    <w:rPr>
      <w:rFonts w:ascii="Times New Roman" w:hAnsi="宋体" w:eastAsia="Times New Roman" w:cs="Times New Roman"/>
      <w:sz w:val="24"/>
      <w:szCs w:val="21"/>
    </w:rPr>
  </w:style>
  <w:style w:type="paragraph" w:customStyle="1" w:styleId="160">
    <w:name w:val="表格内容"/>
    <w:basedOn w:val="159"/>
    <w:next w:val="1"/>
    <w:qFormat/>
    <w:uiPriority w:val="0"/>
    <w:pPr>
      <w:jc w:val="center"/>
    </w:pPr>
    <w:rPr>
      <w:kern w:val="2"/>
      <w:sz w:val="21"/>
      <w:szCs w:val="22"/>
      <w:lang w:val="en-US" w:eastAsia="zh-CN" w:bidi="ar-SA"/>
    </w:rPr>
  </w:style>
  <w:style w:type="paragraph" w:customStyle="1" w:styleId="161">
    <w:name w:val="正文2"/>
    <w:qFormat/>
    <w:uiPriority w:val="0"/>
    <w:rPr>
      <w:rFonts w:ascii="Times New Roman" w:hAnsi="Times New Roman" w:eastAsia="宋体" w:cs="宋体"/>
      <w:sz w:val="28"/>
      <w:lang w:val="en-US" w:eastAsia="zh-CN" w:bidi="ar-SA"/>
    </w:rPr>
  </w:style>
  <w:style w:type="paragraph" w:customStyle="1" w:styleId="162">
    <w:name w:val="xl36"/>
    <w:basedOn w:val="1"/>
    <w:qFormat/>
    <w:uiPriority w:val="0"/>
    <w:pPr>
      <w:widowControl/>
      <w:spacing w:before="100" w:beforeAutospacing="1" w:after="100" w:afterAutospacing="1"/>
      <w:jc w:val="center"/>
    </w:pPr>
    <w:rPr>
      <w:rFonts w:ascii="楷体_GB2312" w:hAnsi="Arial Unicode MS" w:eastAsia="楷体_GB2312"/>
      <w:b/>
      <w:bCs/>
      <w:kern w:val="0"/>
      <w:sz w:val="28"/>
      <w:szCs w:val="28"/>
    </w:rPr>
  </w:style>
  <w:style w:type="paragraph" w:customStyle="1" w:styleId="16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4">
    <w:name w:val="表内容"/>
    <w:basedOn w:val="1"/>
    <w:next w:val="1"/>
    <w:qFormat/>
    <w:uiPriority w:val="0"/>
    <w:pPr>
      <w:spacing w:line="320" w:lineRule="exact"/>
      <w:jc w:val="center"/>
    </w:pPr>
    <w:rPr>
      <w:szCs w:val="20"/>
    </w:rPr>
  </w:style>
  <w:style w:type="paragraph" w:customStyle="1" w:styleId="165">
    <w:name w:val="Normal"/>
    <w:qFormat/>
    <w:uiPriority w:val="0"/>
    <w:pPr>
      <w:jc w:val="both"/>
    </w:pPr>
    <w:rPr>
      <w:rFonts w:ascii="Calibri" w:hAnsi="Calibri" w:eastAsia="宋体" w:cs="宋体"/>
      <w:kern w:val="2"/>
      <w:sz w:val="21"/>
      <w:szCs w:val="21"/>
      <w:lang w:val="en-US" w:eastAsia="zh-CN" w:bidi="ar-SA"/>
    </w:rPr>
  </w:style>
  <w:style w:type="paragraph" w:customStyle="1" w:styleId="166">
    <w:name w:val="正文首行缩进＋湿地"/>
    <w:basedOn w:val="1"/>
    <w:qFormat/>
    <w:uiPriority w:val="0"/>
    <w:pPr>
      <w:spacing w:line="440" w:lineRule="exact"/>
      <w:ind w:firstLine="540" w:firstLineChars="225"/>
    </w:pPr>
    <w:rPr>
      <w:rFonts w:ascii="仿宋_GB2312" w:hAnsi="宋体" w:eastAsia="仿宋_GB2312"/>
      <w:kern w:val="0"/>
      <w:sz w:val="28"/>
      <w:szCs w:val="20"/>
    </w:rPr>
  </w:style>
  <w:style w:type="paragraph" w:customStyle="1" w:styleId="167">
    <w:name w:val=" Char Char Char Char Char Char Char"/>
    <w:basedOn w:val="1"/>
    <w:qFormat/>
    <w:uiPriority w:val="0"/>
    <w:pPr>
      <w:adjustRightInd w:val="0"/>
      <w:spacing w:line="360" w:lineRule="auto"/>
    </w:pPr>
    <w:rPr>
      <w:szCs w:val="20"/>
    </w:rPr>
  </w:style>
  <w:style w:type="paragraph" w:customStyle="1" w:styleId="168">
    <w:name w:val="表格内容自定"/>
    <w:basedOn w:val="1"/>
    <w:qFormat/>
    <w:uiPriority w:val="0"/>
    <w:pPr>
      <w:spacing w:line="280" w:lineRule="exact"/>
      <w:jc w:val="center"/>
    </w:pPr>
    <w:rPr>
      <w:kern w:val="0"/>
      <w:sz w:val="18"/>
      <w:szCs w:val="21"/>
    </w:rPr>
  </w:style>
  <w:style w:type="paragraph" w:customStyle="1" w:styleId="169">
    <w:name w:val=" 字元 字元"/>
    <w:basedOn w:val="1"/>
    <w:qFormat/>
    <w:uiPriority w:val="0"/>
  </w:style>
  <w:style w:type="paragraph" w:customStyle="1" w:styleId="170">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71">
    <w:name w:val="2 Char"/>
    <w:basedOn w:val="1"/>
    <w:qFormat/>
    <w:uiPriority w:val="0"/>
    <w:pPr>
      <w:spacing w:line="360" w:lineRule="auto"/>
      <w:ind w:firstLine="200" w:firstLineChars="200"/>
    </w:pPr>
    <w:rPr>
      <w:rFonts w:ascii="宋体" w:hAnsi="宋体" w:cs="宋体"/>
      <w:sz w:val="24"/>
    </w:rPr>
  </w:style>
  <w:style w:type="paragraph" w:customStyle="1" w:styleId="172">
    <w:name w:val="表格式"/>
    <w:basedOn w:val="29"/>
    <w:qFormat/>
    <w:uiPriority w:val="0"/>
    <w:pPr>
      <w:spacing w:line="400" w:lineRule="exact"/>
    </w:pPr>
    <w:rPr>
      <w:rFonts w:ascii="宋体" w:eastAsia="宋体"/>
      <w:sz w:val="21"/>
    </w:rPr>
  </w:style>
  <w:style w:type="paragraph" w:customStyle="1" w:styleId="173">
    <w:name w:val="样式 列表 2 + 华文仿宋 居中"/>
    <w:basedOn w:val="17"/>
    <w:qFormat/>
    <w:uiPriority w:val="0"/>
    <w:pPr>
      <w:spacing w:line="240" w:lineRule="exact"/>
      <w:ind w:left="0" w:leftChars="0" w:firstLine="0" w:firstLineChars="0"/>
      <w:jc w:val="center"/>
    </w:pPr>
    <w:rPr>
      <w:sz w:val="21"/>
      <w:szCs w:val="21"/>
    </w:rPr>
  </w:style>
  <w:style w:type="paragraph" w:customStyle="1" w:styleId="174">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CM11"/>
    <w:basedOn w:val="62"/>
    <w:next w:val="62"/>
    <w:unhideWhenUsed/>
    <w:qFormat/>
    <w:uiPriority w:val="0"/>
    <w:pPr>
      <w:spacing w:line="460" w:lineRule="atLeast"/>
    </w:pPr>
    <w:rPr>
      <w:rFonts w:hint="eastAsia" w:ascii="黑体" w:eastAsia="黑体" w:cs="Times New Roman"/>
      <w:sz w:val="20"/>
      <w:szCs w:val="20"/>
    </w:rPr>
  </w:style>
  <w:style w:type="paragraph" w:customStyle="1" w:styleId="176">
    <w:name w:val="æ­￡æ–‡ç¼©è¿›"/>
    <w:basedOn w:val="1"/>
    <w:unhideWhenUsed/>
    <w:qFormat/>
    <w:uiPriority w:val="0"/>
    <w:pPr>
      <w:spacing w:line="440" w:lineRule="exact"/>
      <w:ind w:firstLine="420"/>
    </w:pPr>
    <w:rPr>
      <w:rFonts w:hint="eastAsia"/>
      <w:sz w:val="24"/>
    </w:rPr>
  </w:style>
  <w:style w:type="paragraph" w:customStyle="1" w:styleId="177">
    <w:name w:val="环评正文"/>
    <w:basedOn w:val="1"/>
    <w:qFormat/>
    <w:uiPriority w:val="0"/>
    <w:pPr>
      <w:spacing w:line="360" w:lineRule="auto"/>
      <w:ind w:firstLine="200" w:firstLineChars="200"/>
    </w:pPr>
    <w:rPr>
      <w:kern w:val="0"/>
      <w:sz w:val="24"/>
      <w:szCs w:val="20"/>
    </w:rPr>
  </w:style>
  <w:style w:type="paragraph" w:customStyle="1" w:styleId="178">
    <w:name w:val="表格 32"/>
    <w:basedOn w:val="1"/>
    <w:qFormat/>
    <w:uiPriority w:val="0"/>
    <w:pPr>
      <w:autoSpaceDE w:val="0"/>
      <w:autoSpaceDN w:val="0"/>
      <w:adjustRightInd w:val="0"/>
      <w:spacing w:line="240" w:lineRule="atLeast"/>
      <w:jc w:val="center"/>
    </w:pPr>
    <w:rPr>
      <w:kern w:val="0"/>
      <w:sz w:val="24"/>
    </w:rPr>
  </w:style>
  <w:style w:type="paragraph" w:customStyle="1" w:styleId="179">
    <w:name w:val="样式1"/>
    <w:basedOn w:val="1"/>
    <w:qFormat/>
    <w:uiPriority w:val="0"/>
    <w:pPr>
      <w:snapToGrid w:val="0"/>
      <w:jc w:val="center"/>
    </w:pPr>
    <w:rPr>
      <w:rFonts w:ascii="宋体"/>
      <w:szCs w:val="20"/>
    </w:rPr>
  </w:style>
  <w:style w:type="paragraph" w:customStyle="1" w:styleId="180">
    <w:name w:val="WPS Plain"/>
    <w:qFormat/>
    <w:uiPriority w:val="0"/>
    <w:rPr>
      <w:rFonts w:ascii="Times New Roman" w:hAnsi="Times New Roman" w:eastAsia="宋体" w:cs="Times New Roman"/>
      <w:sz w:val="24"/>
      <w:szCs w:val="24"/>
      <w:lang w:val="en-US" w:eastAsia="zh-CN" w:bidi="ar-SA"/>
    </w:rPr>
  </w:style>
  <w:style w:type="paragraph" w:customStyle="1" w:styleId="181">
    <w:name w:val="默认段落字体 Para Char Char Char Char"/>
    <w:basedOn w:val="1"/>
    <w:qFormat/>
    <w:uiPriority w:val="0"/>
    <w:pPr>
      <w:widowControl/>
      <w:jc w:val="left"/>
    </w:pPr>
    <w:rPr>
      <w:rFonts w:cs="宋体"/>
      <w:kern w:val="0"/>
    </w:rPr>
  </w:style>
  <w:style w:type="paragraph" w:customStyle="1" w:styleId="182">
    <w:name w:val=" Char Char1 Char"/>
    <w:basedOn w:val="1"/>
    <w:qFormat/>
    <w:uiPriority w:val="0"/>
    <w:pPr>
      <w:adjustRightInd w:val="0"/>
      <w:spacing w:line="360" w:lineRule="auto"/>
    </w:pPr>
    <w:rPr>
      <w:kern w:val="0"/>
      <w:sz w:val="24"/>
      <w:szCs w:val="20"/>
    </w:rPr>
  </w:style>
  <w:style w:type="paragraph" w:customStyle="1" w:styleId="183">
    <w:name w:val="1"/>
    <w:basedOn w:val="1"/>
    <w:qFormat/>
    <w:uiPriority w:val="0"/>
    <w:rPr>
      <w:sz w:val="24"/>
    </w:rPr>
  </w:style>
  <w:style w:type="paragraph" w:customStyle="1" w:styleId="184">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185">
    <w:name w:val="24磅正文"/>
    <w:basedOn w:val="1"/>
    <w:qFormat/>
    <w:uiPriority w:val="0"/>
    <w:pPr>
      <w:spacing w:line="480" w:lineRule="exact"/>
      <w:ind w:firstLine="480" w:firstLineChars="200"/>
    </w:pPr>
    <w:rPr>
      <w:sz w:val="24"/>
    </w:rPr>
  </w:style>
  <w:style w:type="paragraph" w:customStyle="1" w:styleId="186">
    <w:name w:val="报告正文"/>
    <w:basedOn w:val="1"/>
    <w:qFormat/>
    <w:uiPriority w:val="0"/>
    <w:pPr>
      <w:spacing w:line="360" w:lineRule="auto"/>
      <w:ind w:firstLine="200" w:firstLineChars="200"/>
      <w:jc w:val="left"/>
    </w:pPr>
    <w:rPr>
      <w:sz w:val="24"/>
    </w:rPr>
  </w:style>
  <w:style w:type="paragraph" w:customStyle="1" w:styleId="187">
    <w:name w:val="正文 03"/>
    <w:basedOn w:val="1"/>
    <w:qFormat/>
    <w:uiPriority w:val="0"/>
    <w:pPr>
      <w:autoSpaceDE w:val="0"/>
      <w:autoSpaceDN w:val="0"/>
      <w:adjustRightInd w:val="0"/>
      <w:textAlignment w:val="baseline"/>
    </w:pPr>
    <w:rPr>
      <w:rFonts w:eastAsia="楷体_GB2312"/>
      <w:kern w:val="0"/>
      <w:sz w:val="24"/>
      <w:szCs w:val="20"/>
    </w:rPr>
  </w:style>
  <w:style w:type="paragraph" w:customStyle="1" w:styleId="188">
    <w:name w:val="我的表格"/>
    <w:qFormat/>
    <w:uiPriority w:val="0"/>
    <w:pPr>
      <w:adjustRightInd w:val="0"/>
      <w:snapToGrid w:val="0"/>
      <w:spacing w:line="300" w:lineRule="exact"/>
      <w:jc w:val="center"/>
    </w:pPr>
    <w:rPr>
      <w:rFonts w:ascii="Times New Roman" w:hAnsi="Times New Roman" w:eastAsia="宋体" w:cs="Times New Roman"/>
      <w:spacing w:val="4"/>
      <w:sz w:val="21"/>
      <w:szCs w:val="24"/>
      <w:lang w:val="en-US" w:eastAsia="zh-CN" w:bidi="ar-SA"/>
    </w:rPr>
  </w:style>
  <w:style w:type="paragraph" w:customStyle="1" w:styleId="189">
    <w:name w:val=" Char Char1 Char Char Char Char 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190">
    <w:name w:val="样式35"/>
    <w:basedOn w:val="1"/>
    <w:qFormat/>
    <w:uiPriority w:val="0"/>
    <w:pPr>
      <w:adjustRightInd w:val="0"/>
      <w:spacing w:line="312" w:lineRule="auto"/>
      <w:ind w:firstLine="567"/>
    </w:pPr>
    <w:rPr>
      <w:rFonts w:ascii="宋体"/>
      <w:kern w:val="0"/>
      <w:sz w:val="28"/>
      <w:szCs w:val="20"/>
    </w:rPr>
  </w:style>
  <w:style w:type="paragraph" w:customStyle="1" w:styleId="191">
    <w:name w:val="默认段落字体 Para Char Char Char Char Char Char Char Char Char Char Char Char Char1 Char"/>
    <w:basedOn w:val="9"/>
    <w:qFormat/>
    <w:uiPriority w:val="0"/>
    <w:pPr>
      <w:shd w:val="clear" w:color="auto" w:fill="000080"/>
    </w:pPr>
    <w:rPr>
      <w:rFonts w:ascii="Tahoma" w:hAnsi="Tahoma"/>
      <w:sz w:val="24"/>
      <w:szCs w:val="24"/>
    </w:rPr>
  </w:style>
  <w:style w:type="paragraph" w:customStyle="1" w:styleId="192">
    <w:name w:val="zxz5"/>
    <w:next w:val="1"/>
    <w:qFormat/>
    <w:uiPriority w:val="0"/>
    <w:pPr>
      <w:tabs>
        <w:tab w:val="left" w:pos="0"/>
      </w:tabs>
      <w:jc w:val="center"/>
    </w:pPr>
    <w:rPr>
      <w:rFonts w:ascii="Times New Roman" w:hAnsi="Times New Roman" w:eastAsia="宋体" w:cs="Times New Roman"/>
      <w:lang w:val="en-US" w:eastAsia="zh-CN" w:bidi="ar-SA"/>
    </w:rPr>
  </w:style>
  <w:style w:type="paragraph" w:customStyle="1" w:styleId="193">
    <w:name w:val="表中文字"/>
    <w:basedOn w:val="1"/>
    <w:qFormat/>
    <w:uiPriority w:val="0"/>
    <w:pPr>
      <w:adjustRightInd w:val="0"/>
      <w:snapToGrid w:val="0"/>
      <w:spacing w:line="240" w:lineRule="atLeast"/>
      <w:ind w:firstLine="200" w:firstLineChars="200"/>
      <w:jc w:val="center"/>
    </w:pPr>
    <w:rPr>
      <w:sz w:val="24"/>
      <w:szCs w:val="22"/>
    </w:rPr>
  </w:style>
  <w:style w:type="paragraph" w:customStyle="1" w:styleId="194">
    <w:name w:val="+正文"/>
    <w:basedOn w:val="1"/>
    <w:qFormat/>
    <w:uiPriority w:val="0"/>
    <w:pPr>
      <w:spacing w:line="360" w:lineRule="auto"/>
      <w:ind w:firstLine="200" w:firstLineChars="200"/>
      <w:jc w:val="left"/>
    </w:pPr>
    <w:rPr>
      <w:sz w:val="24"/>
      <w:szCs w:val="28"/>
    </w:rPr>
  </w:style>
  <w:style w:type="paragraph" w:customStyle="1" w:styleId="195">
    <w:name w:val="reader-word-layer reader-word-s6-7"/>
    <w:basedOn w:val="1"/>
    <w:qFormat/>
    <w:uiPriority w:val="0"/>
    <w:pPr>
      <w:widowControl/>
      <w:spacing w:before="100" w:beforeAutospacing="1" w:after="100" w:afterAutospacing="1"/>
      <w:jc w:val="left"/>
    </w:pPr>
    <w:rPr>
      <w:rFonts w:ascii="宋体" w:hAnsi="宋体" w:cs="宋体"/>
      <w:kern w:val="0"/>
      <w:sz w:val="24"/>
    </w:rPr>
  </w:style>
  <w:style w:type="paragraph" w:customStyle="1" w:styleId="196">
    <w:name w:val="1正文"/>
    <w:basedOn w:val="1"/>
    <w:qFormat/>
    <w:uiPriority w:val="0"/>
    <w:pPr>
      <w:widowControl/>
      <w:spacing w:line="360" w:lineRule="auto"/>
      <w:ind w:firstLine="200" w:firstLineChars="200"/>
    </w:pPr>
    <w:rPr>
      <w:kern w:val="0"/>
      <w:sz w:val="24"/>
      <w:szCs w:val="20"/>
      <w:lang w:val="en-GB"/>
    </w:rPr>
  </w:style>
  <w:style w:type="paragraph" w:customStyle="1" w:styleId="197">
    <w:name w:val="表文字"/>
    <w:basedOn w:val="1"/>
    <w:qFormat/>
    <w:uiPriority w:val="0"/>
    <w:pPr>
      <w:overflowPunct w:val="0"/>
      <w:autoSpaceDE w:val="0"/>
      <w:autoSpaceDN w:val="0"/>
      <w:adjustRightInd w:val="0"/>
      <w:spacing w:line="240" w:lineRule="atLeast"/>
      <w:jc w:val="center"/>
      <w:textAlignment w:val="baseline"/>
    </w:pPr>
    <w:rPr>
      <w:kern w:val="0"/>
      <w:sz w:val="24"/>
      <w:szCs w:val="20"/>
    </w:rPr>
  </w:style>
  <w:style w:type="paragraph" w:customStyle="1" w:styleId="198">
    <w:name w:val="表格内文字"/>
    <w:basedOn w:val="1"/>
    <w:qFormat/>
    <w:uiPriority w:val="0"/>
    <w:pPr>
      <w:adjustRightInd w:val="0"/>
      <w:snapToGrid w:val="0"/>
      <w:jc w:val="center"/>
    </w:pPr>
    <w:rPr>
      <w:rFonts w:eastAsia="仿宋_GB2312"/>
      <w:sz w:val="24"/>
    </w:rPr>
  </w:style>
  <w:style w:type="paragraph" w:customStyle="1" w:styleId="199">
    <w:name w:val="表格文字2"/>
    <w:basedOn w:val="19"/>
    <w:qFormat/>
    <w:uiPriority w:val="0"/>
    <w:pPr>
      <w:adjustRightInd w:val="0"/>
      <w:spacing w:before="60"/>
      <w:jc w:val="center"/>
      <w:textAlignment w:val="baseline"/>
    </w:pPr>
    <w:rPr>
      <w:rFonts w:hAnsi="Times New Roman"/>
      <w:kern w:val="0"/>
      <w:sz w:val="24"/>
      <w:szCs w:val="20"/>
    </w:rPr>
  </w:style>
  <w:style w:type="table" w:customStyle="1" w:styleId="200">
    <w:name w:val="Table Normal"/>
    <w:basedOn w:val="38"/>
    <w:qFormat/>
    <w:uiPriority w:val="0"/>
    <w:tblPr>
      <w:tblCellMar>
        <w:left w:w="0" w:type="dxa"/>
        <w:right w:w="0" w:type="dxa"/>
      </w:tblCellMar>
    </w:tblPr>
  </w:style>
  <w:style w:type="character" w:customStyle="1" w:styleId="201">
    <w:name w:val="font21"/>
    <w:qFormat/>
    <w:uiPriority w:val="0"/>
    <w:rPr>
      <w:rFonts w:hint="eastAsia" w:ascii="宋体" w:hAnsi="宋体" w:eastAsia="宋体"/>
      <w:color w:val="000000"/>
      <w:sz w:val="20"/>
      <w:szCs w:val="20"/>
      <w:u w:val="none"/>
    </w:rPr>
  </w:style>
  <w:style w:type="character" w:customStyle="1" w:styleId="202">
    <w:name w:val="font11"/>
    <w:qFormat/>
    <w:uiPriority w:val="0"/>
    <w:rPr>
      <w:rFonts w:hint="default" w:ascii="Times New Roman" w:hAnsi="Times New Roman" w:cs="Times New Roman"/>
      <w:color w:val="000000"/>
      <w:sz w:val="21"/>
      <w:szCs w:val="21"/>
      <w:u w:val="none"/>
    </w:rPr>
  </w:style>
  <w:style w:type="paragraph" w:customStyle="1" w:styleId="203">
    <w:name w:val="1级标题"/>
    <w:basedOn w:val="3"/>
    <w:qFormat/>
    <w:uiPriority w:val="0"/>
    <w:pPr>
      <w:keepNext w:val="0"/>
      <w:spacing w:before="0" w:after="0" w:line="360" w:lineRule="auto"/>
      <w:ind w:left="100" w:hanging="100" w:hangingChars="100"/>
    </w:pPr>
    <w:rPr>
      <w:rFonts w:ascii="黑体" w:hAnsi="Arial Black" w:eastAsia="黑体"/>
      <w:b w:val="0"/>
      <w:sz w:val="30"/>
      <w:szCs w:val="30"/>
    </w:rPr>
  </w:style>
  <w:style w:type="paragraph" w:customStyle="1" w:styleId="204">
    <w:name w:val="表格名"/>
    <w:basedOn w:val="1"/>
    <w:next w:val="1"/>
    <w:qFormat/>
    <w:uiPriority w:val="0"/>
    <w:pPr>
      <w:spacing w:line="240" w:lineRule="auto"/>
      <w:ind w:firstLine="0" w:firstLineChars="0"/>
      <w:jc w:val="center"/>
    </w:pPr>
    <w:rPr>
      <w:b/>
      <w:sz w:val="21"/>
      <w:szCs w:val="21"/>
    </w:rPr>
  </w:style>
  <w:style w:type="paragraph" w:customStyle="1" w:styleId="205">
    <w:name w:val="Table Text"/>
    <w:basedOn w:val="1"/>
    <w:semiHidden/>
    <w:qFormat/>
    <w:uiPriority w:val="0"/>
    <w:rPr>
      <w:rFonts w:ascii="宋体" w:hAnsi="宋体" w:eastAsia="宋体" w:cs="宋体"/>
      <w:sz w:val="21"/>
      <w:szCs w:val="21"/>
      <w:lang w:val="en-US" w:eastAsia="en-US" w:bidi="ar-SA"/>
    </w:rPr>
  </w:style>
  <w:style w:type="paragraph" w:customStyle="1" w:styleId="206">
    <w:name w:val="表内zl"/>
    <w:basedOn w:val="207"/>
    <w:qFormat/>
    <w:uiPriority w:val="0"/>
    <w:pPr>
      <w:spacing w:line="240" w:lineRule="auto"/>
      <w:jc w:val="center"/>
    </w:pPr>
    <w:rPr>
      <w:color w:val="auto"/>
      <w:spacing w:val="-1"/>
      <w:sz w:val="21"/>
      <w:szCs w:val="21"/>
    </w:rPr>
  </w:style>
  <w:style w:type="paragraph" w:customStyle="1" w:styleId="207">
    <w:name w:val="正文-zl"/>
    <w:basedOn w:val="1"/>
    <w:qFormat/>
    <w:uiPriority w:val="0"/>
    <w:pPr>
      <w:ind w:firstLine="480" w:firstLineChars="200"/>
    </w:pPr>
    <w:rPr>
      <w:bCs/>
    </w:rPr>
  </w:style>
  <w:style w:type="paragraph" w:customStyle="1" w:styleId="208">
    <w:name w:val="表标题zl"/>
    <w:basedOn w:val="1"/>
    <w:qFormat/>
    <w:uiPriority w:val="0"/>
    <w:pPr>
      <w:adjustRightInd w:val="0"/>
      <w:snapToGrid w:val="0"/>
      <w:spacing w:before="120" w:beforeLines="50" w:line="240" w:lineRule="auto"/>
      <w:jc w:val="center"/>
    </w:pPr>
    <w:rPr>
      <w:b/>
      <w:bCs/>
      <w:sz w:val="21"/>
      <w:szCs w:val="21"/>
    </w:rPr>
  </w:style>
  <w:style w:type="paragraph" w:customStyle="1" w:styleId="209">
    <w:name w:val="正文zl"/>
    <w:basedOn w:val="1"/>
    <w:qFormat/>
    <w:uiPriority w:val="0"/>
    <w:pPr>
      <w:autoSpaceDE w:val="0"/>
      <w:autoSpaceDN w:val="0"/>
      <w:adjustRightInd w:val="0"/>
      <w:spacing w:line="360" w:lineRule="auto"/>
      <w:ind w:firstLine="480" w:firstLineChars="200"/>
    </w:pPr>
    <w:rPr>
      <w:color w:val="000000"/>
      <w:szCs w:val="22"/>
    </w:rPr>
  </w:style>
  <w:style w:type="paragraph" w:customStyle="1" w:styleId="210">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11">
    <w:name w:val="paragraph"/>
    <w:basedOn w:val="1"/>
    <w:semiHidden/>
    <w:qFormat/>
    <w:uiPriority w:val="0"/>
    <w:pPr>
      <w:spacing w:before="100" w:beforeAutospacing="1" w:after="100" w:afterAutospacing="1"/>
    </w:pPr>
    <w:rPr>
      <w:rFonts w:ascii="等线" w:hAnsi="等线" w:eastAsia="等线" w:cs="Times New Roman"/>
    </w:rPr>
  </w:style>
  <w:style w:type="paragraph" w:customStyle="1" w:styleId="212">
    <w:name w:val="报告表正文"/>
    <w:basedOn w:val="1"/>
    <w:qFormat/>
    <w:uiPriority w:val="0"/>
    <w:pPr>
      <w:adjustRightInd w:val="0"/>
      <w:spacing w:line="312" w:lineRule="auto"/>
      <w:ind w:left="113" w:right="113" w:firstLine="482"/>
      <w:textAlignment w:val="baseline"/>
    </w:pPr>
    <w:rPr>
      <w:rFonts w:ascii="Calibri" w:hAnsi="Calibri"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jpeg"/><Relationship Id="rId28" Type="http://schemas.openxmlformats.org/officeDocument/2006/relationships/image" Target="media/image13.png"/><Relationship Id="rId27" Type="http://schemas.openxmlformats.org/officeDocument/2006/relationships/image" Target="media/image12.jpeg"/><Relationship Id="rId26" Type="http://schemas.openxmlformats.org/officeDocument/2006/relationships/image" Target="media/image11.jpe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image" Target="media/image4.wmf"/><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30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83</Pages>
  <Words>15197</Words>
  <Characters>15674</Characters>
  <Lines>385</Lines>
  <Paragraphs>108</Paragraphs>
  <TotalTime>20</TotalTime>
  <ScaleCrop>false</ScaleCrop>
  <LinksUpToDate>false</LinksUpToDate>
  <CharactersWithSpaces>15701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2026-07-20T05:33:00Z</dcterms:created>
  <dc:creator>lhj</dc:creator>
  <cp:lastModifiedBy>Administrator</cp:lastModifiedBy>
  <cp:lastPrinted>2021-03-29T13:13:00Z</cp:lastPrinted>
  <dcterms:modified xsi:type="dcterms:W3CDTF">2026-08-13T08:12:19Z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A8CB1FC9A54049D4B3A320B9BAEDDF3B_13</vt:lpwstr>
  </property>
  <property fmtid="{D5CDD505-2E9C-101B-9397-08002B2CF9AE}" pid="4" name="KSOTemplateDocerSaveRecord">
    <vt:lpwstr>eyJoZGlkIjoiYjk4MTdlNWRmMDY1YmUzMzBkNjM5MTYwYTA5NDliYmQiLCJ1c2VySWQiOiIzMDkxMDk3NTcifQ==</vt:lpwstr>
  </property>
</Properties>
</file>